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120A7" w14:textId="77777777" w:rsidR="00390099" w:rsidRDefault="00052D44">
      <w:pPr>
        <w:pStyle w:val="BodyText"/>
        <w:spacing w:before="4"/>
        <w:rPr>
          <w:rFonts w:ascii="Times New Roman"/>
          <w:i w:val="0"/>
          <w:sz w:val="17"/>
        </w:rPr>
      </w:pPr>
      <w:r>
        <w:pict w14:anchorId="239A489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3pt;margin-top:50.3pt;width:564.85pt;height:661.2pt;z-index: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4" w:space="0" w:color="E7E6E6"/>
                      <w:left w:val="double" w:sz="4" w:space="0" w:color="E7E6E6"/>
                      <w:bottom w:val="double" w:sz="4" w:space="0" w:color="E7E6E6"/>
                      <w:right w:val="double" w:sz="4" w:space="0" w:color="E7E6E6"/>
                      <w:insideH w:val="double" w:sz="4" w:space="0" w:color="E7E6E6"/>
                      <w:insideV w:val="double" w:sz="4" w:space="0" w:color="E7E6E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88"/>
                    <w:gridCol w:w="8265"/>
                  </w:tblGrid>
                  <w:tr w:rsidR="00390099" w14:paraId="0C11B55E" w14:textId="77777777">
                    <w:trPr>
                      <w:trHeight w:hRule="exact" w:val="987"/>
                    </w:trPr>
                    <w:tc>
                      <w:tcPr>
                        <w:tcW w:w="11253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008ACC"/>
                      </w:tcPr>
                      <w:p w14:paraId="7698426C" w14:textId="77777777" w:rsidR="00390099" w:rsidRDefault="00CA3D95">
                        <w:pPr>
                          <w:pStyle w:val="TableParagraph"/>
                          <w:spacing w:before="119"/>
                          <w:ind w:left="343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28"/>
                          </w:rPr>
                          <w:t>eMERGE</w:t>
                        </w:r>
                        <w:proofErr w:type="spellEnd"/>
                        <w:r>
                          <w:rPr>
                            <w:color w:val="FFFFFF"/>
                            <w:sz w:val="28"/>
                          </w:rPr>
                          <w:t xml:space="preserve"> Network: Proposal for Analysis</w:t>
                        </w:r>
                      </w:p>
                      <w:p w14:paraId="4A391CC6" w14:textId="77777777" w:rsidR="00390099" w:rsidRDefault="00CA3D95">
                        <w:pPr>
                          <w:pStyle w:val="TableParagraph"/>
                          <w:spacing w:before="1"/>
                          <w:ind w:left="3403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Project/Manuscript Concept Sheet</w:t>
                        </w:r>
                      </w:p>
                    </w:tc>
                  </w:tr>
                  <w:tr w:rsidR="00390099" w14:paraId="4515A62E" w14:textId="77777777">
                    <w:trPr>
                      <w:trHeight w:hRule="exact" w:val="617"/>
                    </w:trPr>
                    <w:tc>
                      <w:tcPr>
                        <w:tcW w:w="2988" w:type="dxa"/>
                        <w:tcBorders>
                          <w:top w:val="nil"/>
                          <w:left w:val="nil"/>
                          <w:bottom w:val="single" w:sz="4" w:space="0" w:color="E7E6E6"/>
                          <w:right w:val="single" w:sz="4" w:space="0" w:color="E7E6E6"/>
                        </w:tcBorders>
                      </w:tcPr>
                      <w:p w14:paraId="1E679E08" w14:textId="77777777" w:rsidR="00390099" w:rsidRDefault="00CA3D95">
                        <w:pPr>
                          <w:pStyle w:val="TableParagraph"/>
                          <w:spacing w:before="172"/>
                          <w:ind w:left="107"/>
                        </w:pPr>
                        <w:r>
                          <w:t>Reference Number</w:t>
                        </w:r>
                      </w:p>
                    </w:tc>
                    <w:tc>
                      <w:tcPr>
                        <w:tcW w:w="8265" w:type="dxa"/>
                        <w:tcBorders>
                          <w:top w:val="nil"/>
                          <w:left w:val="single" w:sz="4" w:space="0" w:color="E7E6E6"/>
                          <w:bottom w:val="single" w:sz="4" w:space="0" w:color="E7E6E6"/>
                          <w:right w:val="nil"/>
                        </w:tcBorders>
                      </w:tcPr>
                      <w:p w14:paraId="08266C4E" w14:textId="0836BFF7" w:rsidR="00390099" w:rsidRDefault="00CA3D95">
                        <w:r>
                          <w:t>NT334</w:t>
                        </w:r>
                      </w:p>
                    </w:tc>
                  </w:tr>
                  <w:tr w:rsidR="00390099" w14:paraId="253A7BE6" w14:textId="77777777">
                    <w:trPr>
                      <w:trHeight w:hRule="exact" w:val="569"/>
                    </w:trPr>
                    <w:tc>
                      <w:tcPr>
                        <w:tcW w:w="2988" w:type="dxa"/>
                        <w:tcBorders>
                          <w:top w:val="single" w:sz="4" w:space="0" w:color="E7E6E6"/>
                          <w:left w:val="nil"/>
                          <w:bottom w:val="single" w:sz="4" w:space="0" w:color="E7E6E6"/>
                          <w:right w:val="single" w:sz="4" w:space="0" w:color="E7E6E6"/>
                        </w:tcBorders>
                      </w:tcPr>
                      <w:p w14:paraId="6A95153D" w14:textId="77777777" w:rsidR="00390099" w:rsidRDefault="00CA3D95">
                        <w:pPr>
                          <w:pStyle w:val="TableParagraph"/>
                          <w:spacing w:before="145"/>
                          <w:ind w:left="107"/>
                        </w:pPr>
                        <w:r>
                          <w:t>Submission Date</w:t>
                        </w:r>
                      </w:p>
                    </w:tc>
                    <w:tc>
                      <w:tcPr>
                        <w:tcW w:w="8265" w:type="dxa"/>
                        <w:tcBorders>
                          <w:top w:val="single" w:sz="4" w:space="0" w:color="E7E6E6"/>
                          <w:left w:val="single" w:sz="4" w:space="0" w:color="E7E6E6"/>
                          <w:bottom w:val="single" w:sz="4" w:space="0" w:color="E7E6E6"/>
                          <w:right w:val="nil"/>
                        </w:tcBorders>
                      </w:tcPr>
                      <w:p w14:paraId="745CBFE4" w14:textId="77777777" w:rsidR="00390099" w:rsidRDefault="00CA3D95">
                        <w:pPr>
                          <w:pStyle w:val="TableParagraph"/>
                          <w:spacing w:line="268" w:lineRule="exact"/>
                          <w:ind w:left="103"/>
                        </w:pPr>
                        <w:r>
                          <w:t>February 25, 2019</w:t>
                        </w:r>
                      </w:p>
                    </w:tc>
                  </w:tr>
                  <w:tr w:rsidR="00390099" w14:paraId="58883422" w14:textId="77777777">
                    <w:trPr>
                      <w:trHeight w:hRule="exact" w:val="679"/>
                    </w:trPr>
                    <w:tc>
                      <w:tcPr>
                        <w:tcW w:w="2988" w:type="dxa"/>
                        <w:tcBorders>
                          <w:top w:val="single" w:sz="4" w:space="0" w:color="E7E6E6"/>
                          <w:left w:val="nil"/>
                          <w:bottom w:val="single" w:sz="4" w:space="0" w:color="E7E6E6"/>
                          <w:right w:val="single" w:sz="4" w:space="0" w:color="E7E6E6"/>
                        </w:tcBorders>
                      </w:tcPr>
                      <w:p w14:paraId="4FAFF9F3" w14:textId="77777777" w:rsidR="00390099" w:rsidRDefault="00390099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2D14BF7D" w14:textId="77777777" w:rsidR="00390099" w:rsidRDefault="00CA3D95">
                        <w:pPr>
                          <w:pStyle w:val="TableParagraph"/>
                          <w:ind w:left="107"/>
                        </w:pPr>
                        <w:r>
                          <w:t>Project Title</w:t>
                        </w:r>
                      </w:p>
                    </w:tc>
                    <w:tc>
                      <w:tcPr>
                        <w:tcW w:w="8265" w:type="dxa"/>
                        <w:tcBorders>
                          <w:top w:val="single" w:sz="4" w:space="0" w:color="E7E6E6"/>
                          <w:left w:val="single" w:sz="4" w:space="0" w:color="E7E6E6"/>
                          <w:bottom w:val="single" w:sz="4" w:space="0" w:color="E7E6E6"/>
                          <w:right w:val="nil"/>
                        </w:tcBorders>
                      </w:tcPr>
                      <w:p w14:paraId="1002DA95" w14:textId="77777777" w:rsidR="00390099" w:rsidRDefault="00CA3D95">
                        <w:pPr>
                          <w:pStyle w:val="TableParagraph"/>
                          <w:ind w:left="103" w:right="360"/>
                        </w:pPr>
                        <w:bookmarkStart w:id="0" w:name="_Hlk3289143"/>
                        <w:r>
                          <w:t xml:space="preserve">EHR And Genetic </w:t>
                        </w:r>
                        <w:proofErr w:type="spellStart"/>
                        <w:r>
                          <w:t>EoE</w:t>
                        </w:r>
                        <w:proofErr w:type="spellEnd"/>
                        <w:r>
                          <w:t xml:space="preserve"> Risk (EAGER): Integrating EHR and genetics to identify </w:t>
                        </w:r>
                        <w:proofErr w:type="spellStart"/>
                        <w:r>
                          <w:t>EoE</w:t>
                        </w:r>
                        <w:proofErr w:type="spellEnd"/>
                        <w:r>
                          <w:t xml:space="preserve"> risk and define </w:t>
                        </w:r>
                        <w:proofErr w:type="spellStart"/>
                        <w:r>
                          <w:t>subphenotypes</w:t>
                        </w:r>
                        <w:bookmarkEnd w:id="0"/>
                        <w:proofErr w:type="spellEnd"/>
                      </w:p>
                    </w:tc>
                  </w:tr>
                  <w:tr w:rsidR="00390099" w14:paraId="5BBB4961" w14:textId="77777777">
                    <w:trPr>
                      <w:trHeight w:hRule="exact" w:val="780"/>
                    </w:trPr>
                    <w:tc>
                      <w:tcPr>
                        <w:tcW w:w="2988" w:type="dxa"/>
                        <w:tcBorders>
                          <w:top w:val="single" w:sz="4" w:space="0" w:color="E7E6E6"/>
                          <w:left w:val="nil"/>
                          <w:bottom w:val="single" w:sz="4" w:space="0" w:color="E7E6E6"/>
                          <w:right w:val="single" w:sz="4" w:space="0" w:color="E7E6E6"/>
                        </w:tcBorders>
                      </w:tcPr>
                      <w:p w14:paraId="7C44EA6B" w14:textId="77777777" w:rsidR="00390099" w:rsidRDefault="00CA3D95">
                        <w:pPr>
                          <w:pStyle w:val="TableParagraph"/>
                          <w:spacing w:before="117" w:line="267" w:lineRule="exact"/>
                          <w:ind w:left="107"/>
                        </w:pPr>
                        <w:r>
                          <w:t>Tentative Lead Investigator</w:t>
                        </w:r>
                      </w:p>
                      <w:p w14:paraId="7AE2048D" w14:textId="77777777" w:rsidR="00390099" w:rsidRDefault="00CA3D95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(first author)</w:t>
                        </w:r>
                      </w:p>
                    </w:tc>
                    <w:tc>
                      <w:tcPr>
                        <w:tcW w:w="8265" w:type="dxa"/>
                        <w:tcBorders>
                          <w:top w:val="single" w:sz="4" w:space="0" w:color="E7E6E6"/>
                          <w:left w:val="single" w:sz="4" w:space="0" w:color="E7E6E6"/>
                          <w:bottom w:val="single" w:sz="4" w:space="0" w:color="E7E6E6"/>
                          <w:right w:val="nil"/>
                        </w:tcBorders>
                      </w:tcPr>
                      <w:p w14:paraId="4BD594D3" w14:textId="77777777" w:rsidR="00390099" w:rsidRDefault="00CA3D95">
                        <w:pPr>
                          <w:pStyle w:val="TableParagraph"/>
                          <w:spacing w:line="268" w:lineRule="exact"/>
                          <w:ind w:left="103"/>
                        </w:pPr>
                        <w:r>
                          <w:t>Benjamin Kuhn, Geisinger (brkuhn@geisinger.edu)</w:t>
                        </w:r>
                      </w:p>
                    </w:tc>
                  </w:tr>
                  <w:tr w:rsidR="00390099" w14:paraId="6C581708" w14:textId="77777777">
                    <w:trPr>
                      <w:trHeight w:hRule="exact" w:val="836"/>
                    </w:trPr>
                    <w:tc>
                      <w:tcPr>
                        <w:tcW w:w="2988" w:type="dxa"/>
                        <w:tcBorders>
                          <w:top w:val="single" w:sz="4" w:space="0" w:color="E7E6E6"/>
                          <w:left w:val="nil"/>
                          <w:bottom w:val="single" w:sz="4" w:space="0" w:color="E7E6E6"/>
                          <w:right w:val="single" w:sz="4" w:space="0" w:color="E7E6E6"/>
                        </w:tcBorders>
                      </w:tcPr>
                      <w:p w14:paraId="3AFAE934" w14:textId="77777777" w:rsidR="00390099" w:rsidRDefault="00CA3D95">
                        <w:pPr>
                          <w:pStyle w:val="TableParagraph"/>
                          <w:spacing w:before="143"/>
                          <w:ind w:left="107"/>
                        </w:pPr>
                        <w:r>
                          <w:t>Tentative Senior Authors</w:t>
                        </w:r>
                      </w:p>
                      <w:p w14:paraId="46D136FF" w14:textId="77777777" w:rsidR="00390099" w:rsidRDefault="00CA3D95">
                        <w:pPr>
                          <w:pStyle w:val="TableParagraph"/>
                          <w:ind w:left="10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(last author)</w:t>
                        </w:r>
                      </w:p>
                    </w:tc>
                    <w:tc>
                      <w:tcPr>
                        <w:tcW w:w="8265" w:type="dxa"/>
                        <w:tcBorders>
                          <w:top w:val="single" w:sz="4" w:space="0" w:color="E7E6E6"/>
                          <w:left w:val="single" w:sz="4" w:space="0" w:color="E7E6E6"/>
                          <w:bottom w:val="single" w:sz="4" w:space="0" w:color="E7E6E6"/>
                          <w:right w:val="nil"/>
                        </w:tcBorders>
                      </w:tcPr>
                      <w:p w14:paraId="6337BCEF" w14:textId="77777777" w:rsidR="00390099" w:rsidRDefault="00CA3D95">
                        <w:pPr>
                          <w:pStyle w:val="TableParagraph"/>
                          <w:spacing w:line="268" w:lineRule="exact"/>
                          <w:ind w:left="103"/>
                        </w:pPr>
                        <w:r>
                          <w:t>Anne Justice, Geisinger (aejustice1@geisinger.edu)</w:t>
                        </w:r>
                      </w:p>
                    </w:tc>
                  </w:tr>
                  <w:tr w:rsidR="00390099" w14:paraId="1E9B58AD" w14:textId="77777777">
                    <w:trPr>
                      <w:trHeight w:hRule="exact" w:val="679"/>
                    </w:trPr>
                    <w:tc>
                      <w:tcPr>
                        <w:tcW w:w="2988" w:type="dxa"/>
                        <w:tcBorders>
                          <w:top w:val="single" w:sz="4" w:space="0" w:color="E7E6E6"/>
                          <w:left w:val="nil"/>
                          <w:bottom w:val="single" w:sz="4" w:space="0" w:color="E7E6E6"/>
                          <w:right w:val="single" w:sz="4" w:space="0" w:color="E7E6E6"/>
                        </w:tcBorders>
                      </w:tcPr>
                      <w:p w14:paraId="0A787191" w14:textId="77777777" w:rsidR="00390099" w:rsidRDefault="00390099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49A96B44" w14:textId="77777777" w:rsidR="00390099" w:rsidRDefault="00CA3D95">
                        <w:pPr>
                          <w:pStyle w:val="TableParagraph"/>
                          <w:ind w:left="107"/>
                        </w:pPr>
                        <w:r>
                          <w:t>All Other Authors</w:t>
                        </w:r>
                      </w:p>
                    </w:tc>
                    <w:tc>
                      <w:tcPr>
                        <w:tcW w:w="8265" w:type="dxa"/>
                        <w:tcBorders>
                          <w:top w:val="single" w:sz="4" w:space="0" w:color="E7E6E6"/>
                          <w:left w:val="single" w:sz="4" w:space="0" w:color="E7E6E6"/>
                          <w:bottom w:val="single" w:sz="4" w:space="0" w:color="E7E6E6"/>
                          <w:right w:val="nil"/>
                        </w:tcBorders>
                      </w:tcPr>
                      <w:p w14:paraId="0384F443" w14:textId="77777777" w:rsidR="00390099" w:rsidRDefault="00CA3D95">
                        <w:pPr>
                          <w:pStyle w:val="TableParagraph"/>
                          <w:spacing w:line="268" w:lineRule="exact"/>
                          <w:ind w:left="103"/>
                        </w:pPr>
                        <w:r>
                          <w:t>Geetha Chittoor, Nephi Walton, Darren Johnson, Marc Williams, Jennifer E. Below</w:t>
                        </w:r>
                      </w:p>
                    </w:tc>
                  </w:tr>
                  <w:tr w:rsidR="00390099" w14:paraId="5B5D1CE8" w14:textId="77777777">
                    <w:trPr>
                      <w:trHeight w:hRule="exact" w:val="679"/>
                    </w:trPr>
                    <w:tc>
                      <w:tcPr>
                        <w:tcW w:w="2988" w:type="dxa"/>
                        <w:tcBorders>
                          <w:top w:val="single" w:sz="4" w:space="0" w:color="E7E6E6"/>
                          <w:left w:val="nil"/>
                          <w:bottom w:val="single" w:sz="4" w:space="0" w:color="E7E6E6"/>
                          <w:right w:val="single" w:sz="4" w:space="0" w:color="E7E6E6"/>
                        </w:tcBorders>
                      </w:tcPr>
                      <w:p w14:paraId="48A5B060" w14:textId="77777777" w:rsidR="00390099" w:rsidRDefault="00390099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176C3050" w14:textId="77777777" w:rsidR="00390099" w:rsidRDefault="00CA3D95">
                        <w:pPr>
                          <w:pStyle w:val="TableParagraph"/>
                          <w:ind w:left="107"/>
                        </w:pPr>
                        <w:r>
                          <w:t>Sites Involved</w:t>
                        </w:r>
                      </w:p>
                    </w:tc>
                    <w:tc>
                      <w:tcPr>
                        <w:tcW w:w="8265" w:type="dxa"/>
                        <w:tcBorders>
                          <w:top w:val="single" w:sz="4" w:space="0" w:color="E7E6E6"/>
                          <w:left w:val="single" w:sz="4" w:space="0" w:color="E7E6E6"/>
                          <w:bottom w:val="single" w:sz="4" w:space="0" w:color="E7E6E6"/>
                          <w:right w:val="nil"/>
                        </w:tcBorders>
                      </w:tcPr>
                      <w:p w14:paraId="2C8633F2" w14:textId="77777777" w:rsidR="00390099" w:rsidRDefault="00390099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33839E4F" w14:textId="656A7C06" w:rsidR="00390099" w:rsidRDefault="00052D44">
                        <w:pPr>
                          <w:pStyle w:val="TableParagraph"/>
                          <w:ind w:left="103"/>
                        </w:pPr>
                        <w:r>
                          <w:t xml:space="preserve">All Interested </w:t>
                        </w:r>
                        <w:proofErr w:type="spellStart"/>
                        <w:r>
                          <w:t>eMERGE</w:t>
                        </w:r>
                        <w:proofErr w:type="spellEnd"/>
                        <w:r>
                          <w:t xml:space="preserve"> sites</w:t>
                        </w:r>
                      </w:p>
                    </w:tc>
                  </w:tr>
                  <w:tr w:rsidR="00390099" w14:paraId="726538B6" w14:textId="77777777">
                    <w:trPr>
                      <w:trHeight w:hRule="exact" w:val="4916"/>
                    </w:trPr>
                    <w:tc>
                      <w:tcPr>
                        <w:tcW w:w="2988" w:type="dxa"/>
                        <w:tcBorders>
                          <w:top w:val="single" w:sz="4" w:space="0" w:color="E7E6E6"/>
                          <w:left w:val="nil"/>
                          <w:bottom w:val="single" w:sz="4" w:space="0" w:color="E7E6E6"/>
                          <w:right w:val="single" w:sz="4" w:space="0" w:color="E7E6E6"/>
                        </w:tcBorders>
                      </w:tcPr>
                      <w:p w14:paraId="1E2AD2D0" w14:textId="77777777" w:rsidR="00390099" w:rsidRDefault="0039009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6BE649EE" w14:textId="77777777" w:rsidR="00390099" w:rsidRDefault="0039009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7CAF1D87" w14:textId="77777777" w:rsidR="00390099" w:rsidRDefault="0039009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650CBDCD" w14:textId="77777777" w:rsidR="00390099" w:rsidRDefault="0039009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34DA41C2" w14:textId="77777777" w:rsidR="00390099" w:rsidRDefault="0039009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3419729D" w14:textId="77777777" w:rsidR="00390099" w:rsidRDefault="0039009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4F4EC148" w14:textId="77777777" w:rsidR="00390099" w:rsidRDefault="0039009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1B59D59A" w14:textId="77777777" w:rsidR="00390099" w:rsidRDefault="0039009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606444BE" w14:textId="77777777" w:rsidR="00390099" w:rsidRDefault="00390099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01AE1806" w14:textId="77777777" w:rsidR="00390099" w:rsidRDefault="00CA3D95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Background / Significance</w:t>
                        </w:r>
                      </w:p>
                    </w:tc>
                    <w:tc>
                      <w:tcPr>
                        <w:tcW w:w="8265" w:type="dxa"/>
                        <w:tcBorders>
                          <w:top w:val="single" w:sz="4" w:space="0" w:color="E7E6E6"/>
                          <w:left w:val="single" w:sz="4" w:space="0" w:color="E7E6E6"/>
                          <w:bottom w:val="single" w:sz="4" w:space="0" w:color="E7E6E6"/>
                          <w:right w:val="nil"/>
                        </w:tcBorders>
                      </w:tcPr>
                      <w:p w14:paraId="0EDC6058" w14:textId="77777777" w:rsidR="00390099" w:rsidRDefault="00CA3D9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23"/>
                            <w:tab w:val="left" w:pos="824"/>
                          </w:tabs>
                          <w:ind w:right="370"/>
                        </w:pPr>
                        <w:r>
                          <w:t>Eosinophilic esophagitis (</w:t>
                        </w:r>
                        <w:proofErr w:type="spellStart"/>
                        <w:r>
                          <w:t>EoE</w:t>
                        </w:r>
                        <w:proofErr w:type="spellEnd"/>
                        <w:r>
                          <w:t>) is a debilitating disease of the gastrointestinal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>(GI) tract.</w:t>
                        </w:r>
                      </w:p>
                      <w:p w14:paraId="3768D25C" w14:textId="77777777" w:rsidR="00390099" w:rsidRDefault="00CA3D9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1"/>
                          <w:ind w:right="163"/>
                        </w:pPr>
                        <w:r>
                          <w:t>In young infants and children, it manifests as vomiting, trouble feeding, and</w:t>
                        </w:r>
                        <w:r>
                          <w:rPr>
                            <w:spacing w:val="-30"/>
                          </w:rPr>
                          <w:t xml:space="preserve"> </w:t>
                        </w:r>
                        <w:r>
                          <w:t>failure to thrive. As the children age, their difficulties with eating food continue, and they often experience substantial physical and psychological symptoms that impair their daily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activities.</w:t>
                        </w:r>
                      </w:p>
                      <w:p w14:paraId="4B5ADB5A" w14:textId="77777777" w:rsidR="00390099" w:rsidRDefault="00CA3D9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1"/>
                        </w:pPr>
                        <w:r>
                          <w:t xml:space="preserve">As adults, patients with untreated </w:t>
                        </w:r>
                        <w:proofErr w:type="spellStart"/>
                        <w:r>
                          <w:t>EoE</w:t>
                        </w:r>
                        <w:proofErr w:type="spellEnd"/>
                        <w:r>
                          <w:t xml:space="preserve"> often experience food dysphagia,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>requiring</w:t>
                        </w:r>
                      </w:p>
                      <w:p w14:paraId="779DF3EB" w14:textId="77777777" w:rsidR="00390099" w:rsidRDefault="00CA3D95">
                        <w:pPr>
                          <w:pStyle w:val="TableParagraph"/>
                          <w:ind w:left="823"/>
                        </w:pPr>
                        <w:r>
                          <w:t>endoscopy to remove food stuck in the patient’s inflamed esophagus.</w:t>
                        </w:r>
                      </w:p>
                      <w:p w14:paraId="01A3719D" w14:textId="77777777" w:rsidR="00390099" w:rsidRDefault="00CA3D9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23"/>
                            <w:tab w:val="left" w:pos="824"/>
                          </w:tabs>
                          <w:ind w:right="155"/>
                        </w:pPr>
                        <w:proofErr w:type="spellStart"/>
                        <w:r>
                          <w:t>EoE</w:t>
                        </w:r>
                        <w:proofErr w:type="spellEnd"/>
                        <w:r>
                          <w:t xml:space="preserve"> is considered a rare disease, it occurs in 4-15/10,000 people and is the leading cause for chronic dysphagia in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adults.</w:t>
                        </w:r>
                      </w:p>
                      <w:p w14:paraId="764A5598" w14:textId="77777777" w:rsidR="00390099" w:rsidRDefault="00CA3D9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23"/>
                            <w:tab w:val="left" w:pos="824"/>
                          </w:tabs>
                          <w:ind w:right="380"/>
                        </w:pPr>
                        <w:r>
                          <w:t xml:space="preserve">To date, genome-wide association studies (GWAS) have identified 10 genome- wide significant single nucleotide polymorphisms (SNPs) in 7 loci that increase a patient's risk of developing </w:t>
                        </w:r>
                        <w:proofErr w:type="spellStart"/>
                        <w:r>
                          <w:t>EoE</w:t>
                        </w:r>
                        <w:proofErr w:type="spellEnd"/>
                        <w:r>
                          <w:t xml:space="preserve">. Two well-replicated loci highlight increased </w:t>
                        </w:r>
                        <w:proofErr w:type="spellStart"/>
                        <w:r>
                          <w:t>EoE</w:t>
                        </w:r>
                        <w:proofErr w:type="spellEnd"/>
                        <w:r>
                          <w:t xml:space="preserve"> risk through the genotype-dependent expression of </w:t>
                        </w:r>
                        <w:r>
                          <w:rPr>
                            <w:i/>
                          </w:rPr>
                          <w:t xml:space="preserve">TSLP </w:t>
                        </w:r>
                        <w:r>
                          <w:t>and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CAPN14</w:t>
                        </w:r>
                        <w:r>
                          <w:t>.</w:t>
                        </w:r>
                      </w:p>
                      <w:p w14:paraId="1CC2A5F4" w14:textId="77777777" w:rsidR="00390099" w:rsidRDefault="00CA3D9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23"/>
                            <w:tab w:val="left" w:pos="824"/>
                          </w:tabs>
                          <w:ind w:right="124"/>
                        </w:pPr>
                        <w:r>
                          <w:t>However, none of the previous studies considered structural variants,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such as copy number variants (CNVs), took advantage of high-density imputation or sequence data to narrow in on causal variants within these loci, or examined genetic risk in non-European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populations.</w:t>
                        </w:r>
                      </w:p>
                    </w:tc>
                  </w:tr>
                  <w:tr w:rsidR="00390099" w14:paraId="43D39C5C" w14:textId="77777777">
                    <w:trPr>
                      <w:trHeight w:hRule="exact" w:val="2463"/>
                    </w:trPr>
                    <w:tc>
                      <w:tcPr>
                        <w:tcW w:w="2988" w:type="dxa"/>
                        <w:tcBorders>
                          <w:top w:val="single" w:sz="4" w:space="0" w:color="E7E6E6"/>
                          <w:left w:val="nil"/>
                          <w:bottom w:val="single" w:sz="4" w:space="0" w:color="E7E6E6"/>
                          <w:right w:val="single" w:sz="4" w:space="0" w:color="E7E6E6"/>
                        </w:tcBorders>
                      </w:tcPr>
                      <w:p w14:paraId="303D8B5D" w14:textId="77777777" w:rsidR="00390099" w:rsidRDefault="0039009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44184255" w14:textId="77777777" w:rsidR="00390099" w:rsidRDefault="0039009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71B57EA8" w14:textId="77777777" w:rsidR="00390099" w:rsidRDefault="0039009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14:paraId="5AC8F3AF" w14:textId="77777777" w:rsidR="00390099" w:rsidRDefault="00390099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6A3955C4" w14:textId="77777777" w:rsidR="00390099" w:rsidRDefault="00CA3D95">
                        <w:pPr>
                          <w:pStyle w:val="TableParagraph"/>
                          <w:ind w:left="107"/>
                        </w:pPr>
                        <w:r>
                          <w:t>Outline of Project</w:t>
                        </w:r>
                      </w:p>
                    </w:tc>
                    <w:tc>
                      <w:tcPr>
                        <w:tcW w:w="8265" w:type="dxa"/>
                        <w:tcBorders>
                          <w:top w:val="single" w:sz="4" w:space="0" w:color="E7E6E6"/>
                          <w:left w:val="single" w:sz="4" w:space="0" w:color="E7E6E6"/>
                          <w:bottom w:val="single" w:sz="4" w:space="0" w:color="E7E6E6"/>
                          <w:right w:val="nil"/>
                        </w:tcBorders>
                      </w:tcPr>
                      <w:p w14:paraId="349C2E33" w14:textId="72D4D417" w:rsidR="00390099" w:rsidRDefault="00CA3D95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23"/>
                            <w:tab w:val="left" w:pos="824"/>
                          </w:tabs>
                          <w:ind w:right="167"/>
                        </w:pPr>
                        <w:r>
                          <w:t xml:space="preserve">We will conduct a meta-analysis of Geisinger’s </w:t>
                        </w:r>
                        <w:proofErr w:type="spellStart"/>
                        <w:r>
                          <w:t>DiscovEHR</w:t>
                        </w:r>
                        <w:proofErr w:type="spellEnd"/>
                        <w:r>
                          <w:t xml:space="preserve"> data with participating </w:t>
                        </w:r>
                        <w:proofErr w:type="spellStart"/>
                        <w:r>
                          <w:t>eMERGE</w:t>
                        </w:r>
                        <w:proofErr w:type="spellEnd"/>
                        <w:r>
                          <w:t xml:space="preserve"> sites (excluding Vanderbilt</w:t>
                        </w:r>
                        <w:r w:rsidR="00052D44">
                          <w:t xml:space="preserve"> separately from </w:t>
                        </w:r>
                        <w:proofErr w:type="spellStart"/>
                        <w:r w:rsidR="00052D44">
                          <w:t>BioVU</w:t>
                        </w:r>
                        <w:proofErr w:type="spellEnd"/>
                        <w:r w:rsidR="00052D44">
                          <w:t xml:space="preserve"> to not overlap samples in our discovery and replication data sets; VUMC participant is welcomed</w:t>
                        </w:r>
                        <w:r>
                          <w:t xml:space="preserve">) to identify genetic susceptibility variants and genomic regions for </w:t>
                        </w:r>
                        <w:proofErr w:type="spellStart"/>
                        <w:r>
                          <w:t>EoE</w:t>
                        </w:r>
                        <w:proofErr w:type="spellEnd"/>
                        <w:r>
                          <w:t>, including SNPs, single nucleotide variants (SNVs), CNVs, and perform aggregate tests of association (i.e. burden-type, gene-wise tests), while explic</w:t>
                        </w:r>
                        <w:bookmarkStart w:id="1" w:name="_GoBack"/>
                        <w:bookmarkEnd w:id="1"/>
                        <w:r>
                          <w:t>itly accounting for sex- specific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effects.</w:t>
                        </w:r>
                      </w:p>
                      <w:p w14:paraId="66A526E1" w14:textId="77777777" w:rsidR="00390099" w:rsidRDefault="00CA3D95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1"/>
                          <w:ind w:right="224"/>
                        </w:pPr>
                        <w:r>
                          <w:t>We will perform phenome-wide association study (</w:t>
                        </w:r>
                        <w:proofErr w:type="spellStart"/>
                        <w:r>
                          <w:t>PheWAS</w:t>
                        </w:r>
                        <w:proofErr w:type="spellEnd"/>
                        <w:r>
                          <w:t xml:space="preserve">) for </w:t>
                        </w:r>
                        <w:proofErr w:type="spellStart"/>
                        <w:r>
                          <w:t>EoE</w:t>
                        </w:r>
                        <w:proofErr w:type="spellEnd"/>
                        <w:r>
                          <w:t xml:space="preserve"> susceptibility variants in the </w:t>
                        </w:r>
                        <w:proofErr w:type="spellStart"/>
                        <w:r>
                          <w:t>DiscovEHR</w:t>
                        </w:r>
                        <w:proofErr w:type="spellEnd"/>
                        <w:r>
                          <w:t xml:space="preserve"> and broader </w:t>
                        </w:r>
                        <w:proofErr w:type="spellStart"/>
                        <w:r>
                          <w:t>eMERGE</w:t>
                        </w:r>
                        <w:proofErr w:type="spellEnd"/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t>consortia.</w:t>
                        </w:r>
                      </w:p>
                      <w:p w14:paraId="68D16319" w14:textId="77777777" w:rsidR="00390099" w:rsidRDefault="00CA3D95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23"/>
                            <w:tab w:val="left" w:pos="824"/>
                          </w:tabs>
                        </w:pPr>
                        <w:r>
                          <w:t>We will replicate significant findings in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proofErr w:type="spellStart"/>
                        <w:r>
                          <w:t>BioVU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</w:tbl>
                <w:p w14:paraId="28224CF1" w14:textId="77777777" w:rsidR="00390099" w:rsidRDefault="0039009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05BE8D40" w14:textId="77777777" w:rsidR="00390099" w:rsidRDefault="00390099">
      <w:pPr>
        <w:rPr>
          <w:rFonts w:ascii="Times New Roman"/>
          <w:sz w:val="17"/>
        </w:rPr>
        <w:sectPr w:rsidR="00390099">
          <w:headerReference w:type="default" r:id="rId7"/>
          <w:footerReference w:type="default" r:id="rId8"/>
          <w:type w:val="continuous"/>
          <w:pgSz w:w="12240" w:h="15840"/>
          <w:pgMar w:top="1020" w:right="300" w:bottom="1140" w:left="420" w:header="720" w:footer="960" w:gutter="0"/>
          <w:pgNumType w:start="1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8265"/>
      </w:tblGrid>
      <w:tr w:rsidR="00390099" w14:paraId="7B1E90AE" w14:textId="77777777">
        <w:trPr>
          <w:trHeight w:hRule="exact" w:val="1095"/>
        </w:trPr>
        <w:tc>
          <w:tcPr>
            <w:tcW w:w="3003" w:type="dxa"/>
            <w:tcBorders>
              <w:left w:val="nil"/>
            </w:tcBorders>
          </w:tcPr>
          <w:p w14:paraId="7A3D76E9" w14:textId="77777777" w:rsidR="00390099" w:rsidRDefault="00390099"/>
        </w:tc>
        <w:tc>
          <w:tcPr>
            <w:tcW w:w="8265" w:type="dxa"/>
            <w:tcBorders>
              <w:right w:val="nil"/>
            </w:tcBorders>
          </w:tcPr>
          <w:p w14:paraId="2307BE5C" w14:textId="77777777" w:rsidR="00390099" w:rsidRDefault="00CA3D95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right="275"/>
            </w:pPr>
            <w:r>
              <w:t>This</w:t>
            </w:r>
            <w:r>
              <w:rPr>
                <w:spacing w:val="-9"/>
              </w:rPr>
              <w:t xml:space="preserve"> </w:t>
            </w:r>
            <w:r>
              <w:t>investigation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expands</w:t>
            </w:r>
            <w:r>
              <w:rPr>
                <w:spacing w:val="-9"/>
              </w:rPr>
              <w:t xml:space="preserve"> </w:t>
            </w:r>
            <w:r>
              <w:t>further</w:t>
            </w:r>
            <w:r>
              <w:rPr>
                <w:spacing w:val="-11"/>
              </w:rPr>
              <w:t xml:space="preserve"> </w:t>
            </w:r>
            <w:r>
              <w:t>than</w:t>
            </w:r>
            <w:r>
              <w:rPr>
                <w:spacing w:val="-9"/>
              </w:rPr>
              <w:t xml:space="preserve"> </w:t>
            </w:r>
            <w:r>
              <w:t>previous</w:t>
            </w:r>
            <w:r>
              <w:rPr>
                <w:spacing w:val="-9"/>
              </w:rPr>
              <w:t xml:space="preserve"> </w:t>
            </w:r>
            <w:proofErr w:type="spellStart"/>
            <w:r>
              <w:t>EoE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GWAS</w:t>
            </w:r>
            <w:r>
              <w:rPr>
                <w:spacing w:val="-11"/>
              </w:rPr>
              <w:t xml:space="preserve"> </w:t>
            </w:r>
            <w:r>
              <w:t>efforts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3"/>
              </w:rPr>
              <w:t>eMERGE</w:t>
            </w:r>
            <w:proofErr w:type="spellEnd"/>
            <w:r>
              <w:rPr>
                <w:spacing w:val="-11"/>
              </w:rPr>
              <w:t xml:space="preserve"> </w:t>
            </w:r>
            <w:r>
              <w:t xml:space="preserve">and other </w:t>
            </w:r>
            <w:r>
              <w:rPr>
                <w:spacing w:val="-3"/>
              </w:rPr>
              <w:t xml:space="preserve">published studies, </w:t>
            </w:r>
            <w:r>
              <w:t xml:space="preserve">as it includes 1) replication of significant findings; 2) includes low-frequency/rare variants (incl. gene-based); 3) CNVs; 4) X and Y- </w:t>
            </w:r>
            <w:proofErr w:type="spellStart"/>
            <w:r>
              <w:t>chromsome</w:t>
            </w:r>
            <w:proofErr w:type="spellEnd"/>
            <w:r>
              <w:t xml:space="preserve">; 5) sex-interaction; 6) and </w:t>
            </w:r>
            <w:proofErr w:type="spellStart"/>
            <w:r>
              <w:t>PheWAS</w:t>
            </w:r>
            <w:proofErr w:type="spellEnd"/>
            <w:r>
              <w:t xml:space="preserve"> in secondary</w:t>
            </w:r>
            <w:r>
              <w:rPr>
                <w:spacing w:val="-27"/>
              </w:rPr>
              <w:t xml:space="preserve"> </w:t>
            </w:r>
            <w:r>
              <w:t>analyses.</w:t>
            </w:r>
          </w:p>
        </w:tc>
      </w:tr>
      <w:tr w:rsidR="00390099" w14:paraId="37E0D434" w14:textId="77777777">
        <w:trPr>
          <w:trHeight w:hRule="exact" w:val="6538"/>
        </w:trPr>
        <w:tc>
          <w:tcPr>
            <w:tcW w:w="3003" w:type="dxa"/>
            <w:tcBorders>
              <w:left w:val="nil"/>
            </w:tcBorders>
          </w:tcPr>
          <w:p w14:paraId="5EA16B6E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71A33D7D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1E7ADF25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6ACF564C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2F2E82DE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265F4FCC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31851416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596054B3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5F9E4685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560440F2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7C3C5B94" w14:textId="77777777" w:rsidR="00390099" w:rsidRDefault="00390099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2922A89" w14:textId="77777777" w:rsidR="00390099" w:rsidRDefault="00CA3D95">
            <w:pPr>
              <w:pStyle w:val="TableParagraph"/>
              <w:ind w:left="122" w:right="526"/>
              <w:rPr>
                <w:i/>
              </w:rPr>
            </w:pPr>
            <w:r>
              <w:t xml:space="preserve">Desired Variables </w:t>
            </w:r>
            <w:r>
              <w:rPr>
                <w:i/>
              </w:rPr>
              <w:t>(essential for analysis indicated by *)</w:t>
            </w:r>
          </w:p>
        </w:tc>
        <w:tc>
          <w:tcPr>
            <w:tcW w:w="8265" w:type="dxa"/>
            <w:tcBorders>
              <w:right w:val="nil"/>
            </w:tcBorders>
          </w:tcPr>
          <w:p w14:paraId="2C76A7A8" w14:textId="77777777" w:rsidR="00390099" w:rsidRDefault="00CA3D9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68" w:lineRule="exact"/>
              <w:ind w:hanging="720"/>
            </w:pPr>
            <w:r>
              <w:t>Age (at each</w:t>
            </w:r>
            <w:r>
              <w:rPr>
                <w:spacing w:val="-10"/>
              </w:rPr>
              <w:t xml:space="preserve"> </w:t>
            </w:r>
            <w:r>
              <w:t>encounter)</w:t>
            </w:r>
          </w:p>
          <w:p w14:paraId="5F0AA25C" w14:textId="77777777" w:rsidR="00390099" w:rsidRDefault="00CA3D9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hanging="720"/>
            </w:pPr>
            <w:r>
              <w:t>Sex</w:t>
            </w:r>
          </w:p>
          <w:p w14:paraId="36038474" w14:textId="77777777" w:rsidR="00390099" w:rsidRDefault="00CA3D9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hanging="720"/>
            </w:pPr>
            <w:r>
              <w:t>Medications (Yes/No flag) and date of</w:t>
            </w:r>
            <w:r>
              <w:rPr>
                <w:spacing w:val="-21"/>
              </w:rPr>
              <w:t xml:space="preserve"> </w:t>
            </w:r>
            <w:r>
              <w:t>prescription</w:t>
            </w:r>
          </w:p>
          <w:p w14:paraId="3FFD3899" w14:textId="77777777" w:rsidR="00390099" w:rsidRDefault="00CA3D95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</w:pPr>
            <w:r>
              <w:t>“GERD”</w:t>
            </w:r>
            <w:r>
              <w:rPr>
                <w:spacing w:val="-2"/>
              </w:rPr>
              <w:t xml:space="preserve"> </w:t>
            </w:r>
            <w:r>
              <w:t>medications:</w:t>
            </w:r>
          </w:p>
          <w:p w14:paraId="707112FB" w14:textId="77777777" w:rsidR="00390099" w:rsidRDefault="00CA3D95">
            <w:pPr>
              <w:pStyle w:val="TableParagraph"/>
              <w:numPr>
                <w:ilvl w:val="2"/>
                <w:numId w:val="1"/>
              </w:numPr>
              <w:tabs>
                <w:tab w:val="left" w:pos="1543"/>
                <w:tab w:val="left" w:pos="1544"/>
              </w:tabs>
              <w:spacing w:line="272" w:lineRule="exact"/>
            </w:pPr>
            <w:r>
              <w:t>H-2</w:t>
            </w:r>
            <w:r>
              <w:rPr>
                <w:spacing w:val="-7"/>
              </w:rPr>
              <w:t xml:space="preserve"> </w:t>
            </w:r>
            <w:r>
              <w:t>ANTAGONISTS</w:t>
            </w:r>
          </w:p>
          <w:p w14:paraId="3CF21960" w14:textId="77777777" w:rsidR="00390099" w:rsidRDefault="00CA3D95">
            <w:pPr>
              <w:pStyle w:val="TableParagraph"/>
              <w:numPr>
                <w:ilvl w:val="2"/>
                <w:numId w:val="1"/>
              </w:numPr>
              <w:tabs>
                <w:tab w:val="left" w:pos="1543"/>
                <w:tab w:val="left" w:pos="1544"/>
              </w:tabs>
              <w:spacing w:line="269" w:lineRule="exact"/>
            </w:pPr>
            <w:r>
              <w:t>PROTON PUMP</w:t>
            </w:r>
            <w:r>
              <w:rPr>
                <w:spacing w:val="-12"/>
              </w:rPr>
              <w:t xml:space="preserve"> </w:t>
            </w:r>
            <w:r>
              <w:t>INHIBITORS</w:t>
            </w:r>
          </w:p>
          <w:p w14:paraId="2EC44AD2" w14:textId="77777777" w:rsidR="00390099" w:rsidRDefault="00CA3D95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  <w:spacing w:line="276" w:lineRule="exact"/>
            </w:pPr>
            <w:r>
              <w:t>“Asthma”</w:t>
            </w:r>
            <w:r>
              <w:rPr>
                <w:spacing w:val="-7"/>
              </w:rPr>
              <w:t xml:space="preserve"> </w:t>
            </w:r>
            <w:r>
              <w:t>medications</w:t>
            </w:r>
          </w:p>
          <w:p w14:paraId="3B77370D" w14:textId="77777777" w:rsidR="00390099" w:rsidRDefault="00CA3D95">
            <w:pPr>
              <w:pStyle w:val="TableParagraph"/>
              <w:numPr>
                <w:ilvl w:val="2"/>
                <w:numId w:val="1"/>
              </w:numPr>
              <w:tabs>
                <w:tab w:val="left" w:pos="1543"/>
                <w:tab w:val="left" w:pos="1544"/>
              </w:tabs>
              <w:spacing w:line="271" w:lineRule="exact"/>
            </w:pPr>
            <w:r>
              <w:t>ASTHMA AND BRONCHODILATOR AGENT</w:t>
            </w:r>
            <w:r>
              <w:rPr>
                <w:spacing w:val="-27"/>
              </w:rPr>
              <w:t xml:space="preserve"> </w:t>
            </w:r>
            <w:r>
              <w:t>COMBINATIONS</w:t>
            </w:r>
          </w:p>
          <w:p w14:paraId="6787C29D" w14:textId="77777777" w:rsidR="00390099" w:rsidRDefault="00CA3D95">
            <w:pPr>
              <w:pStyle w:val="TableParagraph"/>
              <w:numPr>
                <w:ilvl w:val="2"/>
                <w:numId w:val="1"/>
              </w:numPr>
              <w:tabs>
                <w:tab w:val="left" w:pos="1543"/>
                <w:tab w:val="left" w:pos="1544"/>
              </w:tabs>
              <w:spacing w:line="269" w:lineRule="exact"/>
            </w:pPr>
            <w:r>
              <w:t>BRONCHODILATORS –</w:t>
            </w:r>
            <w:r>
              <w:rPr>
                <w:spacing w:val="-18"/>
              </w:rPr>
              <w:t xml:space="preserve"> </w:t>
            </w:r>
            <w:r>
              <w:t>ANTICHOLINERGICS</w:t>
            </w:r>
          </w:p>
          <w:p w14:paraId="5E41F985" w14:textId="77777777" w:rsidR="00390099" w:rsidRDefault="00CA3D95">
            <w:pPr>
              <w:pStyle w:val="TableParagraph"/>
              <w:numPr>
                <w:ilvl w:val="2"/>
                <w:numId w:val="1"/>
              </w:numPr>
              <w:tabs>
                <w:tab w:val="left" w:pos="1543"/>
                <w:tab w:val="left" w:pos="1544"/>
              </w:tabs>
              <w:spacing w:line="269" w:lineRule="exact"/>
            </w:pPr>
            <w:r>
              <w:t>STEROID</w:t>
            </w:r>
            <w:r>
              <w:rPr>
                <w:spacing w:val="-8"/>
              </w:rPr>
              <w:t xml:space="preserve"> </w:t>
            </w:r>
            <w:r>
              <w:t>INHALANTS</w:t>
            </w:r>
          </w:p>
          <w:p w14:paraId="240E4028" w14:textId="77777777" w:rsidR="00390099" w:rsidRDefault="00CA3D95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  <w:spacing w:line="277" w:lineRule="exact"/>
            </w:pPr>
            <w:r>
              <w:t>“Allergy”</w:t>
            </w:r>
            <w:r>
              <w:rPr>
                <w:spacing w:val="-7"/>
              </w:rPr>
              <w:t xml:space="preserve"> </w:t>
            </w:r>
            <w:r>
              <w:t>medications</w:t>
            </w:r>
          </w:p>
          <w:p w14:paraId="51BFF408" w14:textId="77777777" w:rsidR="00390099" w:rsidRDefault="00CA3D95">
            <w:pPr>
              <w:pStyle w:val="TableParagraph"/>
              <w:numPr>
                <w:ilvl w:val="2"/>
                <w:numId w:val="1"/>
              </w:numPr>
              <w:tabs>
                <w:tab w:val="left" w:pos="1543"/>
                <w:tab w:val="left" w:pos="1544"/>
              </w:tabs>
              <w:spacing w:before="1" w:line="272" w:lineRule="exact"/>
            </w:pPr>
            <w:r>
              <w:t>ANTIHISTAMINES -</w:t>
            </w:r>
            <w:r>
              <w:rPr>
                <w:spacing w:val="-16"/>
              </w:rPr>
              <w:t xml:space="preserve"> </w:t>
            </w:r>
            <w:r>
              <w:t>NON-SEDATING</w:t>
            </w:r>
          </w:p>
          <w:p w14:paraId="4C01A4E8" w14:textId="77777777" w:rsidR="00390099" w:rsidRDefault="00CA3D95">
            <w:pPr>
              <w:pStyle w:val="TableParagraph"/>
              <w:numPr>
                <w:ilvl w:val="2"/>
                <w:numId w:val="1"/>
              </w:numPr>
              <w:tabs>
                <w:tab w:val="left" w:pos="1543"/>
                <w:tab w:val="left" w:pos="1544"/>
              </w:tabs>
              <w:spacing w:line="269" w:lineRule="exact"/>
            </w:pPr>
            <w:r>
              <w:t>NASAL</w:t>
            </w:r>
            <w:r>
              <w:rPr>
                <w:spacing w:val="-5"/>
              </w:rPr>
              <w:t xml:space="preserve"> </w:t>
            </w:r>
            <w:r>
              <w:t>STEROIDS</w:t>
            </w:r>
          </w:p>
          <w:p w14:paraId="7620357D" w14:textId="77777777" w:rsidR="00390099" w:rsidRDefault="00CA3D95">
            <w:pPr>
              <w:pStyle w:val="TableParagraph"/>
              <w:numPr>
                <w:ilvl w:val="2"/>
                <w:numId w:val="1"/>
              </w:numPr>
              <w:tabs>
                <w:tab w:val="left" w:pos="1543"/>
                <w:tab w:val="left" w:pos="1544"/>
              </w:tabs>
              <w:spacing w:line="269" w:lineRule="exact"/>
            </w:pPr>
            <w:r>
              <w:t>LEUKOTRIENE MODULATORS</w:t>
            </w:r>
            <w:r>
              <w:rPr>
                <w:spacing w:val="-11"/>
              </w:rPr>
              <w:t xml:space="preserve"> </w:t>
            </w:r>
            <w:r>
              <w:t>Asthma</w:t>
            </w:r>
          </w:p>
          <w:p w14:paraId="4CB0FB1D" w14:textId="77777777" w:rsidR="00390099" w:rsidRDefault="00CA3D95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  <w:spacing w:line="276" w:lineRule="exact"/>
            </w:pPr>
            <w:r>
              <w:t>ICD-10-CM K20.0, ICD-9-CM 530.13 - Eosinophilic</w:t>
            </w:r>
            <w:r>
              <w:rPr>
                <w:spacing w:val="-30"/>
              </w:rPr>
              <w:t xml:space="preserve"> </w:t>
            </w:r>
            <w:r>
              <w:t>esophagitis</w:t>
            </w:r>
          </w:p>
          <w:p w14:paraId="3C9E675E" w14:textId="77777777" w:rsidR="00390099" w:rsidRDefault="00CA3D95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  <w:ind w:right="566"/>
            </w:pPr>
            <w:r>
              <w:t>Age at diagnosis (e.g. age at 1st code for ICD-10-CM K20.0, ICD-9-CM 530.13 - Eosinophilic</w:t>
            </w:r>
            <w:r>
              <w:rPr>
                <w:spacing w:val="-7"/>
              </w:rPr>
              <w:t xml:space="preserve"> </w:t>
            </w:r>
            <w:r>
              <w:t>esophagitis)</w:t>
            </w:r>
          </w:p>
          <w:p w14:paraId="23F06734" w14:textId="77777777" w:rsidR="00390099" w:rsidRDefault="00CA3D95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  <w:spacing w:before="1"/>
            </w:pPr>
            <w:r>
              <w:t>All ICD-9/10</w:t>
            </w:r>
            <w:r>
              <w:rPr>
                <w:spacing w:val="-11"/>
              </w:rPr>
              <w:t xml:space="preserve"> </w:t>
            </w:r>
            <w:r>
              <w:t>codes</w:t>
            </w:r>
          </w:p>
          <w:p w14:paraId="58B3F880" w14:textId="77777777" w:rsidR="00390099" w:rsidRDefault="00CA3D95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</w:pPr>
            <w:r>
              <w:t>Flag for relevant</w:t>
            </w:r>
            <w:r>
              <w:rPr>
                <w:spacing w:val="-9"/>
              </w:rPr>
              <w:t xml:space="preserve"> </w:t>
            </w:r>
            <w:r>
              <w:t>procedures</w:t>
            </w:r>
          </w:p>
          <w:p w14:paraId="0B5132B3" w14:textId="77777777" w:rsidR="00390099" w:rsidRDefault="00CA3D95">
            <w:pPr>
              <w:pStyle w:val="TableParagraph"/>
              <w:numPr>
                <w:ilvl w:val="2"/>
                <w:numId w:val="1"/>
              </w:numPr>
              <w:tabs>
                <w:tab w:val="left" w:pos="1543"/>
                <w:tab w:val="left" w:pos="1544"/>
              </w:tabs>
              <w:spacing w:before="4" w:line="235" w:lineRule="auto"/>
              <w:ind w:right="138"/>
            </w:pPr>
            <w:r>
              <w:t>Esophagogastroduodenoscopy (EGD), flexible, transoral; with biopsy = CPT 43239</w:t>
            </w:r>
          </w:p>
          <w:p w14:paraId="4512BB98" w14:textId="77777777" w:rsidR="00390099" w:rsidRDefault="00CA3D95">
            <w:pPr>
              <w:pStyle w:val="TableParagraph"/>
              <w:numPr>
                <w:ilvl w:val="2"/>
                <w:numId w:val="1"/>
              </w:numPr>
              <w:tabs>
                <w:tab w:val="left" w:pos="1543"/>
                <w:tab w:val="left" w:pos="1544"/>
              </w:tabs>
              <w:spacing w:line="271" w:lineRule="exact"/>
            </w:pPr>
            <w:r>
              <w:t>Esophagoscopy, flexible, transoral; with biopsy = CPT</w:t>
            </w:r>
            <w:r>
              <w:rPr>
                <w:spacing w:val="-16"/>
              </w:rPr>
              <w:t xml:space="preserve"> </w:t>
            </w:r>
            <w:r>
              <w:t>43202</w:t>
            </w:r>
          </w:p>
          <w:p w14:paraId="7AB38364" w14:textId="77777777" w:rsidR="00390099" w:rsidRDefault="00CA3D95">
            <w:pPr>
              <w:pStyle w:val="TableParagraph"/>
              <w:numPr>
                <w:ilvl w:val="2"/>
                <w:numId w:val="1"/>
              </w:numPr>
              <w:tabs>
                <w:tab w:val="left" w:pos="1543"/>
                <w:tab w:val="left" w:pos="1544"/>
              </w:tabs>
              <w:spacing w:line="269" w:lineRule="exact"/>
            </w:pPr>
            <w:r>
              <w:t>EGD with Foreign Body Removal = CPT</w:t>
            </w:r>
            <w:r>
              <w:rPr>
                <w:spacing w:val="-14"/>
              </w:rPr>
              <w:t xml:space="preserve"> </w:t>
            </w:r>
            <w:r>
              <w:t>43247</w:t>
            </w:r>
          </w:p>
          <w:p w14:paraId="53C496FA" w14:textId="77777777" w:rsidR="00390099" w:rsidRDefault="00CA3D95">
            <w:pPr>
              <w:pStyle w:val="TableParagraph"/>
              <w:numPr>
                <w:ilvl w:val="2"/>
                <w:numId w:val="1"/>
              </w:numPr>
              <w:tabs>
                <w:tab w:val="left" w:pos="1543"/>
                <w:tab w:val="left" w:pos="1544"/>
              </w:tabs>
              <w:spacing w:line="272" w:lineRule="exact"/>
            </w:pPr>
            <w:r>
              <w:t>Esophagoscopy with Foreign Body Removal = CPT</w:t>
            </w:r>
            <w:r>
              <w:rPr>
                <w:spacing w:val="-22"/>
              </w:rPr>
              <w:t xml:space="preserve"> </w:t>
            </w:r>
            <w:r>
              <w:t>43215</w:t>
            </w:r>
          </w:p>
        </w:tc>
      </w:tr>
      <w:tr w:rsidR="00390099" w14:paraId="1E2146FB" w14:textId="77777777">
        <w:trPr>
          <w:trHeight w:hRule="exact" w:val="816"/>
        </w:trPr>
        <w:tc>
          <w:tcPr>
            <w:tcW w:w="3003" w:type="dxa"/>
            <w:tcBorders>
              <w:left w:val="nil"/>
            </w:tcBorders>
          </w:tcPr>
          <w:p w14:paraId="4739B17F" w14:textId="77777777" w:rsidR="00390099" w:rsidRDefault="0039009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5B307A" w14:textId="77777777" w:rsidR="00390099" w:rsidRDefault="00CA3D95">
            <w:pPr>
              <w:pStyle w:val="TableParagraph"/>
              <w:ind w:left="842"/>
            </w:pPr>
            <w:r>
              <w:t>Desired Data</w:t>
            </w:r>
          </w:p>
        </w:tc>
        <w:tc>
          <w:tcPr>
            <w:tcW w:w="8265" w:type="dxa"/>
            <w:tcBorders>
              <w:right w:val="nil"/>
            </w:tcBorders>
          </w:tcPr>
          <w:p w14:paraId="445F7BE8" w14:textId="77777777" w:rsidR="00390099" w:rsidRDefault="00CA3D95">
            <w:pPr>
              <w:pStyle w:val="TableParagraph"/>
              <w:ind w:left="103" w:right="5641"/>
            </w:pPr>
            <w:r>
              <w:t>Emerge I-III imputed data Targeted exome sequencing CNV calls</w:t>
            </w:r>
          </w:p>
        </w:tc>
      </w:tr>
      <w:tr w:rsidR="00390099" w14:paraId="048583FA" w14:textId="77777777">
        <w:trPr>
          <w:trHeight w:hRule="exact" w:val="2965"/>
        </w:trPr>
        <w:tc>
          <w:tcPr>
            <w:tcW w:w="3003" w:type="dxa"/>
            <w:tcBorders>
              <w:left w:val="nil"/>
            </w:tcBorders>
          </w:tcPr>
          <w:p w14:paraId="7DACBA89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667D122D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672F44A7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1B69A19F" w14:textId="77777777" w:rsidR="00390099" w:rsidRDefault="00390099">
            <w:pPr>
              <w:pStyle w:val="TableParagraph"/>
              <w:rPr>
                <w:rFonts w:ascii="Times New Roman"/>
              </w:rPr>
            </w:pPr>
          </w:p>
          <w:p w14:paraId="3E6A1A44" w14:textId="77777777" w:rsidR="00390099" w:rsidRDefault="00390099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077E83D0" w14:textId="77777777" w:rsidR="00390099" w:rsidRDefault="00CA3D95">
            <w:pPr>
              <w:pStyle w:val="TableParagraph"/>
              <w:ind w:left="122"/>
            </w:pPr>
            <w:r>
              <w:t>Planned Statistical Analyses</w:t>
            </w:r>
          </w:p>
        </w:tc>
        <w:tc>
          <w:tcPr>
            <w:tcW w:w="8265" w:type="dxa"/>
            <w:tcBorders>
              <w:right w:val="nil"/>
            </w:tcBorders>
          </w:tcPr>
          <w:p w14:paraId="1B9385A0" w14:textId="77777777" w:rsidR="00390099" w:rsidRDefault="00CA3D95">
            <w:pPr>
              <w:pStyle w:val="TableParagraph"/>
              <w:ind w:left="103" w:right="128"/>
              <w:jc w:val="both"/>
            </w:pPr>
            <w:r>
              <w:t xml:space="preserve">Quality control for the imputed data, including imputation score cutoff and effective N&gt;30. We will drop out any </w:t>
            </w:r>
            <w:proofErr w:type="spellStart"/>
            <w:r>
              <w:t>eMERGE</w:t>
            </w:r>
            <w:proofErr w:type="spellEnd"/>
            <w:r>
              <w:t xml:space="preserve"> samples that are in the current </w:t>
            </w:r>
            <w:proofErr w:type="spellStart"/>
            <w:r>
              <w:t>DiscovEHR</w:t>
            </w:r>
            <w:proofErr w:type="spellEnd"/>
            <w:r>
              <w:t xml:space="preserve"> data we are using at Geisinger.</w:t>
            </w:r>
          </w:p>
          <w:p w14:paraId="057A1469" w14:textId="77777777" w:rsidR="00390099" w:rsidRDefault="00390099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76DA5FC" w14:textId="77777777" w:rsidR="00390099" w:rsidRDefault="00CA3D95">
            <w:pPr>
              <w:pStyle w:val="TableParagraph"/>
              <w:ind w:left="103" w:right="211"/>
            </w:pPr>
            <w:r>
              <w:t xml:space="preserve">For each association model relating to a diagnosis, we will use age, sex, and ancestry matching to randomly select controls at a minimum ratio of 1:5, </w:t>
            </w:r>
            <w:proofErr w:type="spellStart"/>
            <w:proofErr w:type="gramStart"/>
            <w:r>
              <w:t>cases:controls</w:t>
            </w:r>
            <w:proofErr w:type="spellEnd"/>
            <w:proofErr w:type="gramEnd"/>
            <w:r>
              <w:t xml:space="preserve">. We will give preference to a minimal model, adjusting each model for sex (in combined analysis), and account for relatedness as a random group factor. We will also perform sensitivity analyses adjusting for other covariates that may be relevant across the </w:t>
            </w:r>
            <w:proofErr w:type="spellStart"/>
            <w:r>
              <w:t>PheWAS</w:t>
            </w:r>
            <w:proofErr w:type="spellEnd"/>
            <w:r>
              <w:t xml:space="preserve"> spectrum (e.g. median age).</w:t>
            </w:r>
          </w:p>
        </w:tc>
      </w:tr>
      <w:tr w:rsidR="00390099" w14:paraId="3A32723B" w14:textId="77777777">
        <w:trPr>
          <w:trHeight w:hRule="exact" w:val="816"/>
        </w:trPr>
        <w:tc>
          <w:tcPr>
            <w:tcW w:w="3003" w:type="dxa"/>
            <w:tcBorders>
              <w:left w:val="nil"/>
            </w:tcBorders>
          </w:tcPr>
          <w:p w14:paraId="1124AF9E" w14:textId="77777777" w:rsidR="00390099" w:rsidRDefault="0039009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771F0CD" w14:textId="77777777" w:rsidR="00390099" w:rsidRDefault="00CA3D95">
            <w:pPr>
              <w:pStyle w:val="TableParagraph"/>
              <w:ind w:left="122"/>
            </w:pPr>
            <w:r>
              <w:t>Ethical Considerations</w:t>
            </w:r>
          </w:p>
        </w:tc>
        <w:tc>
          <w:tcPr>
            <w:tcW w:w="8265" w:type="dxa"/>
            <w:tcBorders>
              <w:right w:val="nil"/>
            </w:tcBorders>
          </w:tcPr>
          <w:p w14:paraId="792FCF59" w14:textId="77777777" w:rsidR="00390099" w:rsidRDefault="00CA3D95">
            <w:pPr>
              <w:pStyle w:val="TableParagraph"/>
              <w:ind w:left="103" w:right="1158"/>
            </w:pPr>
            <w:r>
              <w:t>All data will be de-identified, and only summary data will be shared in resultant manuscripts</w:t>
            </w:r>
          </w:p>
        </w:tc>
      </w:tr>
      <w:tr w:rsidR="00390099" w14:paraId="392712CA" w14:textId="77777777">
        <w:trPr>
          <w:trHeight w:hRule="exact" w:val="679"/>
        </w:trPr>
        <w:tc>
          <w:tcPr>
            <w:tcW w:w="3003" w:type="dxa"/>
            <w:tcBorders>
              <w:left w:val="nil"/>
            </w:tcBorders>
          </w:tcPr>
          <w:p w14:paraId="3C5526AA" w14:textId="77777777" w:rsidR="00390099" w:rsidRDefault="0039009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9B90A72" w14:textId="77777777" w:rsidR="00390099" w:rsidRDefault="00CA3D95">
            <w:pPr>
              <w:pStyle w:val="TableParagraph"/>
              <w:ind w:left="122"/>
            </w:pPr>
            <w:r>
              <w:t>Target Journal</w:t>
            </w:r>
          </w:p>
        </w:tc>
        <w:tc>
          <w:tcPr>
            <w:tcW w:w="8265" w:type="dxa"/>
            <w:tcBorders>
              <w:right w:val="nil"/>
            </w:tcBorders>
          </w:tcPr>
          <w:p w14:paraId="3AD28437" w14:textId="77777777" w:rsidR="00390099" w:rsidRDefault="00CA3D95">
            <w:pPr>
              <w:pStyle w:val="TableParagraph"/>
              <w:spacing w:line="268" w:lineRule="exact"/>
              <w:ind w:left="103"/>
            </w:pPr>
            <w:r>
              <w:t>PLOS Genetics, American (or European) Journal of Human Genetics</w:t>
            </w:r>
          </w:p>
        </w:tc>
      </w:tr>
    </w:tbl>
    <w:p w14:paraId="2B089CEF" w14:textId="77777777" w:rsidR="00390099" w:rsidRDefault="00390099">
      <w:pPr>
        <w:spacing w:line="268" w:lineRule="exact"/>
        <w:sectPr w:rsidR="00390099">
          <w:pgSz w:w="12240" w:h="15840"/>
          <w:pgMar w:top="1000" w:right="320" w:bottom="1140" w:left="420" w:header="720" w:footer="960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8265"/>
      </w:tblGrid>
      <w:tr w:rsidR="00390099" w14:paraId="1B126CB8" w14:textId="77777777">
        <w:trPr>
          <w:trHeight w:hRule="exact" w:val="816"/>
        </w:trPr>
        <w:tc>
          <w:tcPr>
            <w:tcW w:w="3003" w:type="dxa"/>
            <w:tcBorders>
              <w:left w:val="nil"/>
            </w:tcBorders>
          </w:tcPr>
          <w:p w14:paraId="04795698" w14:textId="77777777" w:rsidR="00390099" w:rsidRDefault="0039009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DFBA98F" w14:textId="77777777" w:rsidR="00390099" w:rsidRDefault="00CA3D95">
            <w:pPr>
              <w:pStyle w:val="TableParagraph"/>
              <w:ind w:left="122"/>
            </w:pPr>
            <w:r>
              <w:t>Milestones**</w:t>
            </w:r>
          </w:p>
        </w:tc>
        <w:tc>
          <w:tcPr>
            <w:tcW w:w="8265" w:type="dxa"/>
            <w:tcBorders>
              <w:right w:val="nil"/>
            </w:tcBorders>
          </w:tcPr>
          <w:p w14:paraId="7AA4B075" w14:textId="77777777" w:rsidR="00390099" w:rsidRDefault="00CA3D95">
            <w:pPr>
              <w:pStyle w:val="TableParagraph"/>
              <w:ind w:left="103" w:right="394"/>
            </w:pPr>
            <w:r>
              <w:t>March 2019 for concept sheet approval; January 2020 for completion of meta-analyses, May 2020 manuscript draft. August 2020 for second draft of paper, October 2020 for submission of paper.</w:t>
            </w:r>
          </w:p>
        </w:tc>
      </w:tr>
    </w:tbl>
    <w:p w14:paraId="2CE19E32" w14:textId="77777777" w:rsidR="00390099" w:rsidRDefault="00390099">
      <w:pPr>
        <w:pStyle w:val="BodyText"/>
        <w:rPr>
          <w:rFonts w:ascii="Times New Roman"/>
          <w:i w:val="0"/>
          <w:sz w:val="19"/>
        </w:rPr>
      </w:pPr>
    </w:p>
    <w:p w14:paraId="667EA55A" w14:textId="77777777" w:rsidR="00390099" w:rsidRDefault="00CA3D95">
      <w:pPr>
        <w:pStyle w:val="BodyText"/>
        <w:spacing w:before="57"/>
        <w:ind w:left="300" w:right="62"/>
      </w:pPr>
      <w:r>
        <w:t xml:space="preserve">** This section should include the timeline for completion of project, including: approval, project duration, first and second draft of the paper and submission. </w:t>
      </w:r>
    </w:p>
    <w:sectPr w:rsidR="00390099">
      <w:pgSz w:w="12240" w:h="15840"/>
      <w:pgMar w:top="1000" w:right="320" w:bottom="1140" w:left="420" w:header="72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4DD6A" w14:textId="77777777" w:rsidR="007369DF" w:rsidRDefault="00CA3D95">
      <w:r>
        <w:separator/>
      </w:r>
    </w:p>
  </w:endnote>
  <w:endnote w:type="continuationSeparator" w:id="0">
    <w:p w14:paraId="38A79EF0" w14:textId="77777777" w:rsidR="007369DF" w:rsidRDefault="00CA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9D63" w14:textId="77777777" w:rsidR="00390099" w:rsidRDefault="00052D44">
    <w:pPr>
      <w:pStyle w:val="BodyText"/>
      <w:spacing w:line="14" w:lineRule="auto"/>
      <w:rPr>
        <w:i w:val="0"/>
        <w:sz w:val="20"/>
      </w:rPr>
    </w:pPr>
    <w:r>
      <w:pict w14:anchorId="45B61D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pt;margin-top:730pt;width:9.6pt;height:13.05pt;z-index:-251658240;mso-position-horizontal-relative:page;mso-position-vertical-relative:page" filled="f" stroked="f">
          <v:textbox inset="0,0,0,0">
            <w:txbxContent>
              <w:p w14:paraId="7EC0699F" w14:textId="77777777" w:rsidR="00390099" w:rsidRDefault="00CA3D95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F62A1" w14:textId="77777777" w:rsidR="007369DF" w:rsidRDefault="00CA3D95">
      <w:r>
        <w:separator/>
      </w:r>
    </w:p>
  </w:footnote>
  <w:footnote w:type="continuationSeparator" w:id="0">
    <w:p w14:paraId="202B0C31" w14:textId="77777777" w:rsidR="007369DF" w:rsidRDefault="00CA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8961" w14:textId="77777777" w:rsidR="00390099" w:rsidRDefault="00CA3D95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0760470" wp14:editId="7A951E3E">
          <wp:simplePos x="0" y="0"/>
          <wp:positionH relativeFrom="page">
            <wp:posOffset>457200</wp:posOffset>
          </wp:positionH>
          <wp:positionV relativeFrom="page">
            <wp:posOffset>457212</wp:posOffset>
          </wp:positionV>
          <wp:extent cx="1454150" cy="1809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4150" cy="180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3463"/>
    <w:multiLevelType w:val="hybridMultilevel"/>
    <w:tmpl w:val="EE54AC9E"/>
    <w:lvl w:ilvl="0" w:tplc="9EF6B37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2F62C24"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B4443622">
      <w:numFmt w:val="bullet"/>
      <w:lvlText w:val="•"/>
      <w:lvlJc w:val="left"/>
      <w:pPr>
        <w:ind w:left="2308" w:hanging="360"/>
      </w:pPr>
      <w:rPr>
        <w:rFonts w:hint="default"/>
      </w:rPr>
    </w:lvl>
    <w:lvl w:ilvl="3" w:tplc="2B328180">
      <w:numFmt w:val="bullet"/>
      <w:lvlText w:val="•"/>
      <w:lvlJc w:val="left"/>
      <w:pPr>
        <w:ind w:left="3052" w:hanging="360"/>
      </w:pPr>
      <w:rPr>
        <w:rFonts w:hint="default"/>
      </w:rPr>
    </w:lvl>
    <w:lvl w:ilvl="4" w:tplc="A9800018">
      <w:numFmt w:val="bullet"/>
      <w:lvlText w:val="•"/>
      <w:lvlJc w:val="left"/>
      <w:pPr>
        <w:ind w:left="3796" w:hanging="360"/>
      </w:pPr>
      <w:rPr>
        <w:rFonts w:hint="default"/>
      </w:rPr>
    </w:lvl>
    <w:lvl w:ilvl="5" w:tplc="EB9A3110"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A16657A4"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B9BAB790">
      <w:numFmt w:val="bullet"/>
      <w:lvlText w:val="•"/>
      <w:lvlJc w:val="left"/>
      <w:pPr>
        <w:ind w:left="6028" w:hanging="360"/>
      </w:pPr>
      <w:rPr>
        <w:rFonts w:hint="default"/>
      </w:rPr>
    </w:lvl>
    <w:lvl w:ilvl="8" w:tplc="A3A222DA">
      <w:numFmt w:val="bullet"/>
      <w:lvlText w:val="•"/>
      <w:lvlJc w:val="left"/>
      <w:pPr>
        <w:ind w:left="6772" w:hanging="360"/>
      </w:pPr>
      <w:rPr>
        <w:rFonts w:hint="default"/>
      </w:rPr>
    </w:lvl>
  </w:abstractNum>
  <w:abstractNum w:abstractNumId="1" w15:restartNumberingAfterBreak="0">
    <w:nsid w:val="360929D2"/>
    <w:multiLevelType w:val="hybridMultilevel"/>
    <w:tmpl w:val="2F2C1096"/>
    <w:lvl w:ilvl="0" w:tplc="C824C5BA">
      <w:numFmt w:val="bullet"/>
      <w:lvlText w:val="•"/>
      <w:lvlJc w:val="left"/>
      <w:pPr>
        <w:ind w:left="823" w:hanging="721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1" w:tplc="11007D1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60CF9F0"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F13E9B9A">
      <w:numFmt w:val="bullet"/>
      <w:lvlText w:val="•"/>
      <w:lvlJc w:val="left"/>
      <w:pPr>
        <w:ind w:left="3033" w:hanging="360"/>
      </w:pPr>
      <w:rPr>
        <w:rFonts w:hint="default"/>
      </w:rPr>
    </w:lvl>
    <w:lvl w:ilvl="4" w:tplc="F02EC8A0">
      <w:numFmt w:val="bullet"/>
      <w:lvlText w:val="•"/>
      <w:lvlJc w:val="left"/>
      <w:pPr>
        <w:ind w:left="3779" w:hanging="360"/>
      </w:pPr>
      <w:rPr>
        <w:rFonts w:hint="default"/>
      </w:rPr>
    </w:lvl>
    <w:lvl w:ilvl="5" w:tplc="5F00F4C8">
      <w:numFmt w:val="bullet"/>
      <w:lvlText w:val="•"/>
      <w:lvlJc w:val="left"/>
      <w:pPr>
        <w:ind w:left="4526" w:hanging="360"/>
      </w:pPr>
      <w:rPr>
        <w:rFonts w:hint="default"/>
      </w:rPr>
    </w:lvl>
    <w:lvl w:ilvl="6" w:tplc="4F6C6948">
      <w:numFmt w:val="bullet"/>
      <w:lvlText w:val="•"/>
      <w:lvlJc w:val="left"/>
      <w:pPr>
        <w:ind w:left="5273" w:hanging="360"/>
      </w:pPr>
      <w:rPr>
        <w:rFonts w:hint="default"/>
      </w:rPr>
    </w:lvl>
    <w:lvl w:ilvl="7" w:tplc="8BAA7D3C">
      <w:numFmt w:val="bullet"/>
      <w:lvlText w:val="•"/>
      <w:lvlJc w:val="left"/>
      <w:pPr>
        <w:ind w:left="6019" w:hanging="360"/>
      </w:pPr>
      <w:rPr>
        <w:rFonts w:hint="default"/>
      </w:rPr>
    </w:lvl>
    <w:lvl w:ilvl="8" w:tplc="E042E66E">
      <w:numFmt w:val="bullet"/>
      <w:lvlText w:val="•"/>
      <w:lvlJc w:val="left"/>
      <w:pPr>
        <w:ind w:left="6766" w:hanging="360"/>
      </w:pPr>
      <w:rPr>
        <w:rFonts w:hint="default"/>
      </w:rPr>
    </w:lvl>
  </w:abstractNum>
  <w:abstractNum w:abstractNumId="2" w15:restartNumberingAfterBreak="0">
    <w:nsid w:val="3A452739"/>
    <w:multiLevelType w:val="hybridMultilevel"/>
    <w:tmpl w:val="F918B6B8"/>
    <w:lvl w:ilvl="0" w:tplc="3CEA407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72CDDF4"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9BA48084">
      <w:numFmt w:val="bullet"/>
      <w:lvlText w:val="•"/>
      <w:lvlJc w:val="left"/>
      <w:pPr>
        <w:ind w:left="2308" w:hanging="360"/>
      </w:pPr>
      <w:rPr>
        <w:rFonts w:hint="default"/>
      </w:rPr>
    </w:lvl>
    <w:lvl w:ilvl="3" w:tplc="E7DA1B3E">
      <w:numFmt w:val="bullet"/>
      <w:lvlText w:val="•"/>
      <w:lvlJc w:val="left"/>
      <w:pPr>
        <w:ind w:left="3052" w:hanging="360"/>
      </w:pPr>
      <w:rPr>
        <w:rFonts w:hint="default"/>
      </w:rPr>
    </w:lvl>
    <w:lvl w:ilvl="4" w:tplc="9EE43220">
      <w:numFmt w:val="bullet"/>
      <w:lvlText w:val="•"/>
      <w:lvlJc w:val="left"/>
      <w:pPr>
        <w:ind w:left="3796" w:hanging="360"/>
      </w:pPr>
      <w:rPr>
        <w:rFonts w:hint="default"/>
      </w:rPr>
    </w:lvl>
    <w:lvl w:ilvl="5" w:tplc="524E0F6E"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4C444DE6"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D6E835D8">
      <w:numFmt w:val="bullet"/>
      <w:lvlText w:val="•"/>
      <w:lvlJc w:val="left"/>
      <w:pPr>
        <w:ind w:left="6028" w:hanging="360"/>
      </w:pPr>
      <w:rPr>
        <w:rFonts w:hint="default"/>
      </w:rPr>
    </w:lvl>
    <w:lvl w:ilvl="8" w:tplc="FF420D00">
      <w:numFmt w:val="bullet"/>
      <w:lvlText w:val="•"/>
      <w:lvlJc w:val="left"/>
      <w:pPr>
        <w:ind w:left="6772" w:hanging="360"/>
      </w:pPr>
      <w:rPr>
        <w:rFonts w:hint="default"/>
      </w:rPr>
    </w:lvl>
  </w:abstractNum>
  <w:abstractNum w:abstractNumId="3" w15:restartNumberingAfterBreak="0">
    <w:nsid w:val="63E04915"/>
    <w:multiLevelType w:val="hybridMultilevel"/>
    <w:tmpl w:val="B8065530"/>
    <w:lvl w:ilvl="0" w:tplc="855803B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700916A"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09B26240"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B3E871C0">
      <w:numFmt w:val="bullet"/>
      <w:lvlText w:val="•"/>
      <w:lvlJc w:val="left"/>
      <w:pPr>
        <w:ind w:left="3051" w:hanging="360"/>
      </w:pPr>
      <w:rPr>
        <w:rFonts w:hint="default"/>
      </w:rPr>
    </w:lvl>
    <w:lvl w:ilvl="4" w:tplc="3394272A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FBFC9904">
      <w:numFmt w:val="bullet"/>
      <w:lvlText w:val="•"/>
      <w:lvlJc w:val="left"/>
      <w:pPr>
        <w:ind w:left="4539" w:hanging="360"/>
      </w:pPr>
      <w:rPr>
        <w:rFonts w:hint="default"/>
      </w:rPr>
    </w:lvl>
    <w:lvl w:ilvl="6" w:tplc="9D623912">
      <w:numFmt w:val="bullet"/>
      <w:lvlText w:val="•"/>
      <w:lvlJc w:val="left"/>
      <w:pPr>
        <w:ind w:left="5283" w:hanging="360"/>
      </w:pPr>
      <w:rPr>
        <w:rFonts w:hint="default"/>
      </w:rPr>
    </w:lvl>
    <w:lvl w:ilvl="7" w:tplc="C7D495DA">
      <w:numFmt w:val="bullet"/>
      <w:lvlText w:val="•"/>
      <w:lvlJc w:val="left"/>
      <w:pPr>
        <w:ind w:left="6027" w:hanging="360"/>
      </w:pPr>
      <w:rPr>
        <w:rFonts w:hint="default"/>
      </w:rPr>
    </w:lvl>
    <w:lvl w:ilvl="8" w:tplc="37924E12">
      <w:numFmt w:val="bullet"/>
      <w:lvlText w:val="•"/>
      <w:lvlJc w:val="left"/>
      <w:pPr>
        <w:ind w:left="6771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099"/>
    <w:rsid w:val="00052D44"/>
    <w:rsid w:val="00390099"/>
    <w:rsid w:val="007369DF"/>
    <w:rsid w:val="00CA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D06A4A"/>
  <w15:docId w15:val="{F378483F-3A9F-4CA7-AF88-9E6D3F03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Howell</dc:creator>
  <cp:lastModifiedBy>City, Brittany</cp:lastModifiedBy>
  <cp:revision>3</cp:revision>
  <dcterms:created xsi:type="dcterms:W3CDTF">2019-03-12T13:17:00Z</dcterms:created>
  <dcterms:modified xsi:type="dcterms:W3CDTF">2019-03-25T16:57:00Z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2019-03-12T00:00:00Z</vt:filetime>
  </property>
</Properties>
</file>