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3852"/>
        <w:gridCol w:w="4411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67082680" w:rsidR="0093273D" w:rsidRPr="008673B8" w:rsidRDefault="0051429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NT339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5B700F16" w:rsidR="0093273D" w:rsidRPr="008673B8" w:rsidRDefault="0051429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04/25/2019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3100DC3A" w:rsidR="0093273D" w:rsidRPr="008673B8" w:rsidRDefault="002D3C5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r w:rsidRPr="002D3C50">
              <w:rPr>
                <w:rFonts w:asciiTheme="majorHAnsi" w:hAnsiTheme="majorHAnsi" w:cstheme="majorHAnsi"/>
                <w:sz w:val="22"/>
                <w:szCs w:val="22"/>
              </w:rPr>
              <w:t xml:space="preserve">Phenotype risk scores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identify patients at</w:t>
            </w:r>
            <w:r w:rsidR="00DB2FE7"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high risk of hereditary cancer syndromes</w:t>
            </w:r>
            <w:r w:rsidR="000D5103">
              <w:rPr>
                <w:rFonts w:asciiTheme="majorHAnsi" w:hAnsiTheme="majorHAnsi" w:cstheme="majorHAnsi"/>
                <w:sz w:val="22"/>
                <w:szCs w:val="22"/>
              </w:rPr>
              <w:t xml:space="preserve"> and</w:t>
            </w:r>
            <w:r w:rsidR="00EC7CED">
              <w:rPr>
                <w:rFonts w:asciiTheme="majorHAnsi" w:hAnsiTheme="majorHAnsi" w:cstheme="majorHAnsi"/>
                <w:sz w:val="22"/>
                <w:szCs w:val="22"/>
              </w:rPr>
              <w:t xml:space="preserve"> improve variant </w:t>
            </w:r>
            <w:r w:rsidR="00E27BFF">
              <w:rPr>
                <w:rFonts w:asciiTheme="majorHAnsi" w:hAnsiTheme="majorHAnsi" w:cstheme="majorHAnsi"/>
                <w:sz w:val="22"/>
                <w:szCs w:val="22"/>
              </w:rPr>
              <w:t xml:space="preserve">interpretation </w:t>
            </w:r>
            <w:bookmarkEnd w:id="0"/>
            <w:r w:rsidR="00E27BFF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3413A7" w:rsidRPr="001B74D8">
              <w:rPr>
                <w:rFonts w:asciiTheme="majorHAnsi" w:hAnsiTheme="majorHAnsi" w:cstheme="majorHAnsi"/>
                <w:i/>
                <w:sz w:val="22"/>
                <w:szCs w:val="22"/>
              </w:rPr>
              <w:t>tentative title</w:t>
            </w:r>
            <w:r w:rsidR="001B74D8" w:rsidRPr="001B74D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as an evolution of our</w:t>
            </w:r>
            <w:r w:rsidR="003413A7" w:rsidRPr="001B74D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“Cancer PheWAS”</w:t>
            </w:r>
            <w:r w:rsidR="001B74D8" w:rsidRPr="001B74D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phenotype on the phenotype tracker</w:t>
            </w:r>
            <w:r w:rsidR="003413A7" w:rsidRPr="001B74D8">
              <w:rPr>
                <w:rFonts w:asciiTheme="majorHAnsi" w:hAnsiTheme="majorHAnsi" w:cstheme="majorHAnsi"/>
                <w:i/>
                <w:sz w:val="22"/>
                <w:szCs w:val="22"/>
              </w:rPr>
              <w:t>)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3D0372F9" w:rsidR="0093273D" w:rsidRPr="008673B8" w:rsidRDefault="008472E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Chenjie Zeng and Lisa </w:t>
            </w:r>
            <w:r w:rsidRPr="008472EB">
              <w:rPr>
                <w:rFonts w:asciiTheme="majorHAnsi" w:hAnsiTheme="majorHAnsi" w:cstheme="majorHAnsi"/>
                <w:sz w:val="22"/>
                <w:szCs w:val="22"/>
              </w:rPr>
              <w:t>Bastarache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1F3B6C5E" w:rsidR="0093273D" w:rsidRPr="008673B8" w:rsidRDefault="008472E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Josh Denny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6D203D57" w:rsidR="0093273D" w:rsidRPr="008673B8" w:rsidRDefault="008472EB" w:rsidP="008472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Georgia W</w:t>
            </w:r>
            <w:r w:rsidR="00763B0A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3413A7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sne</w:t>
            </w:r>
            <w:r w:rsidR="000418C9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3413A7">
              <w:rPr>
                <w:rFonts w:asciiTheme="majorHAnsi" w:hAnsiTheme="majorHAnsi" w:cstheme="majorHAnsi"/>
                <w:sz w:val="22"/>
                <w:szCs w:val="22"/>
              </w:rPr>
              <w:t>, Dan Roden,</w:t>
            </w:r>
            <w:r w:rsidR="000418C9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3413A7">
              <w:rPr>
                <w:rFonts w:asciiTheme="majorHAnsi" w:hAnsiTheme="majorHAnsi" w:cstheme="majorHAnsi"/>
                <w:sz w:val="22"/>
                <w:szCs w:val="22"/>
              </w:rPr>
              <w:t>investigators from any/all other eMERGE III sites</w:t>
            </w:r>
            <w:r w:rsidRPr="008472EB">
              <w:rPr>
                <w:rFonts w:asciiTheme="majorHAnsi" w:hAnsiTheme="majorHAnsi" w:cstheme="majorHAnsi"/>
                <w:sz w:val="22"/>
                <w:szCs w:val="22"/>
              </w:rPr>
              <w:t xml:space="preserve"> interested in participating.</w:t>
            </w: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7C5FDB2" w14:textId="12FADDF6" w:rsidR="0093273D" w:rsidRPr="008673B8" w:rsidRDefault="008472E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All </w:t>
            </w:r>
            <w:r w:rsidRPr="008472EB">
              <w:rPr>
                <w:rFonts w:asciiTheme="majorHAnsi" w:hAnsiTheme="majorHAnsi" w:cstheme="majorHAnsi"/>
                <w:sz w:val="22"/>
                <w:szCs w:val="22"/>
              </w:rPr>
              <w:t>eMERGE III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sites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6F7597" w14:textId="2C70B90A" w:rsidR="000C5AEC" w:rsidRDefault="00AD5BB2" w:rsidP="002D52A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Advances in next generation sequencing have led to a </w:t>
            </w:r>
            <w:r w:rsidR="000418C9" w:rsidRPr="000418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drastic increase in the use of clinical genetic testing in the management of hereditary cancers</w:t>
            </w:r>
            <w:r w:rsidR="000418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2813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Result</w:t>
            </w:r>
            <w:r w:rsidR="00BE0F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</w:t>
            </w:r>
            <w:r w:rsidR="002813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of </w:t>
            </w:r>
            <w:r w:rsidR="00BE0F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genetic</w:t>
            </w:r>
            <w:r w:rsidR="002813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testing could inform </w:t>
            </w:r>
            <w:r w:rsidR="00BE0F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screening in patients and their relatives </w:t>
            </w:r>
            <w:r w:rsidR="00EA1FA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 well as</w:t>
            </w:r>
            <w:r w:rsidR="00BE0F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treatment decisions.</w:t>
            </w:r>
            <w:r w:rsidR="000418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B1403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Accurate</w:t>
            </w:r>
            <w:r w:rsidR="00903AA8" w:rsidRPr="00903AA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interpretation of </w:t>
            </w:r>
            <w:r w:rsidR="000D51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these</w:t>
            </w:r>
            <w:r w:rsidR="00903AA8" w:rsidRPr="00903AA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variants </w:t>
            </w:r>
            <w:r w:rsidR="007E74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has become</w:t>
            </w:r>
            <w:r w:rsidR="00B1403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903AA8" w:rsidRPr="00903AA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 pressing challenge</w:t>
            </w:r>
            <w:r w:rsidR="00471B9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5C31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7441B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Our previous work</w:t>
            </w:r>
            <w:r w:rsidR="00495A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 phenotype risk scores (PheRS)</w:t>
            </w:r>
            <w:r w:rsidR="007441B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5C31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showed that aggregating </w:t>
            </w:r>
            <w:r w:rsidR="0092719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relevant </w:t>
            </w:r>
            <w:r w:rsidR="004D1B1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clinical features</w:t>
            </w:r>
            <w:r w:rsidR="005C31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0C5AE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could </w:t>
            </w:r>
            <w:r w:rsidR="00C8713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improve phenotyping</w:t>
            </w:r>
            <w:r w:rsidR="000C5AE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3972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and augmen</w:t>
            </w:r>
            <w:r w:rsidR="000C5AE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</w:t>
            </w:r>
            <w:r w:rsidR="003972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variant interpretation for</w:t>
            </w:r>
            <w:r w:rsidR="0092719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mendelian </w:t>
            </w:r>
            <w:r w:rsidR="003972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diseases.</w:t>
            </w:r>
          </w:p>
          <w:p w14:paraId="0A94FE27" w14:textId="77777777" w:rsidR="000C5AEC" w:rsidRDefault="000C5AEC" w:rsidP="002D52A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9FB46A9" w14:textId="0B4B18BF" w:rsidR="00F45B50" w:rsidRDefault="000C5AEC" w:rsidP="004C3E4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0A23D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Many pieces of</w:t>
            </w:r>
            <w:r w:rsidR="000C31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evidence support</w:t>
            </w:r>
            <w:r w:rsidR="00400C6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that </w:t>
            </w:r>
            <w:r w:rsidR="00E148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hereditary cancer syndromes could manifest as a b</w:t>
            </w:r>
            <w:r w:rsidR="00C31FC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roa</w:t>
            </w:r>
            <w:r w:rsidR="00E148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 spectrum of clinical features. </w:t>
            </w:r>
            <w:r w:rsidR="0013388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For example, </w:t>
            </w:r>
            <w:proofErr w:type="spellStart"/>
            <w:r w:rsidR="004D1B10" w:rsidRPr="004D1B1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Pilarski</w:t>
            </w:r>
            <w:proofErr w:type="spellEnd"/>
            <w:r w:rsidR="004D1B10" w:rsidRPr="004D1B1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D1B10" w:rsidRPr="00B97FDC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et al</w:t>
            </w:r>
            <w:r w:rsidR="00B97FDC" w:rsidRPr="00B97FDC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.</w:t>
            </w:r>
            <w:r w:rsidR="00F32EA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92719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found</w:t>
            </w:r>
            <w:r w:rsidR="00F32EA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0E18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that</w:t>
            </w:r>
            <w:r w:rsidR="0092719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92719F" w:rsidRPr="0092719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PTEN hamartoma tumor syndrome </w:t>
            </w:r>
            <w:r w:rsidR="0092719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patients could also have </w:t>
            </w:r>
            <w:r w:rsidR="000E182C" w:rsidRPr="000E18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autism spectrum disorders, colon cancer, esophageal glycogenic acanthosis, penile macules, renal cell carcinoma, testicular lipomatosis, and vascular anomalies</w:t>
            </w:r>
            <w:r w:rsidR="000A5C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="00E94C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all of </w:t>
            </w:r>
            <w:r w:rsidR="000A5C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which were rarely included in previous diagnosis criteria</w:t>
            </w:r>
            <w:r w:rsidR="000E18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4D1B10" w:rsidRPr="004D1B1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D1B1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However,</w:t>
            </w:r>
            <w:r w:rsidR="00EB6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currently known</w:t>
            </w:r>
            <w:r w:rsidR="004D1B1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clinical features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for </w:t>
            </w:r>
            <w:r w:rsidR="00EB6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many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D1B1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hereditary cancer syndromes</w:t>
            </w:r>
            <w:r w:rsidR="00EB6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are</w:t>
            </w:r>
            <w:r w:rsidR="000E18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</w:t>
            </w:r>
            <w:r w:rsidR="00EB6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72A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general, </w:t>
            </w:r>
            <w:r w:rsidR="00EB6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limited to family history</w:t>
            </w:r>
            <w:r w:rsidR="00472A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="001E24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age of onset </w:t>
            </w:r>
            <w:r w:rsidR="00472A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</w:t>
            </w:r>
            <w:r w:rsidR="00F32EA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</w:t>
            </w:r>
            <w:r w:rsidR="00A8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/or</w:t>
            </w:r>
            <w:r w:rsidR="00A572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CB1FE6" w:rsidRPr="00CB1FE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histologic </w:t>
            </w:r>
            <w:r w:rsidR="00472A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characteristics of tumors</w:t>
            </w:r>
            <w:r w:rsidR="00AD5BB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EB6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Other potential related clinical features remain </w:t>
            </w:r>
            <w:r w:rsidR="000A5C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to be identified</w:t>
            </w:r>
            <w:r w:rsidR="00EB6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1BE89C7" w14:textId="77777777" w:rsidR="00AD5BB2" w:rsidRDefault="00AD5BB2" w:rsidP="004C3E4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67D48694" w14:textId="79619121" w:rsidR="008A45CA" w:rsidRDefault="000A5C12" w:rsidP="008712F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 have developed the phenome-wide association study (PheWAS) </w:t>
            </w:r>
            <w:r w:rsidR="00096E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method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evaluate </w:t>
            </w:r>
            <w:r w:rsidR="007922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associations of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genetic variants with</w:t>
            </w:r>
            <w:r w:rsidR="00495A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95A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 large number of</w:t>
            </w:r>
            <w:proofErr w:type="gramEnd"/>
            <w:r w:rsidR="00495A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0D51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clinical features </w:t>
            </w:r>
            <w:r w:rsidR="00495A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documented in electronic medical records (EMRs). B</w:t>
            </w:r>
            <w:r w:rsidR="004C3E42" w:rsidRPr="004C3E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 applying this </w:t>
            </w:r>
            <w:r w:rsidR="00096E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method</w:t>
            </w:r>
            <w:r w:rsidR="004C3E42" w:rsidRPr="004C3E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="004C3E42" w:rsidRPr="004C3E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eMERGEseq</w:t>
            </w:r>
            <w:proofErr w:type="spellEnd"/>
            <w:r w:rsidR="004C3E42" w:rsidRPr="004C3E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data, we</w:t>
            </w:r>
            <w:r w:rsidR="00495A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will </w:t>
            </w:r>
            <w:r w:rsidR="00495ADC" w:rsidRPr="004C3E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identify</w:t>
            </w:r>
            <w:r w:rsidR="00495A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clinical features associated with pathogenic variants in hereditary cancer genes</w:t>
            </w:r>
            <w:r w:rsidR="003D155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systematically</w:t>
            </w:r>
            <w:r w:rsidR="00495A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 W</w:t>
            </w:r>
            <w:r w:rsidR="004C3E42" w:rsidRPr="004C3E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</w:t>
            </w:r>
            <w:r w:rsidR="00495A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will validate the</w:t>
            </w:r>
            <w:r w:rsidR="00A32D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observed </w:t>
            </w:r>
            <w:r w:rsidR="00495A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associations in additional datasets.</w:t>
            </w:r>
            <w:r w:rsidR="00A32D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We will aggregate the validated clinical features as well as relevant features curated by</w:t>
            </w:r>
            <w:r w:rsidR="00A32D60" w:rsidRPr="00A32D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OMIM</w:t>
            </w:r>
            <w:r w:rsidR="00A32D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for each cancer syndrome </w:t>
            </w:r>
            <w:r w:rsidR="000D51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gene </w:t>
            </w:r>
            <w:r w:rsidR="00A32D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and derive </w:t>
            </w:r>
            <w:r w:rsidR="00EC7C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</w:t>
            </w:r>
            <w:r w:rsidR="00A32D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corresponding PheRS for </w:t>
            </w:r>
            <w:proofErr w:type="gramStart"/>
            <w:r w:rsidR="00A32D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each individual</w:t>
            </w:r>
            <w:proofErr w:type="gramEnd"/>
            <w:r w:rsidR="00A32D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 the </w:t>
            </w:r>
            <w:proofErr w:type="spellStart"/>
            <w:r w:rsidR="00A32D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eMERGEseq</w:t>
            </w:r>
            <w:proofErr w:type="spellEnd"/>
            <w:r w:rsidR="00A32D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cohort.</w:t>
            </w:r>
            <w:r w:rsidR="00096E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8712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 will</w:t>
            </w:r>
            <w:r w:rsidR="00EC7C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determine the phenotypic risk of hereditary cancer syndromes of each individual and</w:t>
            </w:r>
            <w:r w:rsidR="008712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estimate association of variants previously determined as of unknown significance with PheRS for each cancer syndrome. Because of the increased power</w:t>
            </w:r>
            <w:r w:rsidR="000D51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achieved</w:t>
            </w:r>
            <w:r w:rsidR="008712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by aggregating clinical features, we anticipate detecting additional pathogenic variants and </w:t>
            </w:r>
            <w:r w:rsidR="008712FE" w:rsidRPr="008712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variants that have partial penetrance</w:t>
            </w:r>
            <w:r w:rsidR="005E7D2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which will</w:t>
            </w:r>
            <w:r w:rsidR="008712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facilitate accurate variant interpretation. </w:t>
            </w:r>
          </w:p>
          <w:p w14:paraId="1510FAAD" w14:textId="77777777" w:rsidR="001B74D8" w:rsidRDefault="001B74D8" w:rsidP="008712F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CD7DE62" w14:textId="69866BA8" w:rsidR="001B74D8" w:rsidRPr="00693B2B" w:rsidRDefault="001B74D8" w:rsidP="008712FE">
            <w:pPr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  <w:lang w:eastAsia="zh-CN"/>
              </w:rPr>
            </w:pPr>
            <w:r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genes we are focusing on, as part of our Cancer </w:t>
            </w:r>
            <w:proofErr w:type="spellStart"/>
            <w:r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PheWAS</w:t>
            </w:r>
            <w:proofErr w:type="spellEnd"/>
            <w:r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are: </w:t>
            </w:r>
            <w:r w:rsidR="007C7053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APC,</w:t>
            </w:r>
            <w:r w:rsidR="002C55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ATM,</w:t>
            </w:r>
            <w:r w:rsidR="007C7053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BMPR1A, SMAD4,</w:t>
            </w:r>
            <w:r w:rsid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BRCA1, BRCA</w:t>
            </w:r>
            <w:r w:rsidR="007C7053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2, PALB2, CHEK2, TP53, MLH1, MSH2, MSH6, PMS2, POLD1, POLE, MUTYH, PTEN,</w:t>
            </w:r>
            <w:r w:rsid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AF7F76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STK11,</w:t>
            </w:r>
            <w:r w:rsid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AF7F76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NF2, </w:t>
            </w:r>
            <w:r w:rsidR="007C7053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RB1,</w:t>
            </w:r>
            <w:r w:rsidR="00AF7F76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MEN1,</w:t>
            </w:r>
            <w:r w:rsid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7C7053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RET, </w:t>
            </w:r>
            <w:r w:rsidR="006B1B52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BLM, </w:t>
            </w:r>
            <w:r w:rsidR="007C7053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SDHAF2, SDHB,</w:t>
            </w:r>
            <w:r w:rsid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7C7053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SDHC, SDHD, TSC1, TSC2, VHL, </w:t>
            </w:r>
            <w:r w:rsidR="003531C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JAK2 </w:t>
            </w:r>
            <w:r w:rsidR="007C7053" w:rsidRPr="00AF7F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and WT1</w:t>
            </w:r>
            <w:r w:rsidR="00270A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as well as FANCC.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77777777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EF4CC7" w14:textId="099D2EAB" w:rsidR="00B97FDC" w:rsidRPr="00B97FDC" w:rsidRDefault="00B97FDC" w:rsidP="00B97F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97FDC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Pr="00B97FDC">
              <w:rPr>
                <w:rFonts w:asciiTheme="majorHAnsi" w:hAnsiTheme="majorHAnsi" w:cstheme="majorHAnsi"/>
                <w:sz w:val="22"/>
                <w:szCs w:val="22"/>
              </w:rPr>
              <w:tab/>
              <w:t>Identify a range of phenotypes associated with carrying pathogenic variants in hereditary cancer genes through phenome-wide association studies</w:t>
            </w:r>
            <w:r w:rsidR="00991E3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413A7">
              <w:rPr>
                <w:rFonts w:asciiTheme="majorHAnsi" w:hAnsiTheme="majorHAnsi" w:cstheme="majorHAnsi"/>
                <w:sz w:val="22"/>
                <w:szCs w:val="22"/>
              </w:rPr>
              <w:t xml:space="preserve">(PheWAS) </w:t>
            </w:r>
            <w:r w:rsidR="00991E31">
              <w:rPr>
                <w:rFonts w:asciiTheme="majorHAnsi" w:hAnsiTheme="majorHAnsi" w:cstheme="majorHAnsi"/>
                <w:sz w:val="22"/>
                <w:szCs w:val="22"/>
              </w:rPr>
              <w:t xml:space="preserve">and validate observed association in additional datasets including the UK biobank. </w:t>
            </w:r>
          </w:p>
          <w:p w14:paraId="546126CA" w14:textId="597FC6BD" w:rsidR="00B97FDC" w:rsidRPr="00B97FDC" w:rsidRDefault="00B97FDC" w:rsidP="00B97F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97FDC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  <w:r w:rsidRPr="00B97FDC"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Create PheRS for each participant based on associated phenotypes and phenotypes curated by </w:t>
            </w:r>
            <w:r w:rsidR="000315DF">
              <w:rPr>
                <w:rFonts w:asciiTheme="majorHAnsi" w:hAnsiTheme="majorHAnsi" w:cstheme="majorHAnsi"/>
                <w:sz w:val="22"/>
                <w:szCs w:val="22"/>
              </w:rPr>
              <w:t>OMIM</w:t>
            </w:r>
            <w:r w:rsidRPr="00B97FD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3800465" w14:textId="6EAF82B2" w:rsidR="000A12A3" w:rsidRDefault="00B97FDC" w:rsidP="00B97F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97FDC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  <w:r w:rsidRPr="00B97FDC"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Use linear regression to detect association between </w:t>
            </w:r>
            <w:r w:rsidR="008712FE">
              <w:rPr>
                <w:rFonts w:asciiTheme="majorHAnsi" w:hAnsiTheme="majorHAnsi" w:cstheme="majorHAnsi"/>
                <w:sz w:val="22"/>
                <w:szCs w:val="22"/>
              </w:rPr>
              <w:t>VUS</w:t>
            </w:r>
            <w:r w:rsidRPr="00B97FDC">
              <w:rPr>
                <w:rFonts w:asciiTheme="majorHAnsi" w:hAnsiTheme="majorHAnsi" w:cstheme="majorHAnsi"/>
                <w:sz w:val="22"/>
                <w:szCs w:val="22"/>
              </w:rPr>
              <w:t xml:space="preserve"> and</w:t>
            </w:r>
            <w:r w:rsidR="00991E3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1E31">
              <w:rPr>
                <w:rFonts w:asciiTheme="majorHAnsi" w:hAnsiTheme="majorHAnsi" w:cstheme="majorHAnsi"/>
                <w:sz w:val="22"/>
                <w:szCs w:val="22"/>
              </w:rPr>
              <w:t>PheRS</w:t>
            </w:r>
            <w:proofErr w:type="spellEnd"/>
            <w:r w:rsidR="008712FE">
              <w:rPr>
                <w:rFonts w:asciiTheme="majorHAnsi" w:hAnsiTheme="majorHAnsi" w:cstheme="majorHAnsi"/>
                <w:sz w:val="22"/>
                <w:szCs w:val="22"/>
              </w:rPr>
              <w:t xml:space="preserve"> in the </w:t>
            </w:r>
            <w:proofErr w:type="spellStart"/>
            <w:r w:rsidR="008712FE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8712FE">
              <w:rPr>
                <w:rFonts w:asciiTheme="majorHAnsi" w:hAnsiTheme="majorHAnsi" w:cstheme="majorHAnsi"/>
                <w:sz w:val="22"/>
                <w:szCs w:val="22"/>
              </w:rPr>
              <w:t xml:space="preserve"> data.</w:t>
            </w:r>
            <w:r w:rsidR="003413A7">
              <w:rPr>
                <w:rFonts w:asciiTheme="majorHAnsi" w:hAnsiTheme="majorHAnsi" w:cstheme="majorHAnsi"/>
                <w:sz w:val="22"/>
                <w:szCs w:val="22"/>
              </w:rPr>
              <w:t xml:space="preserve"> Validate PheRS by testing against known P/LP and benign variants.</w:t>
            </w:r>
          </w:p>
          <w:p w14:paraId="51FA79D4" w14:textId="77777777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F456AD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385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3E543B69" w:rsidR="00C367EC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362954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E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55C33BF8" w:rsidR="00C367EC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342955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E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F456AD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18036E80" w:rsidR="00C367EC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859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69E4C71E" w:rsidR="00C367EC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69555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E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3BC77A9E" w:rsidR="00B845FF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54096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411" w:type="dxa"/>
          </w:tcPr>
          <w:p w14:paraId="2574C661" w14:textId="72D1C2DC" w:rsidR="00C367EC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440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B0CE2" w:rsidRPr="00F456AD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58A6C33D" w:rsidR="00C367EC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2557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2A1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02039" w:rsidRPr="00F456AD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19448713" w:rsidR="00C367EC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1554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845FF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on Phase I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8877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and 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E0FD93" w:rsidR="0025109A" w:rsidRPr="000B7654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726249B" w:rsidR="0093273D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14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12C25C0B" w:rsidR="00376326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4111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0D7DBCDF" w:rsidR="00376326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9794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E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AE61600" w:rsidR="00376326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7596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F456AD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721E362A" w:rsidR="00376326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202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793A136C" w:rsidR="00376326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8809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4110D3E3" w:rsidR="00571D40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590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71D40" w:rsidRPr="00F456AD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62924EB0" w:rsidR="0063131E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7160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E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131E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69A0A26D" w:rsidR="0063131E" w:rsidRPr="00F456AD" w:rsidRDefault="00E5206F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6952670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E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131E" w:rsidRPr="00F456AD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26925C5" w14:textId="33C478F1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BA9734" w14:textId="4F6F6941" w:rsidR="00B97FDC" w:rsidRDefault="00B97FDC" w:rsidP="00B97FD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Phenome-wide association studies of hereditary cancer genes</w:t>
            </w:r>
            <w:r w:rsidR="000D5103">
              <w:rPr>
                <w:rFonts w:asciiTheme="majorHAnsi" w:hAnsiTheme="majorHAnsi" w:cstheme="majorHAnsi"/>
                <w:sz w:val="22"/>
                <w:szCs w:val="22"/>
              </w:rPr>
              <w:t xml:space="preserve">: logistic regression for common phenotypes with </w:t>
            </w:r>
            <w:proofErr w:type="gramStart"/>
            <w:r w:rsidR="000D5103">
              <w:rPr>
                <w:rFonts w:asciiTheme="majorHAnsi" w:hAnsiTheme="majorHAnsi" w:cstheme="majorHAnsi"/>
                <w:sz w:val="22"/>
                <w:szCs w:val="22"/>
              </w:rPr>
              <w:t>sufficient</w:t>
            </w:r>
            <w:proofErr w:type="gramEnd"/>
            <w:r w:rsidR="000D5103">
              <w:rPr>
                <w:rFonts w:asciiTheme="majorHAnsi" w:hAnsiTheme="majorHAnsi" w:cstheme="majorHAnsi"/>
                <w:sz w:val="22"/>
                <w:szCs w:val="22"/>
              </w:rPr>
              <w:t xml:space="preserve"> pathogenic variant carriers; fisher exact test for rare phenotypes or a small number of pathogenic variant carriers.</w:t>
            </w:r>
          </w:p>
          <w:p w14:paraId="75FD2995" w14:textId="43725361" w:rsidR="00B97FDC" w:rsidRPr="00B97FDC" w:rsidRDefault="00B97FDC" w:rsidP="00B97FD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Linear regression to evaluate associations</w:t>
            </w:r>
            <w:r w:rsidRPr="00B97FDC">
              <w:rPr>
                <w:rFonts w:asciiTheme="majorHAnsi" w:hAnsiTheme="majorHAnsi" w:cstheme="majorHAnsi"/>
                <w:sz w:val="22"/>
                <w:szCs w:val="22"/>
              </w:rPr>
              <w:t xml:space="preserve"> between P</w:t>
            </w:r>
            <w:r w:rsidR="000D5103">
              <w:rPr>
                <w:rFonts w:asciiTheme="majorHAnsi" w:hAnsiTheme="majorHAnsi" w:cstheme="majorHAnsi"/>
                <w:sz w:val="22"/>
                <w:szCs w:val="22"/>
              </w:rPr>
              <w:t>he</w:t>
            </w:r>
            <w:r w:rsidRPr="00B97FDC">
              <w:rPr>
                <w:rFonts w:asciiTheme="majorHAnsi" w:hAnsiTheme="majorHAnsi" w:cstheme="majorHAnsi"/>
                <w:sz w:val="22"/>
                <w:szCs w:val="22"/>
              </w:rPr>
              <w:t xml:space="preserve">RS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variants in hereditary cancer genes</w:t>
            </w:r>
            <w:r w:rsidRPr="00B97FD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018DAEC8" w:rsidR="0093273D" w:rsidRPr="008673B8" w:rsidRDefault="002D3C5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None </w:t>
            </w:r>
          </w:p>
          <w:p w14:paraId="4E264CE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66012A98" w:rsidR="000A12A3" w:rsidRPr="008673B8" w:rsidRDefault="00A73B0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TBA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</w:t>
            </w:r>
            <w:r>
              <w:rPr>
                <w:rFonts w:asciiTheme="majorHAnsi" w:hAnsiTheme="majorHAnsi"/>
                <w:i/>
                <w:sz w:val="22"/>
              </w:rPr>
              <w:lastRenderedPageBreak/>
              <w:t xml:space="preserve">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89201E" w14:textId="19B90608" w:rsidR="0093273D" w:rsidRPr="008673B8" w:rsidRDefault="00A73B0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73B00">
              <w:rPr>
                <w:rFonts w:asciiTheme="majorHAnsi" w:hAnsiTheme="majorHAnsi" w:cstheme="majorHAnsi"/>
                <w:sz w:val="22"/>
                <w:szCs w:val="22"/>
              </w:rPr>
              <w:t>1 year for completion</w:t>
            </w:r>
          </w:p>
        </w:tc>
      </w:tr>
    </w:tbl>
    <w:p w14:paraId="4BF2BAC8" w14:textId="77777777" w:rsidR="002142B6" w:rsidRDefault="00E5206F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ICD, CPT, Phecodes</w:t>
      </w:r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7FEE2" w14:textId="77777777" w:rsidR="009F29B6" w:rsidRDefault="009F29B6" w:rsidP="0093273D">
      <w:r>
        <w:separator/>
      </w:r>
    </w:p>
  </w:endnote>
  <w:endnote w:type="continuationSeparator" w:id="0">
    <w:p w14:paraId="3C6AC686" w14:textId="77777777" w:rsidR="009F29B6" w:rsidRDefault="009F29B6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73E1FD75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456AD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8F90F" w14:textId="77777777" w:rsidR="009F29B6" w:rsidRDefault="009F29B6" w:rsidP="0093273D">
      <w:r>
        <w:separator/>
      </w:r>
    </w:p>
  </w:footnote>
  <w:footnote w:type="continuationSeparator" w:id="0">
    <w:p w14:paraId="40FD8E30" w14:textId="77777777" w:rsidR="009F29B6" w:rsidRDefault="009F29B6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F225D"/>
    <w:multiLevelType w:val="hybridMultilevel"/>
    <w:tmpl w:val="CEAE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D31B2"/>
    <w:multiLevelType w:val="hybridMultilevel"/>
    <w:tmpl w:val="8EC6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0723E"/>
    <w:rsid w:val="000315DF"/>
    <w:rsid w:val="00037D10"/>
    <w:rsid w:val="00041691"/>
    <w:rsid w:val="000418C9"/>
    <w:rsid w:val="00064BC6"/>
    <w:rsid w:val="00096EFB"/>
    <w:rsid w:val="000A12A3"/>
    <w:rsid w:val="000A23D6"/>
    <w:rsid w:val="000A5C12"/>
    <w:rsid w:val="000B4295"/>
    <w:rsid w:val="000B7654"/>
    <w:rsid w:val="000C318C"/>
    <w:rsid w:val="000C5AEC"/>
    <w:rsid w:val="000D068E"/>
    <w:rsid w:val="000D5103"/>
    <w:rsid w:val="000E182C"/>
    <w:rsid w:val="000E2C7D"/>
    <w:rsid w:val="000F1B5A"/>
    <w:rsid w:val="00116A46"/>
    <w:rsid w:val="00117500"/>
    <w:rsid w:val="00133889"/>
    <w:rsid w:val="00184237"/>
    <w:rsid w:val="00193BC8"/>
    <w:rsid w:val="001B74D8"/>
    <w:rsid w:val="001E246D"/>
    <w:rsid w:val="001F3540"/>
    <w:rsid w:val="002476A5"/>
    <w:rsid w:val="0025109A"/>
    <w:rsid w:val="00270AF5"/>
    <w:rsid w:val="00281323"/>
    <w:rsid w:val="002C5596"/>
    <w:rsid w:val="002D3C50"/>
    <w:rsid w:val="002D52A1"/>
    <w:rsid w:val="002E0F98"/>
    <w:rsid w:val="002E5910"/>
    <w:rsid w:val="003413A7"/>
    <w:rsid w:val="003531CE"/>
    <w:rsid w:val="00360033"/>
    <w:rsid w:val="00376326"/>
    <w:rsid w:val="0037663F"/>
    <w:rsid w:val="00381AB0"/>
    <w:rsid w:val="003972BE"/>
    <w:rsid w:val="003D155B"/>
    <w:rsid w:val="003D5970"/>
    <w:rsid w:val="003F367E"/>
    <w:rsid w:val="003F760E"/>
    <w:rsid w:val="00400C65"/>
    <w:rsid w:val="00471B91"/>
    <w:rsid w:val="00472A53"/>
    <w:rsid w:val="00495ADC"/>
    <w:rsid w:val="004C3E42"/>
    <w:rsid w:val="004D1B10"/>
    <w:rsid w:val="004D2FF5"/>
    <w:rsid w:val="004D7F55"/>
    <w:rsid w:val="00514294"/>
    <w:rsid w:val="00543ABA"/>
    <w:rsid w:val="00552D13"/>
    <w:rsid w:val="00571D40"/>
    <w:rsid w:val="00594CF3"/>
    <w:rsid w:val="00595E27"/>
    <w:rsid w:val="005C31D0"/>
    <w:rsid w:val="005E7A2D"/>
    <w:rsid w:val="005E7D22"/>
    <w:rsid w:val="005F4ECB"/>
    <w:rsid w:val="005F7650"/>
    <w:rsid w:val="00614403"/>
    <w:rsid w:val="006166BF"/>
    <w:rsid w:val="00625689"/>
    <w:rsid w:val="0063131E"/>
    <w:rsid w:val="00653364"/>
    <w:rsid w:val="00693B2B"/>
    <w:rsid w:val="006B1B52"/>
    <w:rsid w:val="00702039"/>
    <w:rsid w:val="007441B5"/>
    <w:rsid w:val="00763B0A"/>
    <w:rsid w:val="00785080"/>
    <w:rsid w:val="007922A4"/>
    <w:rsid w:val="007A420D"/>
    <w:rsid w:val="007C6D40"/>
    <w:rsid w:val="007C7053"/>
    <w:rsid w:val="007D21C1"/>
    <w:rsid w:val="007E74E5"/>
    <w:rsid w:val="007F3F81"/>
    <w:rsid w:val="008472EB"/>
    <w:rsid w:val="00862312"/>
    <w:rsid w:val="008673B8"/>
    <w:rsid w:val="008712FE"/>
    <w:rsid w:val="008A45CA"/>
    <w:rsid w:val="008B0CE2"/>
    <w:rsid w:val="00900D3C"/>
    <w:rsid w:val="00903AA8"/>
    <w:rsid w:val="0092719F"/>
    <w:rsid w:val="0093273D"/>
    <w:rsid w:val="00951041"/>
    <w:rsid w:val="00963A9B"/>
    <w:rsid w:val="00981B34"/>
    <w:rsid w:val="00982227"/>
    <w:rsid w:val="00991E31"/>
    <w:rsid w:val="009F29B6"/>
    <w:rsid w:val="00A14096"/>
    <w:rsid w:val="00A32D60"/>
    <w:rsid w:val="00A4051E"/>
    <w:rsid w:val="00A418B6"/>
    <w:rsid w:val="00A57262"/>
    <w:rsid w:val="00A674F0"/>
    <w:rsid w:val="00A7114F"/>
    <w:rsid w:val="00A726E3"/>
    <w:rsid w:val="00A73B00"/>
    <w:rsid w:val="00A84FF5"/>
    <w:rsid w:val="00A92A54"/>
    <w:rsid w:val="00AA5F83"/>
    <w:rsid w:val="00AB0F47"/>
    <w:rsid w:val="00AD5BB2"/>
    <w:rsid w:val="00AF586E"/>
    <w:rsid w:val="00AF69AF"/>
    <w:rsid w:val="00AF7F76"/>
    <w:rsid w:val="00B14035"/>
    <w:rsid w:val="00B46A20"/>
    <w:rsid w:val="00B67A4E"/>
    <w:rsid w:val="00B845FF"/>
    <w:rsid w:val="00B903E1"/>
    <w:rsid w:val="00B97FDC"/>
    <w:rsid w:val="00BE0F1B"/>
    <w:rsid w:val="00BE1526"/>
    <w:rsid w:val="00BF2A5E"/>
    <w:rsid w:val="00C05BA2"/>
    <w:rsid w:val="00C31FCF"/>
    <w:rsid w:val="00C367EC"/>
    <w:rsid w:val="00C748EE"/>
    <w:rsid w:val="00C8713A"/>
    <w:rsid w:val="00CB1FE6"/>
    <w:rsid w:val="00CD6488"/>
    <w:rsid w:val="00D2197F"/>
    <w:rsid w:val="00D93D28"/>
    <w:rsid w:val="00DB04F1"/>
    <w:rsid w:val="00DB2FE7"/>
    <w:rsid w:val="00DB3639"/>
    <w:rsid w:val="00DF58D1"/>
    <w:rsid w:val="00E052EB"/>
    <w:rsid w:val="00E14827"/>
    <w:rsid w:val="00E27BFF"/>
    <w:rsid w:val="00E41366"/>
    <w:rsid w:val="00E5206F"/>
    <w:rsid w:val="00E94CE5"/>
    <w:rsid w:val="00EA1FAC"/>
    <w:rsid w:val="00EB6A37"/>
    <w:rsid w:val="00EB6D08"/>
    <w:rsid w:val="00EC7CED"/>
    <w:rsid w:val="00F32EA8"/>
    <w:rsid w:val="00F456AD"/>
    <w:rsid w:val="00F45B50"/>
    <w:rsid w:val="00F67769"/>
    <w:rsid w:val="00FB4D66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Timoethia M</cp:lastModifiedBy>
  <cp:revision>9</cp:revision>
  <dcterms:created xsi:type="dcterms:W3CDTF">2019-04-25T16:30:00Z</dcterms:created>
  <dcterms:modified xsi:type="dcterms:W3CDTF">2019-04-26T12:54:00Z</dcterms:modified>
</cp:coreProperties>
</file>