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020FD4F" w:rsidR="0093273D" w:rsidRPr="008673B8" w:rsidRDefault="00AA006E" w:rsidP="00CF0D06">
            <w:pPr>
              <w:rPr>
                <w:rFonts w:asciiTheme="majorHAnsi" w:hAnsiTheme="majorHAnsi" w:cstheme="majorHAnsi"/>
                <w:sz w:val="22"/>
                <w:szCs w:val="22"/>
              </w:rPr>
            </w:pPr>
            <w:r>
              <w:rPr>
                <w:rFonts w:asciiTheme="majorHAnsi" w:hAnsiTheme="majorHAnsi" w:cstheme="majorHAnsi"/>
                <w:sz w:val="22"/>
                <w:szCs w:val="22"/>
              </w:rPr>
              <w:t>NT349</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2ED83D" w14:textId="6E54200F" w:rsidR="00AA006E" w:rsidRDefault="00AA006E" w:rsidP="00AA006E">
            <w:pPr>
              <w:rPr>
                <w:rFonts w:ascii="Arial" w:hAnsi="Arial" w:cs="Arial"/>
                <w:sz w:val="20"/>
                <w:szCs w:val="20"/>
              </w:rPr>
            </w:pPr>
            <w:r>
              <w:rPr>
                <w:rFonts w:ascii="Arial" w:hAnsi="Arial" w:cs="Arial"/>
                <w:sz w:val="20"/>
                <w:szCs w:val="20"/>
              </w:rPr>
              <w:t>06/1</w:t>
            </w:r>
            <w:r w:rsidR="00594B9F">
              <w:rPr>
                <w:rFonts w:ascii="Arial" w:hAnsi="Arial" w:cs="Arial"/>
                <w:sz w:val="20"/>
                <w:szCs w:val="20"/>
              </w:rPr>
              <w:t>2</w:t>
            </w:r>
            <w:bookmarkStart w:id="0" w:name="_GoBack"/>
            <w:bookmarkEnd w:id="0"/>
            <w:r>
              <w:rPr>
                <w:rFonts w:ascii="Arial" w:hAnsi="Arial" w:cs="Arial"/>
                <w:sz w:val="20"/>
                <w:szCs w:val="20"/>
              </w:rPr>
              <w:t>/2019</w:t>
            </w:r>
          </w:p>
          <w:p w14:paraId="383159CD" w14:textId="77777777" w:rsidR="0093273D" w:rsidRPr="008673B8" w:rsidRDefault="0093273D" w:rsidP="00CF0D06">
            <w:pPr>
              <w:rPr>
                <w:rFonts w:asciiTheme="majorHAnsi" w:hAnsiTheme="majorHAnsi" w:cstheme="majorHAnsi"/>
                <w:sz w:val="22"/>
                <w:szCs w:val="22"/>
              </w:rPr>
            </w:pP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291AE9F" w14:textId="77777777" w:rsidR="0093273D" w:rsidRDefault="00044E3C" w:rsidP="00CF0D06">
            <w:pPr>
              <w:rPr>
                <w:rFonts w:ascii="Arial" w:hAnsi="Arial" w:cs="Arial"/>
                <w:sz w:val="20"/>
                <w:szCs w:val="20"/>
              </w:rPr>
            </w:pPr>
            <w:r w:rsidRPr="00044E3C">
              <w:rPr>
                <w:rFonts w:ascii="Arial" w:hAnsi="Arial" w:cs="Arial"/>
                <w:sz w:val="20"/>
                <w:szCs w:val="20"/>
              </w:rPr>
              <w:t>Family communication following return of positive results</w:t>
            </w:r>
          </w:p>
          <w:p w14:paraId="391AC091" w14:textId="6C661071" w:rsidR="005D3FAE" w:rsidRPr="005D3FAE" w:rsidRDefault="005D3FAE" w:rsidP="005D3FAE">
            <w:pPr>
              <w:rPr>
                <w:rFonts w:ascii="Arial" w:hAnsi="Arial" w:cs="Arial"/>
                <w:sz w:val="20"/>
                <w:szCs w:val="20"/>
              </w:rPr>
            </w:pP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0E321C9E" w:rsidR="0093273D" w:rsidRPr="008673B8" w:rsidRDefault="00C25AC0" w:rsidP="00CF0D06">
            <w:pPr>
              <w:rPr>
                <w:rFonts w:asciiTheme="majorHAnsi" w:hAnsiTheme="majorHAnsi" w:cstheme="majorHAnsi"/>
                <w:sz w:val="22"/>
                <w:szCs w:val="22"/>
              </w:rPr>
            </w:pPr>
            <w:r>
              <w:rPr>
                <w:rFonts w:ascii="Arial" w:hAnsi="Arial" w:cs="Arial"/>
                <w:sz w:val="20"/>
                <w:szCs w:val="20"/>
              </w:rPr>
              <w:t>Hila Milo Rasouly and Julia Wynn</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18D92CE9" w:rsidR="0093273D" w:rsidRPr="008673B8" w:rsidRDefault="00C25AC0" w:rsidP="00CF0D06">
            <w:pPr>
              <w:rPr>
                <w:rFonts w:asciiTheme="majorHAnsi" w:hAnsiTheme="majorHAnsi" w:cstheme="majorHAnsi"/>
                <w:sz w:val="22"/>
                <w:szCs w:val="22"/>
              </w:rPr>
            </w:pPr>
            <w:r>
              <w:rPr>
                <w:rFonts w:ascii="Arial" w:hAnsi="Arial" w:cs="Arial"/>
                <w:sz w:val="20"/>
                <w:szCs w:val="20"/>
              </w:rPr>
              <w:t>TBD</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59853E63" w:rsidR="0093273D" w:rsidRPr="00C25AC0" w:rsidRDefault="00C25AC0" w:rsidP="00CF0D06">
            <w:pPr>
              <w:rPr>
                <w:rFonts w:ascii="Arial" w:hAnsi="Arial" w:cs="Arial"/>
                <w:sz w:val="20"/>
                <w:szCs w:val="20"/>
              </w:rPr>
            </w:pPr>
            <w:r>
              <w:rPr>
                <w:rFonts w:ascii="Arial" w:hAnsi="Arial" w:cs="Arial"/>
                <w:sz w:val="20"/>
                <w:szCs w:val="20"/>
              </w:rPr>
              <w:t>Members of the ROR-ELSI Participant Survey subgrou</w:t>
            </w:r>
            <w:r w:rsidR="005D3FAE">
              <w:rPr>
                <w:rFonts w:ascii="Arial" w:hAnsi="Arial" w:cs="Arial"/>
                <w:sz w:val="20"/>
                <w:szCs w:val="20"/>
              </w:rPr>
              <w:t>p</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59C263F8" w14:textId="77777777" w:rsidR="00C25AC0" w:rsidRDefault="00C25AC0" w:rsidP="00C25AC0">
            <w:pPr>
              <w:rPr>
                <w:rFonts w:ascii="Arial" w:hAnsi="Arial" w:cs="Arial"/>
                <w:sz w:val="20"/>
                <w:szCs w:val="20"/>
              </w:rPr>
            </w:pPr>
            <w:r>
              <w:rPr>
                <w:rFonts w:ascii="Arial" w:hAnsi="Arial" w:cs="Arial"/>
                <w:sz w:val="20"/>
                <w:szCs w:val="20"/>
              </w:rPr>
              <w:t>All eMERGE III clinical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94A8425" w14:textId="77777777" w:rsidR="00C25AC0" w:rsidRDefault="00C25AC0" w:rsidP="00C25AC0">
            <w:pPr>
              <w:rPr>
                <w:rFonts w:ascii="Arial" w:hAnsi="Arial" w:cs="Arial"/>
                <w:sz w:val="20"/>
                <w:szCs w:val="20"/>
              </w:rPr>
            </w:pPr>
            <w:r>
              <w:rPr>
                <w:rFonts w:ascii="Arial" w:hAnsi="Arial" w:cs="Arial"/>
                <w:sz w:val="20"/>
                <w:szCs w:val="20"/>
              </w:rPr>
              <w:t xml:space="preserve">Sequential genetic testing in families (i.e. cascade screening) is recommended to patients with dominant genetic disorders to identify at risk and affected relatives and guide screening and treatment. However, there are barriers that may prevent successful transmission of accurate information across family members, including low or inaccurate understanding of genetics and inheritance and subsequently need for cascade screening ,maladaption to genetic test results and family dynamics. Though healthcare providers may be better equipt to facilitate cascade testing there are legal limitations on their ability to contact at-risk relatives. </w:t>
            </w:r>
          </w:p>
          <w:p w14:paraId="3CD7DE62" w14:textId="3985B0A0" w:rsidR="0093273D" w:rsidRPr="008673B8" w:rsidRDefault="00C25AC0" w:rsidP="00C25AC0">
            <w:pPr>
              <w:rPr>
                <w:rFonts w:asciiTheme="majorHAnsi" w:hAnsiTheme="majorHAnsi" w:cstheme="majorHAnsi"/>
                <w:color w:val="000000"/>
                <w:sz w:val="22"/>
                <w:szCs w:val="22"/>
              </w:rPr>
            </w:pPr>
            <w:r>
              <w:rPr>
                <w:rFonts w:ascii="Arial" w:hAnsi="Arial" w:cs="Arial"/>
                <w:sz w:val="20"/>
                <w:szCs w:val="20"/>
              </w:rPr>
              <w:t>There is limited knowledge about the familial implications of genomic screening of the population, as the one offered by the eMERGE III consortium. In order for genetic screening to reach its full potential, cascade screening is imperative. This study aims at learning about the sharing of genetic results by a diverse population with limited prior genetic experience who received positive results.</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E303AB" w14:textId="6244054D" w:rsidR="00C25AC0" w:rsidRDefault="00C25AC0" w:rsidP="00C25AC0">
            <w:pPr>
              <w:rPr>
                <w:rFonts w:ascii="Arial" w:hAnsi="Arial" w:cs="Arial"/>
                <w:sz w:val="20"/>
                <w:szCs w:val="20"/>
              </w:rPr>
            </w:pPr>
            <w:r>
              <w:rPr>
                <w:rFonts w:ascii="Arial" w:hAnsi="Arial" w:cs="Arial"/>
                <w:sz w:val="20"/>
                <w:szCs w:val="20"/>
              </w:rPr>
              <w:t>Analyses will be conducted to address the question whether Family communication of postitive results is associated with the following factors:</w:t>
            </w:r>
          </w:p>
          <w:p w14:paraId="76108664" w14:textId="77777777" w:rsidR="00C25AC0" w:rsidRDefault="00C25AC0" w:rsidP="00C25AC0">
            <w:pPr>
              <w:numPr>
                <w:ilvl w:val="1"/>
                <w:numId w:val="6"/>
              </w:numPr>
              <w:ind w:left="720"/>
              <w:rPr>
                <w:rFonts w:ascii="Arial" w:hAnsi="Arial" w:cs="Arial"/>
                <w:sz w:val="20"/>
                <w:szCs w:val="20"/>
              </w:rPr>
            </w:pPr>
            <w:r>
              <w:rPr>
                <w:rFonts w:ascii="Arial" w:hAnsi="Arial" w:cs="Arial"/>
                <w:sz w:val="20"/>
                <w:szCs w:val="20"/>
              </w:rPr>
              <w:t>Gender</w:t>
            </w:r>
          </w:p>
          <w:p w14:paraId="7300B145" w14:textId="77777777" w:rsidR="00C25AC0" w:rsidRDefault="00C25AC0" w:rsidP="00C25AC0">
            <w:pPr>
              <w:numPr>
                <w:ilvl w:val="1"/>
                <w:numId w:val="6"/>
              </w:numPr>
              <w:ind w:left="720"/>
              <w:rPr>
                <w:rFonts w:ascii="Arial" w:hAnsi="Arial" w:cs="Arial"/>
                <w:sz w:val="20"/>
                <w:szCs w:val="20"/>
              </w:rPr>
            </w:pPr>
            <w:r>
              <w:rPr>
                <w:rFonts w:ascii="Arial" w:hAnsi="Arial" w:cs="Arial"/>
                <w:sz w:val="20"/>
                <w:szCs w:val="20"/>
              </w:rPr>
              <w:t>Family size (number of siblings and children)</w:t>
            </w:r>
          </w:p>
          <w:p w14:paraId="7C9DA983" w14:textId="77777777" w:rsidR="00C25AC0" w:rsidRDefault="00C25AC0" w:rsidP="00C25AC0">
            <w:pPr>
              <w:numPr>
                <w:ilvl w:val="1"/>
                <w:numId w:val="6"/>
              </w:numPr>
              <w:ind w:left="720"/>
              <w:rPr>
                <w:rFonts w:ascii="Arial" w:hAnsi="Arial" w:cs="Arial"/>
                <w:sz w:val="20"/>
                <w:szCs w:val="20"/>
              </w:rPr>
            </w:pPr>
            <w:r>
              <w:rPr>
                <w:rFonts w:ascii="Arial" w:hAnsi="Arial" w:cs="Arial"/>
                <w:sz w:val="20"/>
                <w:szCs w:val="20"/>
              </w:rPr>
              <w:t>Age</w:t>
            </w:r>
          </w:p>
          <w:p w14:paraId="477CF3C3" w14:textId="77777777" w:rsidR="00C25AC0" w:rsidRDefault="00C25AC0" w:rsidP="00C25AC0">
            <w:pPr>
              <w:numPr>
                <w:ilvl w:val="1"/>
                <w:numId w:val="6"/>
              </w:numPr>
              <w:ind w:left="720"/>
              <w:rPr>
                <w:rFonts w:ascii="Arial" w:hAnsi="Arial" w:cs="Arial"/>
                <w:sz w:val="20"/>
                <w:szCs w:val="20"/>
              </w:rPr>
            </w:pPr>
            <w:r>
              <w:rPr>
                <w:rFonts w:ascii="Arial" w:hAnsi="Arial" w:cs="Arial"/>
                <w:sz w:val="20"/>
                <w:szCs w:val="20"/>
              </w:rPr>
              <w:t xml:space="preserve">Integrated healthcare system compared to university/tertiary care system </w:t>
            </w:r>
          </w:p>
          <w:p w14:paraId="1FA04C58" w14:textId="77777777" w:rsidR="00C25AC0" w:rsidRDefault="00C25AC0" w:rsidP="00C25AC0">
            <w:pPr>
              <w:numPr>
                <w:ilvl w:val="1"/>
                <w:numId w:val="6"/>
              </w:numPr>
              <w:ind w:left="720"/>
              <w:rPr>
                <w:rFonts w:ascii="Arial" w:hAnsi="Arial" w:cs="Arial"/>
                <w:sz w:val="20"/>
                <w:szCs w:val="20"/>
              </w:rPr>
            </w:pPr>
            <w:r>
              <w:rPr>
                <w:rFonts w:ascii="Arial" w:hAnsi="Arial" w:cs="Arial"/>
                <w:sz w:val="20"/>
                <w:szCs w:val="20"/>
              </w:rPr>
              <w:t>the condition or gene</w:t>
            </w:r>
          </w:p>
          <w:p w14:paraId="639D90E7" w14:textId="77777777" w:rsidR="00C25AC0" w:rsidRDefault="00C25AC0" w:rsidP="00C25AC0">
            <w:pPr>
              <w:numPr>
                <w:ilvl w:val="0"/>
                <w:numId w:val="7"/>
              </w:numPr>
              <w:ind w:left="720"/>
              <w:rPr>
                <w:rFonts w:ascii="Arial" w:hAnsi="Arial" w:cs="Arial"/>
                <w:sz w:val="20"/>
                <w:szCs w:val="20"/>
              </w:rPr>
            </w:pPr>
            <w:r>
              <w:rPr>
                <w:rFonts w:ascii="Arial" w:hAnsi="Arial" w:cs="Arial"/>
                <w:sz w:val="20"/>
                <w:szCs w:val="20"/>
              </w:rPr>
              <w:t>Diagnostic result related to the indication for sequencing, compared to a finding unrelated to any known condition they have</w:t>
            </w:r>
          </w:p>
          <w:p w14:paraId="2ECCCBF4" w14:textId="77777777" w:rsidR="00C25AC0" w:rsidRDefault="00C25AC0" w:rsidP="00C25AC0">
            <w:pPr>
              <w:numPr>
                <w:ilvl w:val="0"/>
                <w:numId w:val="8"/>
              </w:numPr>
              <w:ind w:left="720"/>
              <w:rPr>
                <w:rFonts w:ascii="Arial" w:hAnsi="Arial" w:cs="Arial"/>
                <w:sz w:val="20"/>
                <w:szCs w:val="20"/>
              </w:rPr>
            </w:pPr>
            <w:r>
              <w:rPr>
                <w:rFonts w:ascii="Arial" w:hAnsi="Arial" w:cs="Arial"/>
                <w:sz w:val="20"/>
                <w:szCs w:val="20"/>
              </w:rPr>
              <w:t>format of the return of result (in-person, over the phone, by mail,…)</w:t>
            </w:r>
          </w:p>
          <w:p w14:paraId="01B927E9" w14:textId="77777777" w:rsidR="00C25AC0" w:rsidRDefault="00C25AC0" w:rsidP="00C25AC0">
            <w:pPr>
              <w:numPr>
                <w:ilvl w:val="0"/>
                <w:numId w:val="8"/>
              </w:numPr>
              <w:ind w:left="720"/>
              <w:rPr>
                <w:rFonts w:ascii="Arial" w:hAnsi="Arial" w:cs="Arial"/>
                <w:sz w:val="20"/>
                <w:szCs w:val="20"/>
              </w:rPr>
            </w:pPr>
            <w:r>
              <w:rPr>
                <w:rFonts w:ascii="Arial" w:hAnsi="Arial" w:cs="Arial"/>
                <w:sz w:val="20"/>
                <w:szCs w:val="20"/>
              </w:rPr>
              <w:t>who returned the result (genetic counselor, geneticist, PCP,…)</w:t>
            </w:r>
          </w:p>
          <w:p w14:paraId="373CC812" w14:textId="77777777" w:rsidR="00C25AC0" w:rsidRDefault="00C25AC0" w:rsidP="00C25AC0">
            <w:pPr>
              <w:numPr>
                <w:ilvl w:val="0"/>
                <w:numId w:val="8"/>
              </w:numPr>
              <w:ind w:left="720"/>
              <w:rPr>
                <w:rFonts w:ascii="Arial" w:hAnsi="Arial" w:cs="Arial"/>
                <w:sz w:val="20"/>
                <w:szCs w:val="20"/>
              </w:rPr>
            </w:pPr>
            <w:r>
              <w:rPr>
                <w:rFonts w:ascii="Arial" w:hAnsi="Arial" w:cs="Arial"/>
                <w:sz w:val="20"/>
                <w:szCs w:val="20"/>
              </w:rPr>
              <w:t>letter content (explicitely recommended to communicate the result with family members or not)</w:t>
            </w:r>
          </w:p>
          <w:p w14:paraId="31D43DBF" w14:textId="77777777" w:rsidR="00C25AC0" w:rsidRDefault="00C25AC0" w:rsidP="00C25AC0">
            <w:pPr>
              <w:numPr>
                <w:ilvl w:val="0"/>
                <w:numId w:val="8"/>
              </w:numPr>
              <w:ind w:left="720"/>
              <w:rPr>
                <w:rFonts w:ascii="Arial" w:hAnsi="Arial" w:cs="Arial"/>
                <w:sz w:val="20"/>
                <w:szCs w:val="20"/>
              </w:rPr>
            </w:pPr>
            <w:r>
              <w:rPr>
                <w:rFonts w:ascii="Arial" w:hAnsi="Arial" w:cs="Arial"/>
                <w:sz w:val="20"/>
                <w:szCs w:val="20"/>
              </w:rPr>
              <w:t>recruitment format (biobank, clinics, flyers,…)</w:t>
            </w:r>
          </w:p>
          <w:p w14:paraId="3651A5C0" w14:textId="77777777" w:rsidR="00C25AC0" w:rsidRDefault="00C25AC0" w:rsidP="00C25AC0">
            <w:pPr>
              <w:numPr>
                <w:ilvl w:val="0"/>
                <w:numId w:val="8"/>
              </w:numPr>
              <w:ind w:left="720"/>
              <w:rPr>
                <w:rFonts w:ascii="Arial" w:hAnsi="Arial" w:cs="Arial"/>
                <w:sz w:val="20"/>
                <w:szCs w:val="20"/>
              </w:rPr>
            </w:pPr>
            <w:r>
              <w:rPr>
                <w:rFonts w:ascii="Arial" w:hAnsi="Arial" w:cs="Arial"/>
                <w:sz w:val="20"/>
                <w:szCs w:val="20"/>
              </w:rPr>
              <w:t>psychological adaptation to results as measured by the FaCTOR</w:t>
            </w:r>
          </w:p>
          <w:p w14:paraId="13800465" w14:textId="15591667" w:rsidR="000A12A3" w:rsidRPr="00C25AC0" w:rsidRDefault="00C25AC0" w:rsidP="00C25AC0">
            <w:pPr>
              <w:numPr>
                <w:ilvl w:val="0"/>
                <w:numId w:val="8"/>
              </w:numPr>
              <w:ind w:left="720"/>
              <w:rPr>
                <w:rFonts w:ascii="Arial" w:hAnsi="Arial" w:cs="Arial"/>
                <w:sz w:val="20"/>
                <w:szCs w:val="20"/>
              </w:rPr>
            </w:pPr>
            <w:r>
              <w:rPr>
                <w:rFonts w:ascii="Arial" w:hAnsi="Arial" w:cs="Arial"/>
                <w:sz w:val="20"/>
                <w:szCs w:val="20"/>
              </w:rPr>
              <w:t xml:space="preserve">decisional regret </w:t>
            </w:r>
            <w:r w:rsidRPr="00C25AC0">
              <w:rPr>
                <w:rFonts w:ascii="Arial" w:hAnsi="Arial" w:cs="Arial"/>
                <w:sz w:val="20"/>
                <w:szCs w:val="20"/>
              </w:rPr>
              <w:t>comprehension of the result</w:t>
            </w: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594B9F"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A9ACBE3" w14:textId="009878D2" w:rsidR="00B845FF"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00FA8EA3" w:rsidR="0063131E" w:rsidRPr="00700246" w:rsidRDefault="00594B9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0EBF104B" w:rsidR="0093273D" w:rsidRPr="00C25AC0" w:rsidRDefault="00C25AC0" w:rsidP="00CF0D06">
            <w:pPr>
              <w:rPr>
                <w:rFonts w:ascii="Arial" w:hAnsi="Arial" w:cs="Arial"/>
                <w:sz w:val="20"/>
                <w:szCs w:val="20"/>
              </w:rPr>
            </w:pPr>
            <w:r>
              <w:rPr>
                <w:rFonts w:ascii="Arial" w:hAnsi="Arial" w:cs="Arial"/>
                <w:sz w:val="20"/>
                <w:szCs w:val="20"/>
              </w:rPr>
              <w:t>Descriptive analysis, and logistic regression comparing the impact of different factors on the likelihood of communicating the result to family members.</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3078F887" w:rsidR="0093273D" w:rsidRPr="00C25AC0" w:rsidRDefault="00C25AC0" w:rsidP="00CF0D06">
            <w:pPr>
              <w:rPr>
                <w:rFonts w:ascii="Arial" w:hAnsi="Arial" w:cs="Arial"/>
                <w:sz w:val="20"/>
                <w:szCs w:val="20"/>
              </w:rPr>
            </w:pPr>
            <w:r>
              <w:rPr>
                <w:rFonts w:ascii="Arial" w:hAnsi="Arial" w:cs="Arial"/>
                <w:sz w:val="20"/>
                <w:szCs w:val="20"/>
              </w:rPr>
              <w:t>This survey assesses the risks and benefits of return of uncertain genomic information to participants.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C4B427D" w:rsidR="000A12A3" w:rsidRPr="008673B8" w:rsidRDefault="00C25AC0" w:rsidP="00CF0D06">
            <w:pPr>
              <w:rPr>
                <w:rFonts w:asciiTheme="majorHAnsi" w:hAnsiTheme="majorHAnsi" w:cstheme="majorHAnsi"/>
                <w:sz w:val="22"/>
                <w:szCs w:val="22"/>
              </w:rPr>
            </w:pPr>
            <w:r>
              <w:rPr>
                <w:rFonts w:ascii="Arial" w:hAnsi="Arial" w:cs="Arial"/>
                <w:sz w:val="20"/>
                <w:szCs w:val="20"/>
              </w:rPr>
              <w:t>TBD</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2F027522" w14:textId="77777777" w:rsidR="00C25AC0" w:rsidRDefault="00C25AC0" w:rsidP="00C25AC0">
            <w:pPr>
              <w:numPr>
                <w:ilvl w:val="0"/>
                <w:numId w:val="9"/>
              </w:numPr>
              <w:ind w:left="306" w:hanging="270"/>
              <w:rPr>
                <w:rFonts w:ascii="Arial" w:hAnsi="Arial" w:cs="Arial"/>
                <w:sz w:val="20"/>
                <w:szCs w:val="20"/>
              </w:rPr>
            </w:pPr>
            <w:r>
              <w:rPr>
                <w:rFonts w:ascii="Arial" w:hAnsi="Arial" w:cs="Arial"/>
                <w:sz w:val="20"/>
                <w:szCs w:val="20"/>
              </w:rPr>
              <w:t>Data collection completed at all sites – 8/2019</w:t>
            </w:r>
          </w:p>
          <w:p w14:paraId="0C545A18" w14:textId="77777777" w:rsidR="00C25AC0" w:rsidRDefault="00C25AC0" w:rsidP="00C25AC0">
            <w:pPr>
              <w:numPr>
                <w:ilvl w:val="0"/>
                <w:numId w:val="9"/>
              </w:numPr>
              <w:ind w:left="306" w:hanging="270"/>
              <w:rPr>
                <w:rFonts w:ascii="Arial" w:hAnsi="Arial" w:cs="Arial"/>
                <w:sz w:val="20"/>
                <w:szCs w:val="20"/>
              </w:rPr>
            </w:pPr>
            <w:r>
              <w:rPr>
                <w:rFonts w:ascii="Arial" w:hAnsi="Arial" w:cs="Arial"/>
                <w:sz w:val="20"/>
                <w:szCs w:val="20"/>
              </w:rPr>
              <w:t>Formulate data analysis plan – 9/2019</w:t>
            </w:r>
          </w:p>
          <w:p w14:paraId="1B10FBCD" w14:textId="77777777" w:rsidR="00C25AC0" w:rsidRDefault="00C25AC0" w:rsidP="00C25AC0">
            <w:pPr>
              <w:numPr>
                <w:ilvl w:val="0"/>
                <w:numId w:val="9"/>
              </w:numPr>
              <w:ind w:left="306" w:hanging="270"/>
              <w:rPr>
                <w:rFonts w:ascii="Arial" w:hAnsi="Arial" w:cs="Arial"/>
                <w:sz w:val="20"/>
                <w:szCs w:val="20"/>
              </w:rPr>
            </w:pPr>
            <w:r>
              <w:rPr>
                <w:rFonts w:ascii="Arial" w:hAnsi="Arial" w:cs="Arial"/>
                <w:sz w:val="20"/>
                <w:szCs w:val="20"/>
              </w:rPr>
              <w:t>Data analysis – 12/2019</w:t>
            </w:r>
          </w:p>
          <w:p w14:paraId="759899F9" w14:textId="77777777" w:rsidR="00C25AC0" w:rsidRDefault="00C25AC0" w:rsidP="00C25AC0">
            <w:pPr>
              <w:numPr>
                <w:ilvl w:val="0"/>
                <w:numId w:val="9"/>
              </w:numPr>
              <w:ind w:left="306" w:hanging="270"/>
              <w:rPr>
                <w:rFonts w:ascii="Arial" w:hAnsi="Arial" w:cs="Arial"/>
                <w:sz w:val="20"/>
                <w:szCs w:val="20"/>
              </w:rPr>
            </w:pPr>
            <w:r>
              <w:rPr>
                <w:rFonts w:ascii="Arial" w:hAnsi="Arial" w:cs="Arial"/>
                <w:sz w:val="20"/>
                <w:szCs w:val="20"/>
              </w:rPr>
              <w:t>Draft manuscript- 1/2020</w:t>
            </w:r>
          </w:p>
          <w:p w14:paraId="2D3AB810" w14:textId="07B9C4D5" w:rsidR="00FC716B" w:rsidRDefault="00C25AC0" w:rsidP="00C25AC0">
            <w:pPr>
              <w:numPr>
                <w:ilvl w:val="0"/>
                <w:numId w:val="9"/>
              </w:numPr>
              <w:ind w:left="306" w:hanging="270"/>
              <w:rPr>
                <w:rFonts w:ascii="Arial" w:hAnsi="Arial" w:cs="Arial"/>
                <w:sz w:val="20"/>
                <w:szCs w:val="20"/>
              </w:rPr>
            </w:pPr>
            <w:r>
              <w:rPr>
                <w:rFonts w:ascii="Arial" w:hAnsi="Arial" w:cs="Arial"/>
                <w:sz w:val="20"/>
                <w:szCs w:val="20"/>
              </w:rPr>
              <w:t xml:space="preserve">Finalize </w:t>
            </w:r>
            <w:r w:rsidR="00FC716B">
              <w:rPr>
                <w:rFonts w:ascii="Arial" w:hAnsi="Arial" w:cs="Arial"/>
                <w:sz w:val="20"/>
                <w:szCs w:val="20"/>
              </w:rPr>
              <w:t>manuscript  3</w:t>
            </w:r>
            <w:r>
              <w:rPr>
                <w:rFonts w:ascii="Arial" w:hAnsi="Arial" w:cs="Arial"/>
                <w:sz w:val="20"/>
                <w:szCs w:val="20"/>
              </w:rPr>
              <w:t>/2020</w:t>
            </w:r>
          </w:p>
          <w:p w14:paraId="4089201E" w14:textId="067E100F" w:rsidR="0093273D" w:rsidRPr="00FC716B" w:rsidRDefault="00C25AC0" w:rsidP="00C25AC0">
            <w:pPr>
              <w:numPr>
                <w:ilvl w:val="0"/>
                <w:numId w:val="9"/>
              </w:numPr>
              <w:ind w:left="306" w:hanging="270"/>
              <w:rPr>
                <w:rFonts w:ascii="Arial" w:hAnsi="Arial" w:cs="Arial"/>
                <w:sz w:val="20"/>
                <w:szCs w:val="20"/>
              </w:rPr>
            </w:pPr>
            <w:r w:rsidRPr="00FC716B">
              <w:rPr>
                <w:rFonts w:ascii="Arial" w:hAnsi="Arial" w:cs="Arial"/>
                <w:sz w:val="20"/>
                <w:szCs w:val="20"/>
              </w:rPr>
              <w:t>Submission to journal – 4/2020</w:t>
            </w:r>
          </w:p>
        </w:tc>
      </w:tr>
    </w:tbl>
    <w:p w14:paraId="4BF2BAC8" w14:textId="77777777" w:rsidR="002142B6" w:rsidRDefault="00594B9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AC5"/>
    <w:multiLevelType w:val="hybridMultilevel"/>
    <w:tmpl w:val="1E8C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1980A26">
      <w:start w:val="1"/>
      <w:numFmt w:val="bullet"/>
      <w:lvlText w:val="–"/>
      <w:lvlJc w:val="left"/>
      <w:pPr>
        <w:ind w:left="2160" w:hanging="360"/>
      </w:pPr>
      <w:rPr>
        <w:rFonts w:ascii="Courier New" w:hAnsi="Courier New"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167E4"/>
    <w:multiLevelType w:val="hybridMultilevel"/>
    <w:tmpl w:val="72D4B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31498"/>
    <w:multiLevelType w:val="hybridMultilevel"/>
    <w:tmpl w:val="9174A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6F11DA"/>
    <w:multiLevelType w:val="hybridMultilevel"/>
    <w:tmpl w:val="E5B60B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4"/>
  </w:num>
  <w:num w:numId="5">
    <w:abstractNumId w:val="2"/>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44E3C"/>
    <w:rsid w:val="000A12A3"/>
    <w:rsid w:val="000B7654"/>
    <w:rsid w:val="00117500"/>
    <w:rsid w:val="001F3540"/>
    <w:rsid w:val="0025109A"/>
    <w:rsid w:val="00376326"/>
    <w:rsid w:val="003F367E"/>
    <w:rsid w:val="004D7F55"/>
    <w:rsid w:val="00571D40"/>
    <w:rsid w:val="00594B9F"/>
    <w:rsid w:val="00594CF3"/>
    <w:rsid w:val="00595E27"/>
    <w:rsid w:val="005D3FAE"/>
    <w:rsid w:val="00614403"/>
    <w:rsid w:val="006166BF"/>
    <w:rsid w:val="00625689"/>
    <w:rsid w:val="0063131E"/>
    <w:rsid w:val="00700246"/>
    <w:rsid w:val="00702039"/>
    <w:rsid w:val="007F3F81"/>
    <w:rsid w:val="008673B8"/>
    <w:rsid w:val="008B0CE2"/>
    <w:rsid w:val="00900D3C"/>
    <w:rsid w:val="0093273D"/>
    <w:rsid w:val="00954A77"/>
    <w:rsid w:val="00A14096"/>
    <w:rsid w:val="00A43734"/>
    <w:rsid w:val="00A674F0"/>
    <w:rsid w:val="00A726E3"/>
    <w:rsid w:val="00AA006E"/>
    <w:rsid w:val="00AF586E"/>
    <w:rsid w:val="00B67A4E"/>
    <w:rsid w:val="00B845FF"/>
    <w:rsid w:val="00BD1431"/>
    <w:rsid w:val="00C25AC0"/>
    <w:rsid w:val="00C367EC"/>
    <w:rsid w:val="00D93D28"/>
    <w:rsid w:val="00FC716B"/>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4225">
      <w:bodyDiv w:val="1"/>
      <w:marLeft w:val="0"/>
      <w:marRight w:val="0"/>
      <w:marTop w:val="0"/>
      <w:marBottom w:val="0"/>
      <w:divBdr>
        <w:top w:val="none" w:sz="0" w:space="0" w:color="auto"/>
        <w:left w:val="none" w:sz="0" w:space="0" w:color="auto"/>
        <w:bottom w:val="none" w:sz="0" w:space="0" w:color="auto"/>
        <w:right w:val="none" w:sz="0" w:space="0" w:color="auto"/>
      </w:divBdr>
    </w:div>
    <w:div w:id="741102900">
      <w:bodyDiv w:val="1"/>
      <w:marLeft w:val="0"/>
      <w:marRight w:val="0"/>
      <w:marTop w:val="0"/>
      <w:marBottom w:val="0"/>
      <w:divBdr>
        <w:top w:val="none" w:sz="0" w:space="0" w:color="auto"/>
        <w:left w:val="none" w:sz="0" w:space="0" w:color="auto"/>
        <w:bottom w:val="none" w:sz="0" w:space="0" w:color="auto"/>
        <w:right w:val="none" w:sz="0" w:space="0" w:color="auto"/>
      </w:divBdr>
    </w:div>
    <w:div w:id="932784858">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68771075">
      <w:bodyDiv w:val="1"/>
      <w:marLeft w:val="0"/>
      <w:marRight w:val="0"/>
      <w:marTop w:val="0"/>
      <w:marBottom w:val="0"/>
      <w:divBdr>
        <w:top w:val="none" w:sz="0" w:space="0" w:color="auto"/>
        <w:left w:val="none" w:sz="0" w:space="0" w:color="auto"/>
        <w:bottom w:val="none" w:sz="0" w:space="0" w:color="auto"/>
        <w:right w:val="none" w:sz="0" w:space="0" w:color="auto"/>
      </w:divBdr>
    </w:div>
    <w:div w:id="1183546682">
      <w:bodyDiv w:val="1"/>
      <w:marLeft w:val="0"/>
      <w:marRight w:val="0"/>
      <w:marTop w:val="0"/>
      <w:marBottom w:val="0"/>
      <w:divBdr>
        <w:top w:val="none" w:sz="0" w:space="0" w:color="auto"/>
        <w:left w:val="none" w:sz="0" w:space="0" w:color="auto"/>
        <w:bottom w:val="none" w:sz="0" w:space="0" w:color="auto"/>
        <w:right w:val="none" w:sz="0" w:space="0" w:color="auto"/>
      </w:divBdr>
    </w:div>
    <w:div w:id="1761217656">
      <w:bodyDiv w:val="1"/>
      <w:marLeft w:val="0"/>
      <w:marRight w:val="0"/>
      <w:marTop w:val="0"/>
      <w:marBottom w:val="0"/>
      <w:divBdr>
        <w:top w:val="none" w:sz="0" w:space="0" w:color="auto"/>
        <w:left w:val="none" w:sz="0" w:space="0" w:color="auto"/>
        <w:bottom w:val="none" w:sz="0" w:space="0" w:color="auto"/>
        <w:right w:val="none" w:sz="0" w:space="0" w:color="auto"/>
      </w:divBdr>
    </w:div>
    <w:div w:id="1823539864">
      <w:bodyDiv w:val="1"/>
      <w:marLeft w:val="0"/>
      <w:marRight w:val="0"/>
      <w:marTop w:val="0"/>
      <w:marBottom w:val="0"/>
      <w:divBdr>
        <w:top w:val="none" w:sz="0" w:space="0" w:color="auto"/>
        <w:left w:val="none" w:sz="0" w:space="0" w:color="auto"/>
        <w:bottom w:val="none" w:sz="0" w:space="0" w:color="auto"/>
        <w:right w:val="none" w:sz="0" w:space="0" w:color="auto"/>
      </w:divBdr>
    </w:div>
    <w:div w:id="18591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8FE0-D1FF-4F3D-B581-25A3E49D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dcterms:created xsi:type="dcterms:W3CDTF">2019-06-19T14:11:00Z</dcterms:created>
  <dcterms:modified xsi:type="dcterms:W3CDTF">2019-06-19T16:57:00Z</dcterms:modified>
</cp:coreProperties>
</file>