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4131"/>
        <w:gridCol w:w="3501"/>
      </w:tblGrid>
      <w:tr w:rsidR="0093273D" w:rsidRPr="00650F4F" w14:paraId="5B68306F" w14:textId="77777777" w:rsidTr="00720595">
        <w:trPr>
          <w:trHeight w:val="503"/>
        </w:trPr>
        <w:tc>
          <w:tcPr>
            <w:tcW w:w="10620" w:type="dxa"/>
            <w:gridSpan w:val="3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47D54295" w14:textId="77777777" w:rsidR="0093273D" w:rsidRPr="00650F4F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eMERGE Network: Manuscript Concept Sheet</w:t>
            </w:r>
          </w:p>
        </w:tc>
      </w:tr>
      <w:tr w:rsidR="0093273D" w:rsidRPr="00650F4F" w14:paraId="5070C8DD" w14:textId="77777777" w:rsidTr="00720595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716F827" w14:textId="77777777" w:rsidR="00B845FF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Reference Number</w:t>
            </w:r>
            <w:r w:rsidR="00B845FF"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73AC43D" w14:textId="77777777" w:rsidR="0093273D" w:rsidRPr="00650F4F" w:rsidRDefault="00B845FF" w:rsidP="00CF0D06">
            <w:pPr>
              <w:rPr>
                <w:rFonts w:asciiTheme="majorHAnsi" w:hAnsiTheme="majorHAnsi"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(to be assigned by CC)</w:t>
            </w:r>
          </w:p>
        </w:tc>
        <w:tc>
          <w:tcPr>
            <w:tcW w:w="7632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4872A5C" w14:textId="19BC242A" w:rsidR="0093273D" w:rsidRPr="00650F4F" w:rsidRDefault="00874779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NT354</w:t>
            </w:r>
          </w:p>
        </w:tc>
      </w:tr>
      <w:tr w:rsidR="0093273D" w:rsidRPr="00650F4F" w14:paraId="53BC510F" w14:textId="77777777" w:rsidTr="00720595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D69E08" w14:textId="77777777" w:rsidR="0093273D" w:rsidRPr="00650F4F" w:rsidRDefault="0093273D" w:rsidP="00CF0D0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Submission Date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17940EA" w14:textId="7623E24B" w:rsidR="0093273D" w:rsidRPr="00650F4F" w:rsidRDefault="0059625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544592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C354B4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="001344BA">
              <w:rPr>
                <w:rFonts w:asciiTheme="majorHAnsi" w:hAnsiTheme="majorHAnsi" w:cstheme="majorHAnsi"/>
                <w:sz w:val="22"/>
                <w:szCs w:val="22"/>
              </w:rPr>
              <w:t>/2019</w:t>
            </w:r>
          </w:p>
        </w:tc>
      </w:tr>
      <w:tr w:rsidR="00BC5144" w:rsidRPr="00650F4F" w14:paraId="2B0307A1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A7E969F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B4FAB2C" w14:textId="27D7230D" w:rsidR="00720595" w:rsidRDefault="00720595" w:rsidP="00BC514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01368DC6" w14:textId="70606175" w:rsidR="0056545E" w:rsidRDefault="0059625A" w:rsidP="0056545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Does c</w:t>
            </w:r>
            <w:r w:rsidR="0056545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linical context expand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the </w:t>
            </w:r>
            <w:r w:rsidR="0056545E">
              <w:rPr>
                <w:rFonts w:asciiTheme="majorHAnsi" w:hAnsiTheme="majorHAnsi"/>
                <w:color w:val="000000"/>
                <w:sz w:val="22"/>
                <w:szCs w:val="22"/>
              </w:rPr>
              <w:t>clinical implications of actionable genetic findings and high PRS scores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036882D1" w14:textId="2E987B40" w:rsidR="0056545E" w:rsidRDefault="0056545E" w:rsidP="00BC5144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62B3E91E" w14:textId="77777777" w:rsidR="00BC5144" w:rsidRPr="00650F4F" w:rsidRDefault="00BC5144" w:rsidP="0056545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5144" w:rsidRPr="0056545E" w14:paraId="3598330F" w14:textId="77777777" w:rsidTr="00720595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87C43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Lead Investigator </w:t>
            </w: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(first author)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DD3E8D6" w14:textId="67907AED" w:rsidR="00BC5144" w:rsidRPr="0056545E" w:rsidRDefault="00BC5144" w:rsidP="00BC5144">
            <w:pPr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 w:rsidRPr="0056545E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Hila Rasouly</w:t>
            </w:r>
            <w:r w:rsidR="0056545E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BC5144" w:rsidRPr="00650F4F" w14:paraId="25117AC3" w14:textId="77777777" w:rsidTr="00720595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EB8DB5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Tentative Senior Author </w:t>
            </w:r>
          </w:p>
          <w:p w14:paraId="29A828A1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(last author)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32B7418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Ali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Gharavi</w:t>
            </w:r>
            <w:proofErr w:type="spellEnd"/>
          </w:p>
        </w:tc>
        <w:bookmarkStart w:id="0" w:name="_GoBack"/>
        <w:bookmarkEnd w:id="0"/>
      </w:tr>
      <w:tr w:rsidR="00BC5144" w:rsidRPr="00650F4F" w14:paraId="5169A92B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9F4D9A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All Other Authors 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70E0B7" w14:textId="3ACF38CB" w:rsidR="00BC5144" w:rsidRPr="00650F4F" w:rsidRDefault="00333491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Jordan Nestor, </w:t>
            </w:r>
            <w:r w:rsidR="006643D1">
              <w:rPr>
                <w:rFonts w:asciiTheme="majorHAnsi" w:hAnsiTheme="majorHAnsi"/>
                <w:sz w:val="22"/>
                <w:szCs w:val="22"/>
              </w:rPr>
              <w:t xml:space="preserve">Atlas Khan, </w:t>
            </w:r>
            <w:r w:rsidR="0056545E">
              <w:rPr>
                <w:rFonts w:asciiTheme="majorHAnsi" w:hAnsiTheme="majorHAnsi"/>
                <w:sz w:val="22"/>
                <w:szCs w:val="22"/>
              </w:rPr>
              <w:t xml:space="preserve">Enrico </w:t>
            </w:r>
            <w:proofErr w:type="spellStart"/>
            <w:r w:rsidR="0056545E">
              <w:rPr>
                <w:rFonts w:asciiTheme="majorHAnsi" w:hAnsiTheme="majorHAnsi"/>
                <w:sz w:val="22"/>
                <w:szCs w:val="22"/>
              </w:rPr>
              <w:t>Cocchi</w:t>
            </w:r>
            <w:proofErr w:type="spellEnd"/>
            <w:r w:rsidR="0056545E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E50C29">
              <w:rPr>
                <w:rFonts w:asciiTheme="majorHAnsi" w:hAnsiTheme="majorHAnsi"/>
                <w:sz w:val="22"/>
                <w:szCs w:val="22"/>
              </w:rPr>
              <w:t xml:space="preserve">Maddalena </w:t>
            </w:r>
            <w:proofErr w:type="spellStart"/>
            <w:r w:rsidR="00E50C29">
              <w:rPr>
                <w:rFonts w:asciiTheme="majorHAnsi" w:hAnsiTheme="majorHAnsi"/>
                <w:sz w:val="22"/>
                <w:szCs w:val="22"/>
              </w:rPr>
              <w:t>Marasa</w:t>
            </w:r>
            <w:proofErr w:type="spellEnd"/>
            <w:r w:rsidR="00E50C29">
              <w:rPr>
                <w:rFonts w:asciiTheme="majorHAnsi" w:hAnsiTheme="majorHAnsi"/>
                <w:sz w:val="22"/>
                <w:szCs w:val="22"/>
              </w:rPr>
              <w:t>,</w:t>
            </w:r>
            <w:r w:rsidR="00FA0F7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C0231">
              <w:rPr>
                <w:rFonts w:asciiTheme="majorHAnsi" w:hAnsiTheme="majorHAnsi"/>
                <w:sz w:val="22"/>
                <w:szCs w:val="22"/>
              </w:rPr>
              <w:t xml:space="preserve">Natalie Vena, </w:t>
            </w:r>
            <w:r w:rsidR="006643D1">
              <w:rPr>
                <w:rFonts w:asciiTheme="majorHAnsi" w:hAnsiTheme="majorHAnsi"/>
                <w:sz w:val="22"/>
                <w:szCs w:val="22"/>
              </w:rPr>
              <w:t xml:space="preserve">Wendy Chung, George Hripcsak, </w:t>
            </w:r>
            <w:r w:rsidR="00BC5144">
              <w:rPr>
                <w:rFonts w:asciiTheme="majorHAnsi" w:hAnsiTheme="majorHAnsi"/>
                <w:sz w:val="22"/>
                <w:szCs w:val="22"/>
              </w:rPr>
              <w:t>Krzysztof Kiryluk, and any other eMERGE investigators</w:t>
            </w:r>
          </w:p>
        </w:tc>
      </w:tr>
      <w:tr w:rsidR="00BC5144" w:rsidRPr="00650F4F" w14:paraId="621772E8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D8BA48C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Sites Participating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134651A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Columbia, other interested sites &amp; sequencing centers</w:t>
            </w:r>
          </w:p>
        </w:tc>
      </w:tr>
      <w:tr w:rsidR="00BC5144" w:rsidRPr="00650F4F" w14:paraId="1141CB4A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8A00DAA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Background / Significance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9A7A1A1" w14:textId="208C6999" w:rsidR="00720595" w:rsidRDefault="00BC5144" w:rsidP="00BC5144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Pathogenic variants in ACMG </w:t>
            </w:r>
            <w:r w:rsid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59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and other actionable genes have major implications for clinical management of disorders </w:t>
            </w:r>
            <w:r w:rsid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causally related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mutations in those genes (e.g.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management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breast/ovarian cancer in </w:t>
            </w:r>
            <w:r w:rsidRPr="00280FED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BRCA1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mutations). 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More recently, polygenic risk scores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(PRS) 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have also been proposed to be similarly actionable for individuals in the top percentile of the distribution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for some complex traits such as breast cancer or coronary heart disease. </w:t>
            </w:r>
          </w:p>
          <w:p w14:paraId="7BF56C1F" w14:textId="7061F9C5" w:rsidR="00BC5144" w:rsidRPr="00650F4F" w:rsidRDefault="00BC5144" w:rsidP="0056545E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However, 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actionable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gene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tic findings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may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also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have management implications for co-morbidities that are causally </w:t>
            </w:r>
            <w:r w:rsidRPr="005C0231">
              <w:rPr>
                <w:rFonts w:asciiTheme="majorHAnsi" w:hAnsiTheme="majorHAnsi" w:cstheme="majorHAnsi"/>
                <w:color w:val="000000"/>
                <w:sz w:val="22"/>
                <w:szCs w:val="22"/>
                <w:u w:val="single"/>
              </w:rPr>
              <w:t>unrelated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the mutation.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recent exome sequencing study</w:t>
            </w:r>
            <w:r w:rsidR="006D6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 detected ACMG mutations in 1.3% of 3,315 patients with chronic kidney disease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 each of these cases, the ACMG findings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had implications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kidney care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Groopman</w:t>
            </w:r>
            <w:proofErr w:type="spellEnd"/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et al., NEM 2019)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 example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the detection of a </w:t>
            </w:r>
            <w:r w:rsidRPr="0072059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BRCA1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mutations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could influence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choice and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intensity of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immunosuppression in patients with glomerulonephritis or those with a renal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transplant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 Similarly, mutations predisposing cardiomyopathy or cardiac arrhythmias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had implications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dialysis prescription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or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prescription of diuretics and other antihypertensive therapy. These considerations suggest that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actionable mutations may have implications for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management of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many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other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clinical </w:t>
            </w:r>
            <w:r w:rsidR="006D6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comorbidities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5C023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better understanding the spectrum of clinical disorders impacted by 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actionable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genetic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findings would broaden our perspective on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</w:t>
            </w:r>
            <w:r w:rsidR="006D69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clinical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utility of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actionable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mutations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would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enable </w:t>
            </w:r>
            <w:r w:rsidR="0072059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data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interpretation and counseling based on individual context. </w:t>
            </w:r>
            <w:r w:rsidR="00D9569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purpose of this project is to explore whether </w:t>
            </w:r>
            <w:r w:rsidR="0056545E">
              <w:rPr>
                <w:rFonts w:asciiTheme="majorHAnsi" w:hAnsiTheme="majorHAnsi"/>
                <w:color w:val="000000"/>
                <w:sz w:val="22"/>
                <w:szCs w:val="22"/>
              </w:rPr>
              <w:t>actionable genetic findings and high PRS scores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have clinical implications for </w:t>
            </w:r>
            <w:r w:rsidR="001F4DD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causally unrelated </w:t>
            </w:r>
            <w:r w:rsidR="005654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comorbidities and identify common </w:t>
            </w:r>
            <w:r w:rsidR="0056545E">
              <w:rPr>
                <w:rFonts w:asciiTheme="majorHAnsi" w:hAnsiTheme="majorHAnsi"/>
                <w:sz w:val="22"/>
                <w:szCs w:val="22"/>
              </w:rPr>
              <w:t xml:space="preserve">mutation- comorbidity pairs that may require further study. </w:t>
            </w:r>
          </w:p>
        </w:tc>
      </w:tr>
      <w:tr w:rsidR="00BC5144" w:rsidRPr="00650F4F" w14:paraId="2BBA48CC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208A42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Outline of Project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7401ACF" w14:textId="1D7D3615" w:rsidR="00280FED" w:rsidRDefault="00BC5144" w:rsidP="005962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 hypothesize that detection of actionable gene</w:t>
            </w:r>
            <w:r w:rsidR="00720595"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tic mutations (such as ACMG finding) or determination of a high polygenic risk score for a complex trait</w:t>
            </w:r>
            <w:r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will have management implications for co-morbidities</w:t>
            </w:r>
            <w:r w:rsidR="00E50C29"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causally unrelated to the </w:t>
            </w:r>
            <w:r w:rsidR="00720595"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 findings</w:t>
            </w:r>
            <w:r w:rsidRPr="00280FE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We propose to examine all available 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>ICD9/10</w:t>
            </w:r>
            <w:r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 diagnoses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in 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>participants</w:t>
            </w:r>
            <w:r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80FE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with diagnostic mutations in ACMG and other actionable genes in eMERGE III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.  We will also review </w:t>
            </w:r>
            <w:r w:rsidR="005C0231">
              <w:rPr>
                <w:rFonts w:asciiTheme="majorHAnsi" w:hAnsiTheme="majorHAnsi" w:cstheme="majorHAnsi"/>
                <w:sz w:val="22"/>
                <w:szCs w:val="22"/>
              </w:rPr>
              <w:t xml:space="preserve">all 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available ICD9/10 diagnoses in individuals 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in the 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GWAS imputed 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dataset 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>with the highest PRS scores for 8 complex disorders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(Coronary Artery Disease, Atrial Fibrillation, Inflammatory Bowel Disease, Type 2 Diabetes, Breast Cancer, 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>MI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>Chronic Kidney Disease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59625A" w:rsidRPr="00280FED">
              <w:rPr>
                <w:rFonts w:asciiTheme="majorHAnsi" w:hAnsiTheme="majorHAnsi" w:cstheme="majorHAnsi"/>
                <w:sz w:val="22"/>
                <w:szCs w:val="22"/>
              </w:rPr>
              <w:t>Hypertension</w:t>
            </w:r>
            <w:r w:rsidR="0059625A">
              <w:rPr>
                <w:rFonts w:asciiTheme="majorHAnsi" w:hAnsiTheme="majorHAnsi" w:cstheme="majorHAnsi"/>
                <w:sz w:val="22"/>
                <w:szCs w:val="22"/>
              </w:rPr>
              <w:t xml:space="preserve">).  </w:t>
            </w:r>
            <w:r w:rsidR="005C0231">
              <w:rPr>
                <w:rFonts w:asciiTheme="majorHAnsi" w:hAnsiTheme="majorHAnsi" w:cstheme="majorHAnsi"/>
                <w:sz w:val="22"/>
                <w:szCs w:val="22"/>
              </w:rPr>
              <w:t>These PRS</w:t>
            </w:r>
            <w:r w:rsidR="001F4DD7">
              <w:rPr>
                <w:rFonts w:asciiTheme="majorHAnsi" w:hAnsiTheme="majorHAnsi" w:cstheme="majorHAnsi"/>
                <w:sz w:val="22"/>
                <w:szCs w:val="22"/>
              </w:rPr>
              <w:t>’s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 will be calculated in </w:t>
            </w:r>
            <w:r w:rsidR="001F4DD7">
              <w:rPr>
                <w:rFonts w:asciiTheme="majorHAnsi" w:hAnsiTheme="majorHAnsi" w:cstheme="majorHAnsi"/>
                <w:sz w:val="22"/>
                <w:szCs w:val="22"/>
              </w:rPr>
              <w:t xml:space="preserve">approved </w:t>
            </w:r>
            <w:r w:rsidR="00280FED" w:rsidRPr="00280FED">
              <w:rPr>
                <w:rFonts w:asciiTheme="majorHAnsi" w:hAnsiTheme="majorHAnsi" w:cstheme="majorHAnsi"/>
                <w:sz w:val="22"/>
                <w:szCs w:val="22"/>
              </w:rPr>
              <w:t xml:space="preserve">concept sheet NT 350 </w:t>
            </w:r>
          </w:p>
          <w:p w14:paraId="0F64DE8C" w14:textId="7CA86C35" w:rsidR="00BC5144" w:rsidRPr="008133D7" w:rsidRDefault="00BC5144" w:rsidP="005962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We will </w:t>
            </w:r>
            <w:r w:rsidR="006D69E7">
              <w:rPr>
                <w:rFonts w:asciiTheme="majorHAnsi" w:hAnsiTheme="majorHAnsi" w:cstheme="majorHAnsi"/>
                <w:sz w:val="22"/>
                <w:szCs w:val="22"/>
              </w:rPr>
              <w:t>next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review all current relevant guidelines and literature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and also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solicit expert opinion</w:t>
            </w:r>
            <w:r w:rsidR="005C0231">
              <w:rPr>
                <w:rFonts w:asciiTheme="majorHAnsi" w:hAnsiTheme="majorHAnsi" w:cstheme="majorHAnsi"/>
                <w:sz w:val="22"/>
                <w:szCs w:val="22"/>
              </w:rPr>
              <w:t xml:space="preserve"> from eMERGE investigators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to determine whether the actionable mutations</w:t>
            </w:r>
            <w:r w:rsidR="006D69E7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280FED">
              <w:rPr>
                <w:rFonts w:asciiTheme="majorHAnsi" w:hAnsiTheme="majorHAnsi" w:cstheme="majorHAnsi"/>
                <w:sz w:val="22"/>
                <w:szCs w:val="22"/>
              </w:rPr>
              <w:t xml:space="preserve">high PRS scores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would have implications for management of </w:t>
            </w:r>
            <w:r w:rsidR="005C0231">
              <w:rPr>
                <w:rFonts w:asciiTheme="majorHAnsi" w:hAnsiTheme="majorHAnsi" w:cstheme="majorHAnsi"/>
                <w:sz w:val="22"/>
                <w:szCs w:val="22"/>
              </w:rPr>
              <w:t xml:space="preserve">co-existing </w:t>
            </w:r>
            <w:r w:rsidR="001F4DD7">
              <w:rPr>
                <w:rFonts w:asciiTheme="majorHAnsi" w:hAnsiTheme="majorHAnsi" w:cstheme="majorHAnsi"/>
                <w:sz w:val="22"/>
                <w:szCs w:val="22"/>
              </w:rPr>
              <w:t xml:space="preserve">causally unrelated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clinical conditions. </w:t>
            </w:r>
          </w:p>
        </w:tc>
      </w:tr>
      <w:tr w:rsidR="00BC5144" w:rsidRPr="00650F4F" w14:paraId="1340AC1A" w14:textId="77777777" w:rsidTr="00720595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878CD5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Desired Data - Common Variables* </w:t>
            </w:r>
          </w:p>
          <w:p w14:paraId="7F328F3B" w14:textId="77777777" w:rsidR="00BC5144" w:rsidRPr="00650F4F" w:rsidRDefault="00BC5144" w:rsidP="00BC514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(Available from the CC)</w:t>
            </w:r>
          </w:p>
        </w:tc>
        <w:tc>
          <w:tcPr>
            <w:tcW w:w="413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1ADD20E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MS Gothic" w:hAnsiTheme="majorHAnsi" w:cstheme="majorHAnsi"/>
                  <w:sz w:val="22"/>
                  <w:szCs w:val="22"/>
                </w:rPr>
                <w:id w:val="1110708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1460343C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50890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ICD9/10 codes</w:t>
            </w:r>
          </w:p>
          <w:p w14:paraId="49C0B0C5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80603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CPT codes</w:t>
            </w:r>
          </w:p>
          <w:p w14:paraId="004A60A5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216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Phecodes</w:t>
            </w:r>
            <w:proofErr w:type="spellEnd"/>
          </w:p>
          <w:p w14:paraId="406A3CB5" w14:textId="77777777" w:rsidR="00BC5144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37469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</w:t>
            </w:r>
          </w:p>
          <w:p w14:paraId="46A7D062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1" w:type="dxa"/>
          </w:tcPr>
          <w:p w14:paraId="2EF225A8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98410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Common Variable Labs</w:t>
            </w:r>
          </w:p>
          <w:p w14:paraId="1A9B60A5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47615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Common Variable Meds</w:t>
            </w:r>
          </w:p>
          <w:p w14:paraId="55D75FC6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684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Other: Case/Control status on Phase I and Phase II phenotypes</w:t>
            </w:r>
          </w:p>
          <w:p w14:paraId="428213DC" w14:textId="77777777" w:rsidR="00BC5144" w:rsidRPr="00650F4F" w:rsidRDefault="00BC5144" w:rsidP="00BC5144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5144" w:rsidRPr="00650F4F" w14:paraId="44336D89" w14:textId="77777777" w:rsidTr="00720595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17185E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 xml:space="preserve">Other Desired Data </w:t>
            </w:r>
            <w:r w:rsidRPr="00650F4F">
              <w:rPr>
                <w:rFonts w:asciiTheme="majorHAnsi" w:hAnsiTheme="majorHAnsi"/>
                <w:b/>
                <w:i/>
                <w:sz w:val="22"/>
                <w:szCs w:val="22"/>
              </w:rPr>
              <w:t>(Available from participating sites)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80EAD76" w14:textId="77777777" w:rsidR="00BC5144" w:rsidRDefault="00BC5144" w:rsidP="00BC514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data elements that participating sites would collect or extract from clinical or other sources for this project (i.e. not common variables above) </w:t>
            </w:r>
          </w:p>
          <w:p w14:paraId="06213D25" w14:textId="77777777" w:rsidR="00BC5144" w:rsidRPr="00650F4F" w:rsidRDefault="00BC5144" w:rsidP="00BC514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BC5144" w:rsidRPr="00650F4F" w14:paraId="5EBC9492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3FE0A59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Desired Genetic Data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DFA92F" w14:textId="46CE2E23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01823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E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eMERGE I-III Merged set (HRC imputed, GWAS)</w:t>
            </w:r>
          </w:p>
          <w:p w14:paraId="766A5A65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919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eMERGE </w:t>
            </w:r>
            <w:proofErr w:type="spellStart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PGx</w:t>
            </w:r>
            <w:proofErr w:type="spellEnd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PGRNseq</w:t>
            </w:r>
            <w:proofErr w:type="spellEnd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data set </w:t>
            </w:r>
          </w:p>
          <w:p w14:paraId="691ACB3A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3524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proofErr w:type="spellStart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eMERGEseq</w:t>
            </w:r>
            <w:proofErr w:type="spellEnd"/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 xml:space="preserve"> data set (Phase III)</w:t>
            </w:r>
          </w:p>
          <w:p w14:paraId="43F357B2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90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eMERGE Whole Genome sequencing data set</w:t>
            </w:r>
          </w:p>
          <w:p w14:paraId="69782985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69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eMERGE Exome chip data set</w:t>
            </w:r>
          </w:p>
          <w:p w14:paraId="41DDB5B3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225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eMERGE Whole Exome sequencing data set</w:t>
            </w:r>
          </w:p>
          <w:p w14:paraId="71905A75" w14:textId="77777777" w:rsidR="00BC5144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039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 w:rsidRPr="00650F4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</w:p>
          <w:p w14:paraId="49EB30D1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5144" w:rsidRPr="00650F4F" w14:paraId="113B0271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39C8C4B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Does project pertain to an existing eMERGE Phenotype?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7BED843" w14:textId="77777777" w:rsidR="00BC5144" w:rsidRPr="00650F4F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787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, if so please list   </w:t>
            </w:r>
          </w:p>
          <w:p w14:paraId="5F7B52F6" w14:textId="77777777" w:rsidR="00BC5144" w:rsidRDefault="00874779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0527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144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☒</w:t>
                </w:r>
              </w:sdtContent>
            </w:sdt>
            <w:r w:rsidR="00BC5144" w:rsidRPr="00650F4F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  <w:p w14:paraId="192A924B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C5144" w:rsidRPr="00650F4F" w14:paraId="6D00D751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D96F90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Planned Statistical Analyses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39997DD" w14:textId="2E11D1FD" w:rsidR="00BC5144" w:rsidRDefault="00BC5144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-Tabulate the co-morbidities causally unrelated to the actionable mutations</w:t>
            </w:r>
            <w:r w:rsidR="00280FED">
              <w:rPr>
                <w:rFonts w:asciiTheme="majorHAnsi" w:hAnsiTheme="majorHAnsi"/>
                <w:sz w:val="22"/>
                <w:szCs w:val="22"/>
              </w:rPr>
              <w:t>/high PRS scores</w:t>
            </w:r>
          </w:p>
          <w:p w14:paraId="6663EE19" w14:textId="6207645B" w:rsidR="00BC5144" w:rsidRDefault="00BC5144" w:rsidP="00BC514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C215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Review all current relevant guidelines and literature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and also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solicit expert opinion, to determine whether the actionable mutations</w:t>
            </w:r>
            <w:r w:rsidR="001F4DD7">
              <w:rPr>
                <w:rFonts w:asciiTheme="majorHAnsi" w:hAnsiTheme="majorHAnsi" w:cstheme="majorHAnsi"/>
                <w:sz w:val="22"/>
                <w:szCs w:val="22"/>
              </w:rPr>
              <w:t>/high PRS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would have implications for management of </w:t>
            </w:r>
            <w:r w:rsidR="001F4DD7">
              <w:rPr>
                <w:rFonts w:asciiTheme="majorHAnsi" w:hAnsiTheme="majorHAnsi" w:cstheme="majorHAnsi"/>
                <w:sz w:val="22"/>
                <w:szCs w:val="22"/>
              </w:rPr>
              <w:t xml:space="preserve">these </w:t>
            </w:r>
            <w:r w:rsidR="00280FED">
              <w:rPr>
                <w:rFonts w:asciiTheme="majorHAnsi" w:hAnsiTheme="majorHAnsi" w:cstheme="majorHAnsi"/>
                <w:sz w:val="22"/>
                <w:szCs w:val="22"/>
              </w:rPr>
              <w:t>other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clinical conditions </w:t>
            </w:r>
          </w:p>
          <w:p w14:paraId="22B215D1" w14:textId="1DEE823F" w:rsidR="00BC5144" w:rsidRDefault="00BC5144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C215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Determine the proportion of cases where </w:t>
            </w:r>
            <w:r>
              <w:rPr>
                <w:rFonts w:asciiTheme="majorHAnsi" w:hAnsiTheme="majorHAnsi"/>
                <w:sz w:val="22"/>
                <w:szCs w:val="22"/>
              </w:rPr>
              <w:t>ACMG/actionable mutations</w:t>
            </w:r>
            <w:r w:rsidR="00280FED">
              <w:rPr>
                <w:rFonts w:asciiTheme="majorHAnsi" w:hAnsiTheme="majorHAnsi"/>
                <w:sz w:val="22"/>
                <w:szCs w:val="22"/>
              </w:rPr>
              <w:t>//high PRS scores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have potential clinical management implications for other co-morbidities</w:t>
            </w:r>
          </w:p>
          <w:p w14:paraId="24FBB983" w14:textId="3AC292F2" w:rsidR="00BC5144" w:rsidRDefault="00BC5144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1F4D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Determine the clinical disorders most impacted by actionable mutations</w:t>
            </w:r>
            <w:r w:rsidR="00280FED">
              <w:rPr>
                <w:rFonts w:asciiTheme="majorHAnsi" w:hAnsiTheme="majorHAnsi"/>
                <w:sz w:val="22"/>
                <w:szCs w:val="22"/>
              </w:rPr>
              <w:t>/high PRS scores</w:t>
            </w:r>
          </w:p>
          <w:p w14:paraId="558C2787" w14:textId="6DD4F601" w:rsidR="006643D1" w:rsidRDefault="006643D1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  <w:r w:rsidR="00AC215F">
              <w:rPr>
                <w:rFonts w:asciiTheme="majorHAnsi" w:hAnsiTheme="majorHAnsi"/>
                <w:sz w:val="22"/>
                <w:szCs w:val="22"/>
              </w:rPr>
              <w:t xml:space="preserve"> What are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differences in </w:t>
            </w:r>
            <w:r w:rsidR="00AC215F">
              <w:rPr>
                <w:rFonts w:asciiTheme="majorHAnsi" w:hAnsiTheme="majorHAnsi"/>
                <w:sz w:val="22"/>
                <w:szCs w:val="22"/>
              </w:rPr>
              <w:t xml:space="preserve">clinical </w:t>
            </w:r>
            <w:r>
              <w:rPr>
                <w:rFonts w:asciiTheme="majorHAnsi" w:hAnsiTheme="majorHAnsi"/>
                <w:sz w:val="22"/>
                <w:szCs w:val="22"/>
              </w:rPr>
              <w:t>implications between high PRS and actionable SNV findings?</w:t>
            </w:r>
          </w:p>
          <w:p w14:paraId="68088E1C" w14:textId="28F9DB4C" w:rsidR="00BC5144" w:rsidRDefault="00BC5144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Develop general </w:t>
            </w:r>
            <w:r w:rsidR="00E50C29">
              <w:rPr>
                <w:rFonts w:asciiTheme="majorHAnsi" w:hAnsiTheme="majorHAnsi"/>
                <w:sz w:val="22"/>
                <w:szCs w:val="22"/>
              </w:rPr>
              <w:t xml:space="preserve">frameworks </w:t>
            </w:r>
            <w:r>
              <w:rPr>
                <w:rFonts w:asciiTheme="majorHAnsi" w:hAnsiTheme="majorHAnsi"/>
                <w:sz w:val="22"/>
                <w:szCs w:val="22"/>
              </w:rPr>
              <w:t>for counseling</w:t>
            </w:r>
            <w:r w:rsidR="001F4DD7"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management based on </w:t>
            </w:r>
            <w:r w:rsidR="00E50C29">
              <w:rPr>
                <w:rFonts w:asciiTheme="majorHAnsi" w:hAnsiTheme="majorHAnsi"/>
                <w:sz w:val="22"/>
                <w:szCs w:val="22"/>
              </w:rPr>
              <w:t xml:space="preserve">commonly encountered </w:t>
            </w:r>
            <w:r w:rsidR="00C579B0">
              <w:rPr>
                <w:rFonts w:asciiTheme="majorHAnsi" w:hAnsiTheme="majorHAnsi"/>
                <w:sz w:val="22"/>
                <w:szCs w:val="22"/>
              </w:rPr>
              <w:t>mutation</w:t>
            </w:r>
            <w:r>
              <w:rPr>
                <w:rFonts w:asciiTheme="majorHAnsi" w:hAnsiTheme="majorHAnsi"/>
                <w:sz w:val="22"/>
                <w:szCs w:val="22"/>
              </w:rPr>
              <w:t>-comorbidity pairs</w:t>
            </w:r>
          </w:p>
          <w:p w14:paraId="2B40B8DE" w14:textId="77777777" w:rsidR="00BC5144" w:rsidRPr="00650F4F" w:rsidRDefault="00BC5144" w:rsidP="00BC514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C5144" w:rsidRPr="00650F4F" w14:paraId="5E98B007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45120E1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Ethical Considerations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7674BA7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CE1F6E" w14:textId="77777777" w:rsidR="00BC5144" w:rsidRPr="00650F4F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50F4F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BC5144" w:rsidRPr="005C0231" w14:paraId="71E87E75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A5DA0E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Target Journal</w:t>
            </w: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FAB18F0" w14:textId="5D902579" w:rsidR="00BC5144" w:rsidRPr="005C0231" w:rsidRDefault="00BC5144" w:rsidP="00BC5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0231">
              <w:rPr>
                <w:rFonts w:asciiTheme="majorHAnsi" w:hAnsiTheme="majorHAnsi" w:cstheme="majorHAnsi"/>
                <w:sz w:val="22"/>
                <w:szCs w:val="22"/>
              </w:rPr>
              <w:t xml:space="preserve">AJHG, Genetics in Medicine, </w:t>
            </w:r>
            <w:proofErr w:type="spellStart"/>
            <w:r w:rsidR="005C0231" w:rsidRPr="005C0231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</w:p>
        </w:tc>
      </w:tr>
      <w:tr w:rsidR="00BC5144" w:rsidRPr="00650F4F" w14:paraId="1BA73324" w14:textId="77777777" w:rsidTr="00720595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485572" w14:textId="77777777" w:rsidR="00BC5144" w:rsidRPr="005C0231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02FBDD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50F4F">
              <w:rPr>
                <w:rFonts w:asciiTheme="majorHAnsi" w:hAnsiTheme="majorHAnsi"/>
                <w:b/>
                <w:sz w:val="22"/>
                <w:szCs w:val="22"/>
              </w:rPr>
              <w:t>Milestones</w:t>
            </w:r>
          </w:p>
          <w:p w14:paraId="2E851418" w14:textId="77777777" w:rsidR="00BC5144" w:rsidRPr="00650F4F" w:rsidRDefault="00BC5144" w:rsidP="00BC514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50F4F">
              <w:rPr>
                <w:rFonts w:asciiTheme="majorHAnsi" w:hAnsiTheme="majorHAnsi"/>
                <w:i/>
                <w:sz w:val="22"/>
                <w:szCs w:val="22"/>
              </w:rPr>
              <w:t>(This section should include the key dates for completion of project, including approval, project duration, draft completion, and submission.)</w:t>
            </w:r>
          </w:p>
          <w:p w14:paraId="4260A925" w14:textId="77777777" w:rsidR="00BC5144" w:rsidRPr="00650F4F" w:rsidRDefault="00BC5144" w:rsidP="00BC514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145D4C6" w14:textId="50BA36A8" w:rsidR="00BC5144" w:rsidRDefault="00280FED" w:rsidP="00BC51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July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2019: Introduce concept sheet </w:t>
            </w:r>
          </w:p>
          <w:p w14:paraId="3F006BB9" w14:textId="3DE874F5" w:rsidR="00BC5144" w:rsidRDefault="00280FED" w:rsidP="00BC51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August</w:t>
            </w:r>
            <w:r w:rsidR="00BC5144" w:rsidRPr="001620F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December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2019</w:t>
            </w:r>
            <w:r w:rsidR="00BC5144" w:rsidRPr="001620F1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>collect sequence data and common data variables</w:t>
            </w:r>
          </w:p>
          <w:p w14:paraId="0E31701A" w14:textId="76FE9667" w:rsidR="00BC5144" w:rsidRPr="001620F1" w:rsidRDefault="00280FED" w:rsidP="00BC51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2020: data analysis and solicit expert opinion</w:t>
            </w:r>
          </w:p>
          <w:p w14:paraId="19A64B65" w14:textId="0597204E" w:rsidR="00BC5144" w:rsidRPr="00650F4F" w:rsidRDefault="00280FED" w:rsidP="00BC51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  <w:r w:rsidR="00BC5144">
              <w:rPr>
                <w:rFonts w:asciiTheme="majorHAnsi" w:hAnsiTheme="majorHAnsi" w:cstheme="majorHAnsi"/>
                <w:sz w:val="22"/>
                <w:szCs w:val="22"/>
              </w:rPr>
              <w:t xml:space="preserve"> 2020 write paper</w:t>
            </w:r>
          </w:p>
        </w:tc>
      </w:tr>
    </w:tbl>
    <w:p w14:paraId="7861B08F" w14:textId="77777777" w:rsidR="002142B6" w:rsidRPr="00650F4F" w:rsidRDefault="00874779">
      <w:pPr>
        <w:rPr>
          <w:rFonts w:asciiTheme="majorHAnsi" w:hAnsiTheme="majorHAnsi"/>
          <w:sz w:val="22"/>
          <w:szCs w:val="22"/>
        </w:rPr>
      </w:pPr>
    </w:p>
    <w:p w14:paraId="56BF5EE6" w14:textId="77777777"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14:paraId="06A88EA0" w14:textId="77777777" w:rsidR="00594CF3" w:rsidRPr="00650F4F" w:rsidRDefault="00594CF3" w:rsidP="0093273D">
      <w:pPr>
        <w:rPr>
          <w:rFonts w:asciiTheme="majorHAnsi" w:hAnsiTheme="majorHAnsi"/>
          <w:i/>
          <w:sz w:val="22"/>
          <w:szCs w:val="22"/>
        </w:rPr>
      </w:pPr>
    </w:p>
    <w:p w14:paraId="0B744747" w14:textId="77777777"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p w14:paraId="06DF1649" w14:textId="77777777" w:rsidR="00571D40" w:rsidRPr="00650F4F" w:rsidRDefault="00571D40" w:rsidP="0093273D">
      <w:pPr>
        <w:rPr>
          <w:rFonts w:asciiTheme="majorHAnsi" w:hAnsiTheme="majorHAnsi"/>
          <w:i/>
          <w:sz w:val="22"/>
          <w:szCs w:val="22"/>
        </w:rPr>
      </w:pPr>
    </w:p>
    <w:sectPr w:rsidR="00571D40" w:rsidRPr="00650F4F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B6EA" w14:textId="77777777" w:rsidR="00A45403" w:rsidRDefault="00A45403" w:rsidP="0093273D">
      <w:r>
        <w:separator/>
      </w:r>
    </w:p>
  </w:endnote>
  <w:endnote w:type="continuationSeparator" w:id="0">
    <w:p w14:paraId="54E5705A" w14:textId="77777777" w:rsidR="00A45403" w:rsidRDefault="00A45403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7BD52" w14:textId="77777777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930365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03169A9E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A7E2" w14:textId="77777777" w:rsidR="00A45403" w:rsidRDefault="00A45403" w:rsidP="0093273D">
      <w:r>
        <w:separator/>
      </w:r>
    </w:p>
  </w:footnote>
  <w:footnote w:type="continuationSeparator" w:id="0">
    <w:p w14:paraId="292D861F" w14:textId="77777777" w:rsidR="00A45403" w:rsidRDefault="00A45403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4AAE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10B4FA67" wp14:editId="09F70E99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7D"/>
    <w:multiLevelType w:val="hybridMultilevel"/>
    <w:tmpl w:val="1FF210B6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7B79"/>
    <w:multiLevelType w:val="hybridMultilevel"/>
    <w:tmpl w:val="A39ACB7E"/>
    <w:lvl w:ilvl="0" w:tplc="1500FB1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21A6"/>
    <w:multiLevelType w:val="hybridMultilevel"/>
    <w:tmpl w:val="06C03D68"/>
    <w:lvl w:ilvl="0" w:tplc="06CE69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688"/>
    <w:multiLevelType w:val="hybridMultilevel"/>
    <w:tmpl w:val="E7069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47EB3"/>
    <w:multiLevelType w:val="hybridMultilevel"/>
    <w:tmpl w:val="A5E4878C"/>
    <w:lvl w:ilvl="0" w:tplc="3D9E64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03466"/>
    <w:multiLevelType w:val="hybridMultilevel"/>
    <w:tmpl w:val="329A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925E0"/>
    <w:multiLevelType w:val="hybridMultilevel"/>
    <w:tmpl w:val="E2904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3D"/>
    <w:rsid w:val="0000472A"/>
    <w:rsid w:val="00015A87"/>
    <w:rsid w:val="00033A6A"/>
    <w:rsid w:val="00042B95"/>
    <w:rsid w:val="00080E48"/>
    <w:rsid w:val="000A12A3"/>
    <w:rsid w:val="000B7654"/>
    <w:rsid w:val="00117500"/>
    <w:rsid w:val="001344BA"/>
    <w:rsid w:val="001620F1"/>
    <w:rsid w:val="001A2474"/>
    <w:rsid w:val="001F3540"/>
    <w:rsid w:val="001F4DD7"/>
    <w:rsid w:val="00224407"/>
    <w:rsid w:val="00231965"/>
    <w:rsid w:val="0025109A"/>
    <w:rsid w:val="0026232C"/>
    <w:rsid w:val="00266330"/>
    <w:rsid w:val="00280FED"/>
    <w:rsid w:val="00286CE1"/>
    <w:rsid w:val="00290677"/>
    <w:rsid w:val="00294246"/>
    <w:rsid w:val="002D3906"/>
    <w:rsid w:val="002E6CE5"/>
    <w:rsid w:val="00333491"/>
    <w:rsid w:val="003710DB"/>
    <w:rsid w:val="00376326"/>
    <w:rsid w:val="003826E7"/>
    <w:rsid w:val="003F367E"/>
    <w:rsid w:val="0043008A"/>
    <w:rsid w:val="00460405"/>
    <w:rsid w:val="004670FD"/>
    <w:rsid w:val="004A72AE"/>
    <w:rsid w:val="004C61FC"/>
    <w:rsid w:val="004D7F55"/>
    <w:rsid w:val="00544592"/>
    <w:rsid w:val="0056545E"/>
    <w:rsid w:val="00571D40"/>
    <w:rsid w:val="005768AD"/>
    <w:rsid w:val="00592BCF"/>
    <w:rsid w:val="00594CF3"/>
    <w:rsid w:val="00595E27"/>
    <w:rsid w:val="0059625A"/>
    <w:rsid w:val="005C0231"/>
    <w:rsid w:val="005C0740"/>
    <w:rsid w:val="005C4232"/>
    <w:rsid w:val="005C46E1"/>
    <w:rsid w:val="005D26B2"/>
    <w:rsid w:val="00614403"/>
    <w:rsid w:val="006166BF"/>
    <w:rsid w:val="00625689"/>
    <w:rsid w:val="0063131E"/>
    <w:rsid w:val="006378D9"/>
    <w:rsid w:val="00650F4F"/>
    <w:rsid w:val="006643D1"/>
    <w:rsid w:val="006717C2"/>
    <w:rsid w:val="00696CD3"/>
    <w:rsid w:val="006D69E7"/>
    <w:rsid w:val="00700246"/>
    <w:rsid w:val="00702039"/>
    <w:rsid w:val="00720595"/>
    <w:rsid w:val="00761E0C"/>
    <w:rsid w:val="007D3E04"/>
    <w:rsid w:val="007F3F81"/>
    <w:rsid w:val="008133D7"/>
    <w:rsid w:val="00826397"/>
    <w:rsid w:val="00834AD8"/>
    <w:rsid w:val="008673B8"/>
    <w:rsid w:val="00867579"/>
    <w:rsid w:val="00874779"/>
    <w:rsid w:val="008B0CE2"/>
    <w:rsid w:val="00900D3C"/>
    <w:rsid w:val="00930365"/>
    <w:rsid w:val="0093273D"/>
    <w:rsid w:val="0095141C"/>
    <w:rsid w:val="00954A77"/>
    <w:rsid w:val="00A10CE6"/>
    <w:rsid w:val="00A14096"/>
    <w:rsid w:val="00A34447"/>
    <w:rsid w:val="00A43734"/>
    <w:rsid w:val="00A45403"/>
    <w:rsid w:val="00A674F0"/>
    <w:rsid w:val="00A726E3"/>
    <w:rsid w:val="00A847AC"/>
    <w:rsid w:val="00AC215F"/>
    <w:rsid w:val="00AE7264"/>
    <w:rsid w:val="00AF586E"/>
    <w:rsid w:val="00B15ADF"/>
    <w:rsid w:val="00B3291D"/>
    <w:rsid w:val="00B42571"/>
    <w:rsid w:val="00B67A4E"/>
    <w:rsid w:val="00B845FF"/>
    <w:rsid w:val="00BA5CD3"/>
    <w:rsid w:val="00BC5144"/>
    <w:rsid w:val="00BC723D"/>
    <w:rsid w:val="00BD1431"/>
    <w:rsid w:val="00BD16FF"/>
    <w:rsid w:val="00C354B4"/>
    <w:rsid w:val="00C367EC"/>
    <w:rsid w:val="00C579B0"/>
    <w:rsid w:val="00C72436"/>
    <w:rsid w:val="00C9328E"/>
    <w:rsid w:val="00CA4B65"/>
    <w:rsid w:val="00CC496A"/>
    <w:rsid w:val="00CD13DB"/>
    <w:rsid w:val="00CD6AB3"/>
    <w:rsid w:val="00D66987"/>
    <w:rsid w:val="00D93D28"/>
    <w:rsid w:val="00D95699"/>
    <w:rsid w:val="00DB7ACF"/>
    <w:rsid w:val="00DF75C9"/>
    <w:rsid w:val="00E158CC"/>
    <w:rsid w:val="00E27C78"/>
    <w:rsid w:val="00E50C29"/>
    <w:rsid w:val="00E737A2"/>
    <w:rsid w:val="00F519FA"/>
    <w:rsid w:val="00FA0F73"/>
    <w:rsid w:val="00FA3813"/>
    <w:rsid w:val="00FD09C8"/>
    <w:rsid w:val="00FD0B2D"/>
    <w:rsid w:val="00FD39FD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BAC62B"/>
  <w15:docId w15:val="{2CBCBA44-6186-4DBC-88E3-95940D0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  <w:style w:type="character" w:styleId="PlaceholderText">
    <w:name w:val="Placeholder Text"/>
    <w:basedOn w:val="DefaultParagraphFont"/>
    <w:uiPriority w:val="99"/>
    <w:semiHidden/>
    <w:rsid w:val="00954A77"/>
    <w:rPr>
      <w:color w:val="808080"/>
    </w:rPr>
  </w:style>
  <w:style w:type="paragraph" w:customStyle="1" w:styleId="Normal1">
    <w:name w:val="Normal1"/>
    <w:rsid w:val="00231965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5424-C6E3-482C-8AE1-0CBA361F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Howell</dc:creator>
  <cp:lastModifiedBy>Stone, Timoethia M</cp:lastModifiedBy>
  <cp:revision>3</cp:revision>
  <dcterms:created xsi:type="dcterms:W3CDTF">2019-07-23T12:09:00Z</dcterms:created>
  <dcterms:modified xsi:type="dcterms:W3CDTF">2019-07-23T12:10:00Z</dcterms:modified>
</cp:coreProperties>
</file>