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73F83" w14:textId="19CCA1FB" w:rsidR="00E13711" w:rsidRPr="00E13711" w:rsidRDefault="00E13711" w:rsidP="00E13711">
      <w:pPr>
        <w:spacing w:after="0"/>
        <w:jc w:val="center"/>
        <w:rPr>
          <w:rFonts w:ascii="Cambria" w:eastAsia="Times New Roman" w:hAnsi="Cambria" w:cs="Times New Roman"/>
          <w:b/>
          <w:sz w:val="32"/>
          <w:szCs w:val="32"/>
        </w:rPr>
      </w:pPr>
      <w:proofErr w:type="gramStart"/>
      <w:r w:rsidRPr="00E13711">
        <w:rPr>
          <w:rFonts w:ascii="Cambria" w:eastAsia="Times New Roman" w:hAnsi="Cambria" w:cs="Times New Roman"/>
          <w:b/>
          <w:sz w:val="32"/>
          <w:szCs w:val="32"/>
        </w:rPr>
        <w:t>eMERGE</w:t>
      </w:r>
      <w:proofErr w:type="gramEnd"/>
      <w:r w:rsidRPr="00E13711">
        <w:rPr>
          <w:rFonts w:ascii="Cambria" w:eastAsia="Times New Roman" w:hAnsi="Cambria" w:cs="Times New Roman"/>
          <w:b/>
          <w:sz w:val="32"/>
          <w:szCs w:val="32"/>
        </w:rPr>
        <w:t xml:space="preserve"> Network Steering Committee Meeting</w:t>
      </w:r>
    </w:p>
    <w:p w14:paraId="176C871E" w14:textId="77777777" w:rsidR="00E13711" w:rsidRPr="00E13711" w:rsidRDefault="00E13711" w:rsidP="00E13711">
      <w:pPr>
        <w:spacing w:after="0" w:line="240" w:lineRule="auto"/>
        <w:jc w:val="center"/>
        <w:rPr>
          <w:rFonts w:ascii="Cambria" w:eastAsia="Times New Roman" w:hAnsi="Cambria" w:cs="Times New Roman"/>
          <w:sz w:val="26"/>
          <w:szCs w:val="26"/>
        </w:rPr>
      </w:pPr>
      <w:r w:rsidRPr="00E13711">
        <w:rPr>
          <w:rFonts w:ascii="Cambria" w:eastAsia="Times New Roman" w:hAnsi="Cambria" w:cs="Times New Roman"/>
          <w:sz w:val="26"/>
          <w:szCs w:val="26"/>
        </w:rPr>
        <w:t>June 29-30, 2015</w:t>
      </w:r>
    </w:p>
    <w:p w14:paraId="39884D8F" w14:textId="77777777" w:rsidR="00E13711" w:rsidRPr="00E13711" w:rsidRDefault="00E13711" w:rsidP="00E13711">
      <w:pPr>
        <w:spacing w:after="0" w:line="240" w:lineRule="auto"/>
        <w:jc w:val="center"/>
        <w:rPr>
          <w:rFonts w:ascii="Cambria" w:eastAsia="Times New Roman" w:hAnsi="Cambria" w:cs="Times New Roman"/>
          <w:sz w:val="26"/>
          <w:szCs w:val="26"/>
        </w:rPr>
      </w:pPr>
      <w:r w:rsidRPr="00E13711">
        <w:rPr>
          <w:rFonts w:ascii="Cambria" w:eastAsia="Times New Roman" w:hAnsi="Cambria" w:cs="Times New Roman"/>
          <w:sz w:val="26"/>
          <w:szCs w:val="26"/>
        </w:rPr>
        <w:t>New York, NY</w:t>
      </w:r>
    </w:p>
    <w:p w14:paraId="32033CAB" w14:textId="77777777" w:rsidR="00E13711" w:rsidRPr="00E13711" w:rsidRDefault="00E13711" w:rsidP="00E13711">
      <w:pPr>
        <w:spacing w:after="0" w:line="240" w:lineRule="auto"/>
        <w:rPr>
          <w:rFonts w:ascii="Cambria" w:eastAsia="Times New Roman" w:hAnsi="Cambria" w:cs="Times New Roman"/>
          <w:b/>
          <w:sz w:val="20"/>
          <w:szCs w:val="24"/>
        </w:rPr>
      </w:pPr>
    </w:p>
    <w:p w14:paraId="3D14419D" w14:textId="77777777" w:rsidR="00E13711" w:rsidRPr="00E13711" w:rsidRDefault="00E13711" w:rsidP="00E13711">
      <w:pPr>
        <w:pBdr>
          <w:top w:val="single" w:sz="8" w:space="0" w:color="auto"/>
          <w:left w:val="single" w:sz="8" w:space="4" w:color="auto"/>
          <w:bottom w:val="single" w:sz="8" w:space="1" w:color="auto"/>
          <w:right w:val="single" w:sz="8" w:space="4" w:color="auto"/>
        </w:pBdr>
        <w:spacing w:after="0" w:line="240" w:lineRule="auto"/>
        <w:rPr>
          <w:rFonts w:ascii="Cambria" w:eastAsia="Times New Roman" w:hAnsi="Cambria" w:cs="Times New Roman"/>
          <w:sz w:val="20"/>
        </w:rPr>
      </w:pPr>
      <w:r w:rsidRPr="00E13711">
        <w:rPr>
          <w:rFonts w:ascii="Cambria" w:eastAsia="Times New Roman" w:hAnsi="Cambria" w:cs="Times New Roman"/>
          <w:sz w:val="20"/>
        </w:rPr>
        <w:t>Attendance</w:t>
      </w:r>
    </w:p>
    <w:p w14:paraId="4D25F5A2" w14:textId="77777777" w:rsidR="00E13711" w:rsidRPr="00E13711" w:rsidRDefault="00E13711" w:rsidP="00E13711">
      <w:pPr>
        <w:spacing w:after="0" w:line="240" w:lineRule="auto"/>
        <w:rPr>
          <w:rFonts w:ascii="Times New Roman" w:eastAsia="Times New Roman" w:hAnsi="Times New Roman" w:cs="Times New Roman"/>
          <w:sz w:val="24"/>
          <w:szCs w:val="24"/>
          <w:highlight w:val="lightGray"/>
        </w:rPr>
      </w:pPr>
    </w:p>
    <w:p w14:paraId="444D1A46" w14:textId="77777777" w:rsidR="00E13711" w:rsidRPr="00E13711" w:rsidRDefault="00E13711" w:rsidP="00E13711">
      <w:pPr>
        <w:spacing w:after="0" w:line="240" w:lineRule="auto"/>
        <w:rPr>
          <w:rFonts w:ascii="Times New Roman" w:eastAsia="Times New Roman" w:hAnsi="Times New Roman" w:cs="Times New Roman"/>
          <w:sz w:val="24"/>
          <w:szCs w:val="24"/>
          <w:highlight w:val="lightGray"/>
        </w:rPr>
        <w:sectPr w:rsidR="00E13711" w:rsidRPr="00E13711" w:rsidSect="008A205B">
          <w:headerReference w:type="default" r:id="rId7"/>
          <w:footerReference w:type="default" r:id="rId8"/>
          <w:pgSz w:w="12240" w:h="15840"/>
          <w:pgMar w:top="270" w:right="720" w:bottom="360" w:left="720" w:header="720" w:footer="720" w:gutter="0"/>
          <w:cols w:space="720"/>
          <w:docGrid w:linePitch="360"/>
        </w:sectPr>
      </w:pPr>
    </w:p>
    <w:p w14:paraId="5CF5C1C6" w14:textId="77777777" w:rsidR="00E13711" w:rsidRPr="00E13711" w:rsidRDefault="00E13711" w:rsidP="00E13711">
      <w:pPr>
        <w:spacing w:after="0" w:line="240" w:lineRule="auto"/>
        <w:rPr>
          <w:rFonts w:ascii="Times New Roman" w:eastAsia="Times New Roman" w:hAnsi="Times New Roman" w:cs="Times New Roman"/>
          <w:sz w:val="18"/>
          <w:szCs w:val="18"/>
        </w:rPr>
      </w:pPr>
      <w:r w:rsidRPr="00E13711">
        <w:rPr>
          <w:rFonts w:ascii="Times New Roman" w:eastAsia="Times New Roman" w:hAnsi="Times New Roman" w:cs="Times New Roman"/>
          <w:sz w:val="18"/>
          <w:szCs w:val="18"/>
          <w:highlight w:val="lightGray"/>
        </w:rPr>
        <w:lastRenderedPageBreak/>
        <w:t>Network Members in Attendance</w:t>
      </w:r>
    </w:p>
    <w:p w14:paraId="5B17BAAB" w14:textId="77777777" w:rsidR="00E13711" w:rsidRPr="00E13711" w:rsidRDefault="00E13711" w:rsidP="00E13711">
      <w:pPr>
        <w:spacing w:after="0" w:line="240" w:lineRule="auto"/>
        <w:rPr>
          <w:rFonts w:ascii="Times New Roman" w:eastAsia="Times New Roman" w:hAnsi="Times New Roman" w:cs="Times New Roman"/>
          <w:sz w:val="18"/>
          <w:szCs w:val="18"/>
        </w:rPr>
        <w:sectPr w:rsidR="00E13711" w:rsidRPr="00E13711" w:rsidSect="008A205B">
          <w:type w:val="continuous"/>
          <w:pgSz w:w="12240" w:h="15840"/>
          <w:pgMar w:top="720" w:right="720" w:bottom="720" w:left="720" w:header="720" w:footer="720" w:gutter="0"/>
          <w:cols w:num="2" w:space="720"/>
          <w:docGrid w:linePitch="360"/>
        </w:sectPr>
      </w:pPr>
    </w:p>
    <w:p w14:paraId="386127FC" w14:textId="77777777" w:rsidR="00E13711" w:rsidRPr="00E13711" w:rsidRDefault="00E13711" w:rsidP="00E13711">
      <w:pPr>
        <w:spacing w:after="0" w:line="240" w:lineRule="auto"/>
        <w:rPr>
          <w:rFonts w:ascii="Times New Roman" w:eastAsia="Times New Roman" w:hAnsi="Times New Roman" w:cs="Times New Roman"/>
          <w:sz w:val="18"/>
          <w:szCs w:val="18"/>
        </w:rPr>
      </w:pPr>
    </w:p>
    <w:p w14:paraId="0247BDAD" w14:textId="77777777" w:rsidR="00E13711" w:rsidRPr="00E13711" w:rsidRDefault="00E13711" w:rsidP="00E13711">
      <w:pPr>
        <w:spacing w:after="0" w:line="240" w:lineRule="auto"/>
        <w:rPr>
          <w:rFonts w:ascii="Times New Roman" w:eastAsia="Times New Roman" w:hAnsi="Times New Roman" w:cs="Times New Roman"/>
          <w:sz w:val="18"/>
          <w:szCs w:val="18"/>
        </w:rPr>
        <w:sectPr w:rsidR="00E13711" w:rsidRPr="00E13711" w:rsidSect="008A205B">
          <w:type w:val="continuous"/>
          <w:pgSz w:w="12240" w:h="15840"/>
          <w:pgMar w:top="720" w:right="720" w:bottom="720" w:left="720" w:header="720" w:footer="720" w:gutter="0"/>
          <w:cols w:num="2" w:space="720"/>
          <w:docGrid w:linePitch="360"/>
        </w:sectPr>
      </w:pPr>
    </w:p>
    <w:p w14:paraId="1544422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lastRenderedPageBreak/>
        <w:t>CCHMC/BCH</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Armand Antommaria</w:t>
      </w:r>
    </w:p>
    <w:p w14:paraId="76A9D33D"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CCHMC/BCH                             Beth Cobb</w:t>
      </w:r>
    </w:p>
    <w:p w14:paraId="6C19C78A"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CCHMC/BCH</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John Harley</w:t>
      </w:r>
    </w:p>
    <w:p w14:paraId="3408E70E"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CCHMC/BCH</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 xml:space="preserve">Ingrid Holm </w:t>
      </w:r>
    </w:p>
    <w:p w14:paraId="5494C98B"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CCHMC/BCH</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Todd Lingren</w:t>
      </w:r>
    </w:p>
    <w:p w14:paraId="6B04C1F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CCHMC/BCH</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 xml:space="preserve">Bahram </w:t>
      </w:r>
      <w:proofErr w:type="spellStart"/>
      <w:r w:rsidRPr="00E13711">
        <w:rPr>
          <w:rFonts w:ascii="Cambria" w:eastAsia="Times New Roman" w:hAnsi="Cambria" w:cs="Times New Roman"/>
          <w:sz w:val="18"/>
          <w:szCs w:val="18"/>
        </w:rPr>
        <w:t>Namjou</w:t>
      </w:r>
      <w:proofErr w:type="spellEnd"/>
    </w:p>
    <w:p w14:paraId="309142B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CCHMC/BCH</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Cassandra Perry</w:t>
      </w:r>
    </w:p>
    <w:p w14:paraId="4FB88227" w14:textId="77777777" w:rsidR="00E13711" w:rsidRPr="00E13711" w:rsidRDefault="00E13711" w:rsidP="00E13711">
      <w:pPr>
        <w:spacing w:after="0" w:line="240" w:lineRule="auto"/>
        <w:rPr>
          <w:rFonts w:ascii="Cambria" w:eastAsia="Times New Roman" w:hAnsi="Cambria" w:cs="Times New Roman"/>
          <w:sz w:val="18"/>
          <w:szCs w:val="18"/>
        </w:rPr>
      </w:pPr>
    </w:p>
    <w:p w14:paraId="7465E3B0"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CHOP</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Berta Castillo</w:t>
      </w:r>
    </w:p>
    <w:p w14:paraId="03DCC8C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CHOP</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John Connolly</w:t>
      </w:r>
    </w:p>
    <w:p w14:paraId="480E6AA8"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CHOP</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 xml:space="preserve">Joe </w:t>
      </w:r>
      <w:proofErr w:type="spellStart"/>
      <w:r w:rsidRPr="00E13711">
        <w:rPr>
          <w:rFonts w:ascii="Cambria" w:eastAsia="Times New Roman" w:hAnsi="Cambria" w:cs="Times New Roman"/>
          <w:sz w:val="18"/>
          <w:szCs w:val="18"/>
        </w:rPr>
        <w:t>Glessner</w:t>
      </w:r>
      <w:proofErr w:type="spellEnd"/>
    </w:p>
    <w:p w14:paraId="6C1E8100"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CHOP</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Hakon Hakonarson</w:t>
      </w:r>
    </w:p>
    <w:p w14:paraId="6947D243"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CHOP</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Patrick Sleiman</w:t>
      </w:r>
    </w:p>
    <w:p w14:paraId="035A3886" w14:textId="77777777" w:rsidR="00E13711" w:rsidRPr="00E13711" w:rsidRDefault="00E13711" w:rsidP="00E13711">
      <w:pPr>
        <w:spacing w:after="0" w:line="240" w:lineRule="auto"/>
        <w:rPr>
          <w:rFonts w:ascii="Cambria" w:eastAsia="Times New Roman" w:hAnsi="Cambria" w:cs="Times New Roman"/>
          <w:sz w:val="18"/>
          <w:szCs w:val="18"/>
        </w:rPr>
      </w:pPr>
    </w:p>
    <w:p w14:paraId="37371A89" w14:textId="77777777" w:rsidR="00E13711" w:rsidRPr="00E13711" w:rsidRDefault="00E13711" w:rsidP="00E13711">
      <w:pPr>
        <w:spacing w:after="0" w:line="240" w:lineRule="auto"/>
        <w:rPr>
          <w:rFonts w:ascii="Cambria" w:eastAsia="Times New Roman" w:hAnsi="Cambria" w:cs="Times New Roman"/>
          <w:sz w:val="18"/>
          <w:szCs w:val="18"/>
        </w:rPr>
      </w:pPr>
      <w:proofErr w:type="spellStart"/>
      <w:r w:rsidRPr="00E13711">
        <w:rPr>
          <w:rFonts w:ascii="Cambria" w:eastAsia="Times New Roman" w:hAnsi="Cambria" w:cs="Times New Roman"/>
          <w:sz w:val="18"/>
          <w:szCs w:val="18"/>
        </w:rPr>
        <w:t>Geisinger</w:t>
      </w:r>
      <w:proofErr w:type="spellEnd"/>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 xml:space="preserve">Kenneth </w:t>
      </w:r>
      <w:proofErr w:type="spellStart"/>
      <w:r w:rsidRPr="00E13711">
        <w:rPr>
          <w:rFonts w:ascii="Cambria" w:eastAsia="Times New Roman" w:hAnsi="Cambria" w:cs="Times New Roman"/>
          <w:sz w:val="18"/>
          <w:szCs w:val="18"/>
        </w:rPr>
        <w:t>Borthwick</w:t>
      </w:r>
      <w:proofErr w:type="spellEnd"/>
    </w:p>
    <w:p w14:paraId="5801D9E7" w14:textId="77777777" w:rsidR="00E13711" w:rsidRPr="00E13711" w:rsidRDefault="00E13711" w:rsidP="00E13711">
      <w:pPr>
        <w:spacing w:after="0" w:line="240" w:lineRule="auto"/>
        <w:rPr>
          <w:rFonts w:ascii="Cambria" w:eastAsia="Times New Roman" w:hAnsi="Cambria" w:cs="Times New Roman"/>
          <w:sz w:val="18"/>
          <w:szCs w:val="18"/>
        </w:rPr>
      </w:pPr>
      <w:proofErr w:type="spellStart"/>
      <w:r w:rsidRPr="00E13711">
        <w:rPr>
          <w:rFonts w:ascii="Cambria" w:eastAsia="Times New Roman" w:hAnsi="Cambria" w:cs="Times New Roman"/>
          <w:sz w:val="18"/>
          <w:szCs w:val="18"/>
        </w:rPr>
        <w:t>Geisinger</w:t>
      </w:r>
      <w:proofErr w:type="spellEnd"/>
      <w:r w:rsidRPr="00E13711">
        <w:rPr>
          <w:rFonts w:ascii="Cambria" w:eastAsia="Times New Roman" w:hAnsi="Cambria" w:cs="Times New Roman"/>
          <w:sz w:val="18"/>
          <w:szCs w:val="18"/>
        </w:rPr>
        <w:t xml:space="preserve">                                    David Carey</w:t>
      </w:r>
    </w:p>
    <w:p w14:paraId="5A114E7B" w14:textId="77777777" w:rsidR="00E13711" w:rsidRPr="00E13711" w:rsidRDefault="00E13711" w:rsidP="00E13711">
      <w:pPr>
        <w:spacing w:after="0" w:line="240" w:lineRule="auto"/>
        <w:rPr>
          <w:rFonts w:ascii="Cambria" w:eastAsia="Times New Roman" w:hAnsi="Cambria" w:cs="Times New Roman"/>
          <w:sz w:val="18"/>
          <w:szCs w:val="18"/>
        </w:rPr>
      </w:pPr>
      <w:proofErr w:type="spellStart"/>
      <w:r w:rsidRPr="00E13711">
        <w:rPr>
          <w:rFonts w:ascii="Cambria" w:eastAsia="Times New Roman" w:hAnsi="Cambria" w:cs="Times New Roman"/>
          <w:sz w:val="18"/>
          <w:szCs w:val="18"/>
        </w:rPr>
        <w:t>Geisinger</w:t>
      </w:r>
      <w:proofErr w:type="spellEnd"/>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Les Kirchner</w:t>
      </w:r>
    </w:p>
    <w:p w14:paraId="64FC9D2C" w14:textId="77777777" w:rsidR="00E13711" w:rsidRPr="00E13711" w:rsidRDefault="00E13711" w:rsidP="00E13711">
      <w:pPr>
        <w:spacing w:after="0" w:line="240" w:lineRule="auto"/>
        <w:rPr>
          <w:rFonts w:ascii="Cambria" w:eastAsia="Times New Roman" w:hAnsi="Cambria" w:cs="Times New Roman"/>
          <w:sz w:val="18"/>
          <w:szCs w:val="18"/>
        </w:rPr>
      </w:pPr>
      <w:proofErr w:type="spellStart"/>
      <w:r w:rsidRPr="00E13711">
        <w:rPr>
          <w:rFonts w:ascii="Cambria" w:eastAsia="Times New Roman" w:hAnsi="Cambria" w:cs="Times New Roman"/>
          <w:sz w:val="18"/>
          <w:szCs w:val="18"/>
        </w:rPr>
        <w:t>Geisinger</w:t>
      </w:r>
      <w:proofErr w:type="spellEnd"/>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David Ledbetter</w:t>
      </w:r>
    </w:p>
    <w:p w14:paraId="4A268EAE" w14:textId="77777777" w:rsidR="00E13711" w:rsidRPr="00E13711" w:rsidRDefault="00E13711" w:rsidP="00E13711">
      <w:pPr>
        <w:spacing w:after="0" w:line="240" w:lineRule="auto"/>
        <w:rPr>
          <w:rFonts w:ascii="Cambria" w:eastAsia="Times New Roman" w:hAnsi="Cambria" w:cs="Times New Roman"/>
          <w:sz w:val="18"/>
          <w:szCs w:val="18"/>
        </w:rPr>
      </w:pPr>
      <w:proofErr w:type="spellStart"/>
      <w:r w:rsidRPr="00E13711">
        <w:rPr>
          <w:rFonts w:ascii="Cambria" w:eastAsia="Times New Roman" w:hAnsi="Cambria" w:cs="Times New Roman"/>
          <w:sz w:val="18"/>
          <w:szCs w:val="18"/>
        </w:rPr>
        <w:t>Geisinger</w:t>
      </w:r>
      <w:proofErr w:type="spellEnd"/>
      <w:r w:rsidRPr="00E13711">
        <w:rPr>
          <w:rFonts w:ascii="Cambria" w:eastAsia="Times New Roman" w:hAnsi="Cambria" w:cs="Times New Roman"/>
          <w:sz w:val="18"/>
          <w:szCs w:val="18"/>
        </w:rPr>
        <w:t>/U of Maryland</w:t>
      </w:r>
      <w:r w:rsidRPr="00E13711">
        <w:rPr>
          <w:rFonts w:ascii="Cambria" w:eastAsia="Times New Roman" w:hAnsi="Cambria" w:cs="Times New Roman"/>
          <w:sz w:val="18"/>
          <w:szCs w:val="18"/>
        </w:rPr>
        <w:tab/>
        <w:t>Casey Overby</w:t>
      </w:r>
    </w:p>
    <w:p w14:paraId="443C800E" w14:textId="77777777" w:rsidR="00E13711" w:rsidRPr="00E13711" w:rsidRDefault="00E13711" w:rsidP="00E13711">
      <w:pPr>
        <w:spacing w:after="0" w:line="240" w:lineRule="auto"/>
        <w:rPr>
          <w:rFonts w:ascii="Cambria" w:eastAsia="Times New Roman" w:hAnsi="Cambria" w:cs="Times New Roman"/>
          <w:sz w:val="18"/>
          <w:szCs w:val="18"/>
        </w:rPr>
      </w:pPr>
      <w:proofErr w:type="spellStart"/>
      <w:r w:rsidRPr="00E13711">
        <w:rPr>
          <w:rFonts w:ascii="Cambria" w:eastAsia="Times New Roman" w:hAnsi="Cambria" w:cs="Times New Roman"/>
          <w:sz w:val="18"/>
          <w:szCs w:val="18"/>
        </w:rPr>
        <w:t>Geisinger</w:t>
      </w:r>
      <w:proofErr w:type="spellEnd"/>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Diane Smelser</w:t>
      </w:r>
    </w:p>
    <w:p w14:paraId="60096091" w14:textId="77777777" w:rsidR="00E13711" w:rsidRPr="00E13711" w:rsidRDefault="00E13711" w:rsidP="00E13711">
      <w:pPr>
        <w:spacing w:after="0" w:line="240" w:lineRule="auto"/>
        <w:rPr>
          <w:rFonts w:ascii="Cambria" w:eastAsia="Times New Roman" w:hAnsi="Cambria" w:cs="Times New Roman"/>
          <w:sz w:val="18"/>
          <w:szCs w:val="18"/>
        </w:rPr>
      </w:pPr>
      <w:proofErr w:type="spellStart"/>
      <w:r w:rsidRPr="00E13711">
        <w:rPr>
          <w:rFonts w:ascii="Cambria" w:eastAsia="Times New Roman" w:hAnsi="Cambria" w:cs="Times New Roman"/>
          <w:sz w:val="18"/>
          <w:szCs w:val="18"/>
        </w:rPr>
        <w:t>Geisinger</w:t>
      </w:r>
      <w:proofErr w:type="spellEnd"/>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Janet Williams</w:t>
      </w:r>
    </w:p>
    <w:p w14:paraId="62CA7F74" w14:textId="77777777" w:rsidR="00E13711" w:rsidRPr="00E13711" w:rsidRDefault="00E13711" w:rsidP="00E13711">
      <w:pPr>
        <w:spacing w:after="0" w:line="240" w:lineRule="auto"/>
        <w:rPr>
          <w:rFonts w:ascii="Cambria" w:eastAsia="Times New Roman" w:hAnsi="Cambria" w:cs="Times New Roman"/>
          <w:sz w:val="18"/>
          <w:szCs w:val="18"/>
        </w:rPr>
      </w:pPr>
      <w:proofErr w:type="spellStart"/>
      <w:r w:rsidRPr="00E13711">
        <w:rPr>
          <w:rFonts w:ascii="Cambria" w:eastAsia="Times New Roman" w:hAnsi="Cambria" w:cs="Times New Roman"/>
          <w:sz w:val="18"/>
          <w:szCs w:val="18"/>
        </w:rPr>
        <w:t>Geisinger</w:t>
      </w:r>
      <w:proofErr w:type="spellEnd"/>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Marc Williams</w:t>
      </w:r>
    </w:p>
    <w:p w14:paraId="0D886ABF" w14:textId="77777777" w:rsidR="00E13711" w:rsidRPr="00E13711" w:rsidRDefault="00E13711" w:rsidP="00E13711">
      <w:pPr>
        <w:spacing w:after="0" w:line="240" w:lineRule="auto"/>
        <w:rPr>
          <w:rFonts w:ascii="Cambria" w:eastAsia="Times New Roman" w:hAnsi="Cambria" w:cs="Times New Roman"/>
          <w:sz w:val="18"/>
          <w:szCs w:val="18"/>
        </w:rPr>
      </w:pPr>
    </w:p>
    <w:p w14:paraId="4573E08D"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GH/UW</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David Carrell</w:t>
      </w:r>
    </w:p>
    <w:p w14:paraId="097A5FC9"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GH/UW</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David Crosslin</w:t>
      </w:r>
    </w:p>
    <w:p w14:paraId="36B95E56"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GH/UW</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Gail Jarvik</w:t>
      </w:r>
    </w:p>
    <w:p w14:paraId="0064EB8D"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GH/UW</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Eric Larson</w:t>
      </w:r>
    </w:p>
    <w:p w14:paraId="3AAD3FB0" w14:textId="77777777" w:rsidR="00E13711" w:rsidRPr="00E13711" w:rsidRDefault="00E13711" w:rsidP="00E13711">
      <w:pPr>
        <w:spacing w:after="0" w:line="240" w:lineRule="auto"/>
        <w:rPr>
          <w:rFonts w:ascii="Cambria" w:eastAsia="Times New Roman" w:hAnsi="Cambria" w:cs="Times New Roman"/>
          <w:sz w:val="18"/>
          <w:szCs w:val="18"/>
        </w:rPr>
      </w:pPr>
    </w:p>
    <w:p w14:paraId="23711703"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Marsh/</w:t>
      </w:r>
      <w:proofErr w:type="spellStart"/>
      <w:r w:rsidRPr="00E13711">
        <w:rPr>
          <w:rFonts w:ascii="Cambria" w:eastAsia="Times New Roman" w:hAnsi="Cambria" w:cs="Times New Roman"/>
          <w:sz w:val="18"/>
          <w:szCs w:val="18"/>
        </w:rPr>
        <w:t>Essentia</w:t>
      </w:r>
      <w:proofErr w:type="spellEnd"/>
      <w:r w:rsidRPr="00E13711">
        <w:rPr>
          <w:rFonts w:ascii="Cambria" w:eastAsia="Times New Roman" w:hAnsi="Cambria" w:cs="Times New Roman"/>
          <w:sz w:val="18"/>
          <w:szCs w:val="18"/>
        </w:rPr>
        <w:t>/PSU</w:t>
      </w:r>
      <w:r w:rsidRPr="00E13711">
        <w:rPr>
          <w:rFonts w:ascii="Cambria" w:eastAsia="Times New Roman" w:hAnsi="Cambria" w:cs="Times New Roman"/>
          <w:sz w:val="18"/>
          <w:szCs w:val="18"/>
        </w:rPr>
        <w:tab/>
        <w:t>Murray Brilliant</w:t>
      </w:r>
      <w:r w:rsidRPr="00E13711">
        <w:rPr>
          <w:rFonts w:ascii="Cambria" w:eastAsia="Times New Roman" w:hAnsi="Cambria" w:cs="Times New Roman"/>
          <w:sz w:val="18"/>
          <w:szCs w:val="18"/>
        </w:rPr>
        <w:tab/>
      </w:r>
    </w:p>
    <w:p w14:paraId="448C884F"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Marsh/</w:t>
      </w:r>
      <w:proofErr w:type="spellStart"/>
      <w:r w:rsidRPr="00E13711">
        <w:rPr>
          <w:rFonts w:ascii="Cambria" w:eastAsia="Times New Roman" w:hAnsi="Cambria" w:cs="Times New Roman"/>
          <w:sz w:val="18"/>
          <w:szCs w:val="18"/>
        </w:rPr>
        <w:t>Essentia</w:t>
      </w:r>
      <w:proofErr w:type="spellEnd"/>
      <w:r w:rsidRPr="00E13711">
        <w:rPr>
          <w:rFonts w:ascii="Cambria" w:eastAsia="Times New Roman" w:hAnsi="Cambria" w:cs="Times New Roman"/>
          <w:sz w:val="18"/>
          <w:szCs w:val="18"/>
        </w:rPr>
        <w:t>/PSU</w:t>
      </w:r>
      <w:r w:rsidRPr="00E13711">
        <w:rPr>
          <w:rFonts w:ascii="Cambria" w:eastAsia="Times New Roman" w:hAnsi="Cambria" w:cs="Times New Roman"/>
          <w:sz w:val="18"/>
          <w:szCs w:val="18"/>
        </w:rPr>
        <w:tab/>
        <w:t>Scott Hebbring</w:t>
      </w:r>
    </w:p>
    <w:p w14:paraId="5E561DB5"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Marsh/</w:t>
      </w:r>
      <w:proofErr w:type="spellStart"/>
      <w:r w:rsidRPr="00E13711">
        <w:rPr>
          <w:rFonts w:ascii="Cambria" w:eastAsia="Times New Roman" w:hAnsi="Cambria" w:cs="Times New Roman"/>
          <w:sz w:val="18"/>
          <w:szCs w:val="18"/>
        </w:rPr>
        <w:t>Essentia</w:t>
      </w:r>
      <w:proofErr w:type="spellEnd"/>
      <w:r w:rsidRPr="00E13711">
        <w:rPr>
          <w:rFonts w:ascii="Cambria" w:eastAsia="Times New Roman" w:hAnsi="Cambria" w:cs="Times New Roman"/>
          <w:sz w:val="18"/>
          <w:szCs w:val="18"/>
        </w:rPr>
        <w:t>/PSU</w:t>
      </w:r>
      <w:r w:rsidRPr="00E13711">
        <w:rPr>
          <w:rFonts w:ascii="Cambria" w:eastAsia="Times New Roman" w:hAnsi="Cambria" w:cs="Times New Roman"/>
          <w:sz w:val="18"/>
          <w:szCs w:val="18"/>
        </w:rPr>
        <w:tab/>
        <w:t>Terrie Kitchner</w:t>
      </w:r>
    </w:p>
    <w:p w14:paraId="28BE8EE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Marsh/</w:t>
      </w:r>
      <w:proofErr w:type="spellStart"/>
      <w:r w:rsidRPr="00E13711">
        <w:rPr>
          <w:rFonts w:ascii="Cambria" w:eastAsia="Times New Roman" w:hAnsi="Cambria" w:cs="Times New Roman"/>
          <w:sz w:val="18"/>
          <w:szCs w:val="18"/>
        </w:rPr>
        <w:t>Essentia</w:t>
      </w:r>
      <w:proofErr w:type="spellEnd"/>
      <w:r w:rsidRPr="00E13711">
        <w:rPr>
          <w:rFonts w:ascii="Cambria" w:eastAsia="Times New Roman" w:hAnsi="Cambria" w:cs="Times New Roman"/>
          <w:sz w:val="18"/>
          <w:szCs w:val="18"/>
        </w:rPr>
        <w:t>/PSU</w:t>
      </w:r>
      <w:r w:rsidRPr="00E13711">
        <w:rPr>
          <w:rFonts w:ascii="Cambria" w:eastAsia="Times New Roman" w:hAnsi="Cambria" w:cs="Times New Roman"/>
          <w:sz w:val="18"/>
          <w:szCs w:val="18"/>
        </w:rPr>
        <w:tab/>
        <w:t>Cathy McCarty</w:t>
      </w:r>
    </w:p>
    <w:p w14:paraId="317C3DAF"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Marsh/</w:t>
      </w:r>
      <w:proofErr w:type="spellStart"/>
      <w:r w:rsidRPr="00E13711">
        <w:rPr>
          <w:rFonts w:ascii="Cambria" w:eastAsia="Times New Roman" w:hAnsi="Cambria" w:cs="Times New Roman"/>
          <w:sz w:val="18"/>
          <w:szCs w:val="18"/>
        </w:rPr>
        <w:t>Essentia</w:t>
      </w:r>
      <w:proofErr w:type="spellEnd"/>
      <w:r w:rsidRPr="00E13711">
        <w:rPr>
          <w:rFonts w:ascii="Cambria" w:eastAsia="Times New Roman" w:hAnsi="Cambria" w:cs="Times New Roman"/>
          <w:sz w:val="18"/>
          <w:szCs w:val="18"/>
        </w:rPr>
        <w:t>/PSU</w:t>
      </w:r>
      <w:r w:rsidRPr="00E13711">
        <w:rPr>
          <w:rFonts w:ascii="Cambria" w:eastAsia="Times New Roman" w:hAnsi="Cambria" w:cs="Times New Roman"/>
          <w:sz w:val="18"/>
          <w:szCs w:val="18"/>
        </w:rPr>
        <w:tab/>
        <w:t>Peggy Peissig</w:t>
      </w:r>
    </w:p>
    <w:p w14:paraId="0657244A"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Marsh/</w:t>
      </w:r>
      <w:proofErr w:type="spellStart"/>
      <w:r w:rsidRPr="00E13711">
        <w:rPr>
          <w:rFonts w:ascii="Cambria" w:eastAsia="Times New Roman" w:hAnsi="Cambria" w:cs="Times New Roman"/>
          <w:sz w:val="18"/>
          <w:szCs w:val="18"/>
        </w:rPr>
        <w:t>Essentia</w:t>
      </w:r>
      <w:proofErr w:type="spellEnd"/>
      <w:r w:rsidRPr="00E13711">
        <w:rPr>
          <w:rFonts w:ascii="Cambria" w:eastAsia="Times New Roman" w:hAnsi="Cambria" w:cs="Times New Roman"/>
          <w:sz w:val="18"/>
          <w:szCs w:val="18"/>
        </w:rPr>
        <w:t>/PSU/CC</w:t>
      </w:r>
      <w:r w:rsidRPr="00E13711">
        <w:rPr>
          <w:rFonts w:ascii="Cambria" w:eastAsia="Times New Roman" w:hAnsi="Cambria" w:cs="Times New Roman"/>
          <w:sz w:val="18"/>
          <w:szCs w:val="18"/>
        </w:rPr>
        <w:tab/>
        <w:t>Marylyn Ritchie</w:t>
      </w:r>
    </w:p>
    <w:p w14:paraId="5817E9D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Marsh/</w:t>
      </w:r>
      <w:proofErr w:type="spellStart"/>
      <w:r w:rsidRPr="00E13711">
        <w:rPr>
          <w:rFonts w:ascii="Cambria" w:eastAsia="Times New Roman" w:hAnsi="Cambria" w:cs="Times New Roman"/>
          <w:sz w:val="18"/>
          <w:szCs w:val="18"/>
        </w:rPr>
        <w:t>Essentia</w:t>
      </w:r>
      <w:proofErr w:type="spellEnd"/>
      <w:r w:rsidRPr="00E13711">
        <w:rPr>
          <w:rFonts w:ascii="Cambria" w:eastAsia="Times New Roman" w:hAnsi="Cambria" w:cs="Times New Roman"/>
          <w:sz w:val="18"/>
          <w:szCs w:val="18"/>
        </w:rPr>
        <w:t>/PSU/CC</w:t>
      </w:r>
      <w:r w:rsidRPr="00E13711">
        <w:rPr>
          <w:rFonts w:ascii="Cambria" w:eastAsia="Times New Roman" w:hAnsi="Cambria" w:cs="Times New Roman"/>
          <w:sz w:val="18"/>
          <w:szCs w:val="18"/>
        </w:rPr>
        <w:tab/>
        <w:t>Shefali Setia</w:t>
      </w:r>
    </w:p>
    <w:p w14:paraId="28720D4F" w14:textId="77777777" w:rsidR="00E13711" w:rsidRPr="00E13711" w:rsidRDefault="00E13711" w:rsidP="00E13711">
      <w:pPr>
        <w:spacing w:after="0" w:line="240" w:lineRule="auto"/>
        <w:rPr>
          <w:rFonts w:ascii="Cambria" w:eastAsia="Times New Roman" w:hAnsi="Cambria" w:cs="Times New Roman"/>
          <w:sz w:val="18"/>
          <w:szCs w:val="18"/>
        </w:rPr>
      </w:pPr>
    </w:p>
    <w:p w14:paraId="3A755861"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Mariza de Andrade</w:t>
      </w:r>
    </w:p>
    <w:p w14:paraId="42CC626C"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Suzette Bielinski</w:t>
      </w:r>
    </w:p>
    <w:p w14:paraId="35E89344"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Sherry-Ann Brown</w:t>
      </w:r>
    </w:p>
    <w:p w14:paraId="36665CDD"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Pedro Caraballo</w:t>
      </w:r>
    </w:p>
    <w:p w14:paraId="100556DD"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Mayo/JHU</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Chris Chute</w:t>
      </w:r>
    </w:p>
    <w:p w14:paraId="37E22830"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Iftikhar Kullo</w:t>
      </w:r>
    </w:p>
    <w:p w14:paraId="7A2C9359"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Jen McCormick</w:t>
      </w:r>
    </w:p>
    <w:p w14:paraId="1B1DBC57"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Jyoti Pathak</w:t>
      </w:r>
    </w:p>
    <w:p w14:paraId="5ECF0495"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Mayo</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Carolyn Vitek</w:t>
      </w:r>
    </w:p>
    <w:p w14:paraId="46EFC40F" w14:textId="77777777" w:rsidR="00E13711" w:rsidRPr="00E13711" w:rsidRDefault="00E13711" w:rsidP="00E13711">
      <w:pPr>
        <w:spacing w:after="0" w:line="240" w:lineRule="auto"/>
        <w:rPr>
          <w:rFonts w:ascii="Cambria" w:eastAsia="Times New Roman" w:hAnsi="Cambria" w:cs="Times New Roman"/>
          <w:sz w:val="18"/>
          <w:szCs w:val="18"/>
        </w:rPr>
      </w:pPr>
    </w:p>
    <w:p w14:paraId="77415DEB"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Noura Abul-Husn</w:t>
      </w:r>
    </w:p>
    <w:p w14:paraId="21BD04D9"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                                      Erwin Bottinger</w:t>
      </w:r>
    </w:p>
    <w:p w14:paraId="6B6FB1B3"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Stephen Ellis</w:t>
      </w:r>
    </w:p>
    <w:p w14:paraId="37011B0F"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Genevieve Galarneau</w:t>
      </w:r>
    </w:p>
    <w:p w14:paraId="4077F22E"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Carol Horowitz</w:t>
      </w:r>
    </w:p>
    <w:p w14:paraId="54929F7C"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Sinai/Columbia</w:t>
      </w:r>
      <w:r w:rsidRPr="00E13711">
        <w:rPr>
          <w:rFonts w:ascii="Cambria" w:eastAsia="Times New Roman" w:hAnsi="Cambria" w:cs="Times New Roman"/>
          <w:sz w:val="18"/>
          <w:szCs w:val="18"/>
        </w:rPr>
        <w:tab/>
        <w:t>George Hripcsak</w:t>
      </w:r>
    </w:p>
    <w:p w14:paraId="17FD2A8C"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Eimear Kenny</w:t>
      </w:r>
    </w:p>
    <w:p w14:paraId="6655EFCF"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Ana Mejia</w:t>
      </w:r>
    </w:p>
    <w:p w14:paraId="09DDC5D3"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 xml:space="preserve">Girish </w:t>
      </w:r>
      <w:proofErr w:type="spellStart"/>
      <w:r w:rsidRPr="00E13711">
        <w:rPr>
          <w:rFonts w:ascii="Cambria" w:eastAsia="Times New Roman" w:hAnsi="Cambria" w:cs="Times New Roman"/>
          <w:sz w:val="18"/>
          <w:szCs w:val="18"/>
        </w:rPr>
        <w:t>Nadkarni</w:t>
      </w:r>
      <w:proofErr w:type="spellEnd"/>
    </w:p>
    <w:p w14:paraId="1BFAD92A"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lastRenderedPageBreak/>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 xml:space="preserve">Aniwaa </w:t>
      </w:r>
      <w:proofErr w:type="spellStart"/>
      <w:r w:rsidRPr="00E13711">
        <w:rPr>
          <w:rFonts w:ascii="Cambria" w:eastAsia="Times New Roman" w:hAnsi="Cambria" w:cs="Times New Roman"/>
          <w:sz w:val="18"/>
          <w:szCs w:val="18"/>
        </w:rPr>
        <w:t>Owusu</w:t>
      </w:r>
      <w:proofErr w:type="spellEnd"/>
      <w:r w:rsidRPr="00E13711">
        <w:rPr>
          <w:rFonts w:ascii="Cambria" w:eastAsia="Times New Roman" w:hAnsi="Cambria" w:cs="Times New Roman"/>
          <w:sz w:val="18"/>
          <w:szCs w:val="18"/>
        </w:rPr>
        <w:t xml:space="preserve"> </w:t>
      </w:r>
      <w:proofErr w:type="spellStart"/>
      <w:r w:rsidRPr="00E13711">
        <w:rPr>
          <w:rFonts w:ascii="Cambria" w:eastAsia="Times New Roman" w:hAnsi="Cambria" w:cs="Times New Roman"/>
          <w:sz w:val="18"/>
          <w:szCs w:val="18"/>
        </w:rPr>
        <w:t>Obeng</w:t>
      </w:r>
      <w:proofErr w:type="spellEnd"/>
    </w:p>
    <w:p w14:paraId="0169EBDD"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Michelle Ramos</w:t>
      </w:r>
      <w:r w:rsidRPr="00E13711">
        <w:rPr>
          <w:rFonts w:ascii="Cambria" w:eastAsia="Times New Roman" w:hAnsi="Cambria" w:cs="Times New Roman"/>
          <w:sz w:val="18"/>
          <w:szCs w:val="18"/>
        </w:rPr>
        <w:tab/>
      </w:r>
    </w:p>
    <w:p w14:paraId="578A3B53"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Mt. Sinai/Columbia</w:t>
      </w:r>
      <w:r w:rsidRPr="00E13711">
        <w:rPr>
          <w:rFonts w:ascii="Cambria" w:eastAsia="Times New Roman" w:hAnsi="Cambria" w:cs="Times New Roman"/>
          <w:sz w:val="18"/>
          <w:szCs w:val="18"/>
        </w:rPr>
        <w:tab/>
        <w:t>Chunhua Weng</w:t>
      </w:r>
    </w:p>
    <w:p w14:paraId="6D12C847" w14:textId="77777777" w:rsidR="00E13711" w:rsidRPr="00E13711" w:rsidRDefault="00E13711" w:rsidP="00E13711">
      <w:pPr>
        <w:spacing w:after="0" w:line="240" w:lineRule="auto"/>
        <w:rPr>
          <w:rFonts w:ascii="Cambria" w:eastAsia="Times New Roman" w:hAnsi="Cambria" w:cs="Times New Roman"/>
          <w:sz w:val="18"/>
          <w:szCs w:val="18"/>
        </w:rPr>
      </w:pPr>
    </w:p>
    <w:p w14:paraId="049A2B08"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Northwestern</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Rex Chisholm</w:t>
      </w:r>
    </w:p>
    <w:p w14:paraId="2971804A"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Northwestern</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Tim Herr</w:t>
      </w:r>
    </w:p>
    <w:p w14:paraId="02535B1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Northwestern</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Luke Rasmussen</w:t>
      </w:r>
    </w:p>
    <w:p w14:paraId="52D98041"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Northwestern</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Laura Rasmussen-Torvik</w:t>
      </w:r>
    </w:p>
    <w:p w14:paraId="7D1A18BA"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Northwestern</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Maureen Smith</w:t>
      </w:r>
    </w:p>
    <w:p w14:paraId="6D33839D"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Northwestern</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Justin Starren</w:t>
      </w:r>
    </w:p>
    <w:p w14:paraId="6C4D1B8A" w14:textId="77777777" w:rsidR="00E13711" w:rsidRPr="00E13711" w:rsidRDefault="00E13711" w:rsidP="00E13711">
      <w:pPr>
        <w:spacing w:after="0" w:line="240" w:lineRule="auto"/>
        <w:rPr>
          <w:rFonts w:ascii="Cambria" w:eastAsia="Times New Roman" w:hAnsi="Cambria" w:cs="Times New Roman"/>
          <w:sz w:val="18"/>
          <w:szCs w:val="18"/>
        </w:rPr>
      </w:pPr>
    </w:p>
    <w:p w14:paraId="65266090"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NHGRI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Rongling Li</w:t>
      </w:r>
    </w:p>
    <w:p w14:paraId="0C534FA7"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NHGRI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Teri Manolio</w:t>
      </w:r>
    </w:p>
    <w:p w14:paraId="73237D40"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NHGRI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Ken Wiley</w:t>
      </w:r>
    </w:p>
    <w:p w14:paraId="3388FA4F"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NHGRI</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Kira Wong</w:t>
      </w:r>
    </w:p>
    <w:p w14:paraId="28F77E7E" w14:textId="77777777" w:rsidR="00E13711" w:rsidRPr="00E13711" w:rsidRDefault="00E13711" w:rsidP="00E13711">
      <w:pPr>
        <w:spacing w:after="0" w:line="240" w:lineRule="auto"/>
        <w:rPr>
          <w:rFonts w:ascii="Cambria" w:eastAsia="Times New Roman" w:hAnsi="Cambria" w:cs="Times New Roman"/>
          <w:sz w:val="18"/>
          <w:szCs w:val="18"/>
        </w:rPr>
      </w:pPr>
    </w:p>
    <w:p w14:paraId="39BC80CA"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Vanderbilt/CC</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Josh Denny</w:t>
      </w:r>
    </w:p>
    <w:p w14:paraId="0FA5972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Vanderbilt</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Todd Edwards</w:t>
      </w:r>
    </w:p>
    <w:p w14:paraId="5EA3AD58"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Vanderbilt</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Tracy McGregor</w:t>
      </w:r>
    </w:p>
    <w:p w14:paraId="483DF970"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Vanderbilt</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Josh Peterson</w:t>
      </w:r>
    </w:p>
    <w:p w14:paraId="0C9709D1"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Vanderbilt</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Dan Roden</w:t>
      </w:r>
    </w:p>
    <w:p w14:paraId="19605F62"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Vanderbilt/CC</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Sarah Stallings</w:t>
      </w:r>
    </w:p>
    <w:p w14:paraId="2137FEE1"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Vanderbilt</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Digna Velez-Edwards</w:t>
      </w:r>
    </w:p>
    <w:p w14:paraId="7C39D421" w14:textId="77777777" w:rsidR="00E13711" w:rsidRPr="00E13711" w:rsidRDefault="00E13711" w:rsidP="00E13711">
      <w:pPr>
        <w:spacing w:after="0" w:line="240" w:lineRule="auto"/>
        <w:rPr>
          <w:rFonts w:ascii="Cambria" w:eastAsia="Times New Roman" w:hAnsi="Cambria" w:cs="Times New Roman"/>
          <w:sz w:val="18"/>
          <w:szCs w:val="18"/>
        </w:rPr>
      </w:pPr>
    </w:p>
    <w:p w14:paraId="518BE063"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Melissa Basford</w:t>
      </w:r>
    </w:p>
    <w:p w14:paraId="7E2C0D1A"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Adam Hardebeck</w:t>
      </w:r>
    </w:p>
    <w:p w14:paraId="7AFFA829"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Paul Harris</w:t>
      </w:r>
    </w:p>
    <w:p w14:paraId="3CE327B4"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rPr>
        <w:t>CC/Vanderbilt</w:t>
      </w:r>
      <w:r w:rsidRPr="00E13711">
        <w:rPr>
          <w:rFonts w:ascii="Cambria" w:eastAsia="Times New Roman" w:hAnsi="Cambria" w:cs="Times New Roman"/>
          <w:sz w:val="18"/>
          <w:szCs w:val="18"/>
        </w:rPr>
        <w:tab/>
      </w:r>
      <w:r w:rsidRPr="00E13711">
        <w:rPr>
          <w:rFonts w:ascii="Cambria" w:eastAsia="Times New Roman" w:hAnsi="Cambria" w:cs="Times New Roman"/>
          <w:sz w:val="18"/>
          <w:szCs w:val="18"/>
        </w:rPr>
        <w:tab/>
        <w:t>Bradley Malin</w:t>
      </w:r>
    </w:p>
    <w:p w14:paraId="7176F323" w14:textId="77777777" w:rsidR="00E13711" w:rsidRPr="00E13711" w:rsidRDefault="00E13711" w:rsidP="00E13711">
      <w:pPr>
        <w:spacing w:after="0" w:line="240" w:lineRule="auto"/>
        <w:rPr>
          <w:rFonts w:ascii="Cambria" w:eastAsia="Times New Roman" w:hAnsi="Cambria" w:cs="Times New Roman"/>
          <w:sz w:val="18"/>
          <w:szCs w:val="18"/>
          <w:highlight w:val="lightGray"/>
        </w:rPr>
      </w:pPr>
    </w:p>
    <w:p w14:paraId="7B5A823E" w14:textId="77777777" w:rsidR="00E13711" w:rsidRPr="00E13711" w:rsidRDefault="00E13711" w:rsidP="00E13711">
      <w:pPr>
        <w:spacing w:after="0" w:line="240" w:lineRule="auto"/>
        <w:rPr>
          <w:rFonts w:ascii="Cambria" w:eastAsia="Times New Roman" w:hAnsi="Cambria" w:cs="Times New Roman"/>
          <w:sz w:val="18"/>
          <w:szCs w:val="18"/>
          <w:highlight w:val="lightGray"/>
        </w:rPr>
      </w:pPr>
    </w:p>
    <w:p w14:paraId="5A438087" w14:textId="77777777" w:rsidR="00E13711" w:rsidRPr="00E13711" w:rsidRDefault="00E13711" w:rsidP="00E13711">
      <w:pPr>
        <w:spacing w:after="0" w:line="240" w:lineRule="auto"/>
        <w:rPr>
          <w:rFonts w:ascii="Cambria" w:eastAsia="Times New Roman" w:hAnsi="Cambria" w:cs="Times New Roman"/>
          <w:sz w:val="18"/>
          <w:szCs w:val="18"/>
        </w:rPr>
      </w:pPr>
      <w:r w:rsidRPr="00E13711">
        <w:rPr>
          <w:rFonts w:ascii="Cambria" w:eastAsia="Times New Roman" w:hAnsi="Cambria" w:cs="Times New Roman"/>
          <w:sz w:val="18"/>
          <w:szCs w:val="18"/>
          <w:highlight w:val="lightGray"/>
        </w:rPr>
        <w:t>Network Invitees and Guests</w:t>
      </w:r>
    </w:p>
    <w:p w14:paraId="6AA6AC8F" w14:textId="77777777" w:rsidR="00E13711" w:rsidRPr="00E13711" w:rsidRDefault="00E13711" w:rsidP="00E13711">
      <w:pPr>
        <w:spacing w:after="0" w:line="240" w:lineRule="auto"/>
        <w:rPr>
          <w:rFonts w:ascii="Cambria" w:eastAsia="Times New Roman" w:hAnsi="Cambria" w:cs="Times New Roman"/>
          <w:sz w:val="18"/>
          <w:szCs w:val="18"/>
        </w:rPr>
      </w:pPr>
    </w:p>
    <w:p w14:paraId="1736CAE9" w14:textId="3A2BFF89" w:rsidR="00E13711" w:rsidRPr="00E13711" w:rsidRDefault="00E13711" w:rsidP="00E13711">
      <w:pPr>
        <w:spacing w:after="0" w:line="240" w:lineRule="auto"/>
        <w:rPr>
          <w:rFonts w:ascii="Cambria" w:eastAsia="Times New Roman" w:hAnsi="Cambria" w:cs="Times New Roman"/>
          <w:sz w:val="18"/>
          <w:szCs w:val="18"/>
        </w:rPr>
        <w:sectPr w:rsidR="00E13711" w:rsidRPr="00E13711" w:rsidSect="008A205B">
          <w:type w:val="continuous"/>
          <w:pgSz w:w="12240" w:h="15840"/>
          <w:pgMar w:top="720" w:right="720" w:bottom="270" w:left="720" w:header="720" w:footer="720" w:gutter="0"/>
          <w:cols w:num="2" w:space="720"/>
          <w:docGrid w:linePitch="360"/>
        </w:sectPr>
      </w:pPr>
      <w:r w:rsidRPr="00E13711">
        <w:rPr>
          <w:rFonts w:ascii="Cambria" w:eastAsia="Times New Roman" w:hAnsi="Cambria" w:cs="Times New Roman"/>
          <w:sz w:val="18"/>
          <w:szCs w:val="18"/>
        </w:rPr>
        <w:t>Aurora Research</w:t>
      </w:r>
      <w:r>
        <w:rPr>
          <w:rFonts w:ascii="Cambria" w:eastAsia="Times New Roman" w:hAnsi="Cambria" w:cs="Times New Roman"/>
          <w:sz w:val="18"/>
          <w:szCs w:val="18"/>
        </w:rPr>
        <w:t xml:space="preserve"> Institute</w:t>
      </w:r>
      <w:r>
        <w:rPr>
          <w:rFonts w:ascii="Cambria" w:eastAsia="Times New Roman" w:hAnsi="Cambria" w:cs="Times New Roman"/>
          <w:sz w:val="18"/>
          <w:szCs w:val="18"/>
        </w:rPr>
        <w:tab/>
        <w:t>Michael Michalkiewicz</w:t>
      </w:r>
    </w:p>
    <w:tbl>
      <w:tblPr>
        <w:tblW w:w="11179" w:type="dxa"/>
        <w:tblInd w:w="-900" w:type="dxa"/>
        <w:tblCellMar>
          <w:left w:w="0" w:type="dxa"/>
          <w:right w:w="0" w:type="dxa"/>
        </w:tblCellMar>
        <w:tblLook w:val="04A0" w:firstRow="1" w:lastRow="0" w:firstColumn="1" w:lastColumn="0" w:noHBand="0" w:noVBand="1"/>
      </w:tblPr>
      <w:tblGrid>
        <w:gridCol w:w="11179"/>
      </w:tblGrid>
      <w:tr w:rsidR="00B25B6C" w:rsidRPr="00B25B6C" w14:paraId="24EB00E8" w14:textId="77777777" w:rsidTr="008A205B">
        <w:trPr>
          <w:trHeight w:val="1210"/>
        </w:trPr>
        <w:tc>
          <w:tcPr>
            <w:tcW w:w="11179" w:type="dxa"/>
            <w:tcBorders>
              <w:top w:val="double" w:sz="4" w:space="0" w:color="auto"/>
              <w:bottom w:val="double" w:sz="4" w:space="0" w:color="auto"/>
            </w:tcBorders>
            <w:shd w:val="clear" w:color="auto" w:fill="auto"/>
            <w:tcMar>
              <w:top w:w="29" w:type="dxa"/>
              <w:left w:w="29" w:type="dxa"/>
              <w:bottom w:w="29" w:type="dxa"/>
              <w:right w:w="29" w:type="dxa"/>
            </w:tcMar>
          </w:tcPr>
          <w:p w14:paraId="059E4C8A" w14:textId="19C11A70" w:rsidR="00B25B6C" w:rsidRPr="00B25B6C" w:rsidRDefault="00B25B6C" w:rsidP="004E15A3">
            <w:pPr>
              <w:spacing w:before="120" w:after="120" w:line="276" w:lineRule="auto"/>
              <w:jc w:val="center"/>
              <w:rPr>
                <w:rFonts w:ascii="Calibri" w:eastAsia="Calibri" w:hAnsi="Calibri" w:cs="Times New Roman"/>
                <w:color w:val="0000FF"/>
                <w:sz w:val="26"/>
                <w:szCs w:val="26"/>
                <w:u w:val="single"/>
              </w:rPr>
            </w:pPr>
            <w:r w:rsidRPr="00B25B6C">
              <w:rPr>
                <w:rFonts w:ascii="Cambria" w:eastAsia="Calibri" w:hAnsi="Cambria" w:cs="Times New Roman"/>
                <w:b/>
                <w:sz w:val="32"/>
                <w:szCs w:val="32"/>
              </w:rPr>
              <w:lastRenderedPageBreak/>
              <w:t>eMERGE Network</w:t>
            </w:r>
            <w:r w:rsidRPr="00B25B6C">
              <w:rPr>
                <w:rFonts w:ascii="Cambria" w:eastAsia="Calibri" w:hAnsi="Cambria" w:cs="Times New Roman"/>
                <w:sz w:val="26"/>
                <w:szCs w:val="26"/>
              </w:rPr>
              <w:br/>
            </w:r>
            <w:r w:rsidRPr="00B25B6C">
              <w:rPr>
                <w:rFonts w:ascii="Cambria" w:eastAsia="Calibri" w:hAnsi="Cambria" w:cs="Times New Roman"/>
                <w:b/>
                <w:bCs/>
                <w:i/>
                <w:sz w:val="28"/>
                <w:szCs w:val="26"/>
              </w:rPr>
              <w:t>Summary of the eMERGE Steering Committee</w:t>
            </w:r>
            <w:r w:rsidRPr="00B25B6C">
              <w:rPr>
                <w:rFonts w:ascii="Cambria" w:eastAsia="Calibri" w:hAnsi="Cambria" w:cs="Times New Roman"/>
                <w:sz w:val="28"/>
                <w:szCs w:val="26"/>
              </w:rPr>
              <w:br/>
            </w:r>
            <w:r w:rsidR="004E15A3">
              <w:rPr>
                <w:rFonts w:ascii="Cambria" w:eastAsia="Calibri" w:hAnsi="Cambria" w:cs="Times New Roman"/>
                <w:sz w:val="26"/>
                <w:szCs w:val="26"/>
              </w:rPr>
              <w:t>June 29-30</w:t>
            </w:r>
            <w:r w:rsidR="004E15A3" w:rsidRPr="004E15A3">
              <w:rPr>
                <w:rFonts w:ascii="Cambria" w:eastAsia="Calibri" w:hAnsi="Cambria" w:cs="Times New Roman"/>
                <w:sz w:val="26"/>
                <w:szCs w:val="26"/>
                <w:vertAlign w:val="superscript"/>
              </w:rPr>
              <w:t>th</w:t>
            </w:r>
            <w:r w:rsidR="004E15A3">
              <w:rPr>
                <w:rFonts w:ascii="Cambria" w:eastAsia="Calibri" w:hAnsi="Cambria" w:cs="Times New Roman"/>
                <w:sz w:val="26"/>
                <w:szCs w:val="26"/>
              </w:rPr>
              <w:t>, 2015</w:t>
            </w:r>
            <w:r w:rsidRPr="00B25B6C">
              <w:rPr>
                <w:rFonts w:ascii="Cambria" w:eastAsia="Calibri" w:hAnsi="Cambria" w:cs="Times New Roman"/>
                <w:sz w:val="26"/>
                <w:szCs w:val="26"/>
              </w:rPr>
              <w:t xml:space="preserve">; </w:t>
            </w:r>
            <w:r w:rsidR="004E15A3">
              <w:rPr>
                <w:rFonts w:ascii="Cambria" w:eastAsia="Calibri" w:hAnsi="Cambria" w:cs="Times New Roman"/>
                <w:sz w:val="26"/>
                <w:szCs w:val="26"/>
              </w:rPr>
              <w:t>New York</w:t>
            </w:r>
          </w:p>
        </w:tc>
      </w:tr>
      <w:tr w:rsidR="00B25B6C" w:rsidRPr="00B25B6C" w14:paraId="0AF748DC" w14:textId="77777777" w:rsidTr="008A205B">
        <w:trPr>
          <w:trHeight w:val="202"/>
        </w:trPr>
        <w:tc>
          <w:tcPr>
            <w:tcW w:w="11179" w:type="dxa"/>
            <w:tcBorders>
              <w:top w:val="double" w:sz="4" w:space="0" w:color="auto"/>
              <w:bottom w:val="single" w:sz="8" w:space="0" w:color="auto"/>
            </w:tcBorders>
            <w:shd w:val="clear" w:color="auto" w:fill="auto"/>
            <w:tcMar>
              <w:top w:w="29" w:type="dxa"/>
              <w:left w:w="29" w:type="dxa"/>
              <w:bottom w:w="29" w:type="dxa"/>
              <w:right w:w="29" w:type="dxa"/>
            </w:tcMar>
          </w:tcPr>
          <w:p w14:paraId="668E95A7" w14:textId="77777777" w:rsidR="00B25B6C" w:rsidRPr="00B25B6C" w:rsidRDefault="00B25B6C" w:rsidP="00B25B6C">
            <w:pPr>
              <w:spacing w:before="120" w:after="120" w:line="240" w:lineRule="auto"/>
              <w:rPr>
                <w:rFonts w:ascii="Cambria" w:eastAsia="Times New Roman" w:hAnsi="Cambria" w:cs="Times New Roman"/>
                <w:sz w:val="24"/>
                <w:szCs w:val="24"/>
              </w:rPr>
            </w:pPr>
            <w:proofErr w:type="gramStart"/>
            <w:r w:rsidRPr="00B25B6C">
              <w:rPr>
                <w:rFonts w:ascii="Cambria" w:eastAsia="Times New Roman" w:hAnsi="Cambria" w:cs="Times New Roman"/>
                <w:sz w:val="24"/>
                <w:szCs w:val="24"/>
              </w:rPr>
              <w:t>The eMERGE</w:t>
            </w:r>
            <w:proofErr w:type="gramEnd"/>
            <w:r w:rsidRPr="00B25B6C">
              <w:rPr>
                <w:rFonts w:ascii="Cambria" w:eastAsia="Times New Roman" w:hAnsi="Cambria" w:cs="Times New Roman"/>
                <w:sz w:val="24"/>
                <w:szCs w:val="24"/>
              </w:rPr>
              <w:t xml:space="preserve"> Steering Committee Meeting was held on </w:t>
            </w:r>
            <w:r w:rsidR="004E15A3">
              <w:rPr>
                <w:rFonts w:ascii="Cambria" w:eastAsia="Times New Roman" w:hAnsi="Cambria" w:cs="Times New Roman"/>
                <w:sz w:val="24"/>
                <w:szCs w:val="24"/>
              </w:rPr>
              <w:t>June 29-30</w:t>
            </w:r>
            <w:r w:rsidR="004E15A3" w:rsidRPr="004E15A3">
              <w:rPr>
                <w:rFonts w:ascii="Cambria" w:eastAsia="Times New Roman" w:hAnsi="Cambria" w:cs="Times New Roman"/>
                <w:sz w:val="24"/>
                <w:szCs w:val="24"/>
                <w:vertAlign w:val="superscript"/>
              </w:rPr>
              <w:t>th</w:t>
            </w:r>
            <w:r w:rsidR="004E15A3">
              <w:rPr>
                <w:rFonts w:ascii="Cambria" w:eastAsia="Times New Roman" w:hAnsi="Cambria" w:cs="Times New Roman"/>
                <w:sz w:val="24"/>
                <w:szCs w:val="24"/>
              </w:rPr>
              <w:t>, 2015 in New York, New York</w:t>
            </w:r>
            <w:r w:rsidRPr="00B25B6C">
              <w:rPr>
                <w:rFonts w:ascii="Cambria" w:eastAsia="Times New Roman" w:hAnsi="Cambria" w:cs="Times New Roman"/>
                <w:sz w:val="24"/>
                <w:szCs w:val="24"/>
              </w:rPr>
              <w:t>. In order to ensure that the Network remains productive as we continue through our final year, please find highlights from the Steering Committee Meeting below. </w:t>
            </w:r>
          </w:p>
          <w:p w14:paraId="07100B8D" w14:textId="54BAC853" w:rsidR="00B25B6C" w:rsidRPr="00B25B6C" w:rsidRDefault="00B25B6C" w:rsidP="00B25B6C">
            <w:pPr>
              <w:spacing w:before="120" w:after="120" w:line="240" w:lineRule="auto"/>
              <w:rPr>
                <w:rFonts w:ascii="Cambria" w:eastAsia="Times New Roman" w:hAnsi="Cambria" w:cs="Times New Roman"/>
                <w:sz w:val="24"/>
                <w:szCs w:val="24"/>
              </w:rPr>
            </w:pPr>
            <w:r w:rsidRPr="00B25B6C">
              <w:rPr>
                <w:rFonts w:ascii="Cambria" w:eastAsia="Times New Roman" w:hAnsi="Cambria" w:cs="Times New Roman"/>
                <w:sz w:val="24"/>
                <w:szCs w:val="24"/>
              </w:rPr>
              <w:t xml:space="preserve">Presentation slides are </w:t>
            </w:r>
            <w:hyperlink r:id="rId9" w:history="1">
              <w:r w:rsidRPr="00A50476">
                <w:rPr>
                  <w:rStyle w:val="Hyperlink"/>
                  <w:rFonts w:ascii="Cambria" w:eastAsia="Times New Roman" w:hAnsi="Cambria" w:cs="Times New Roman"/>
                  <w:sz w:val="24"/>
                  <w:szCs w:val="24"/>
                </w:rPr>
                <w:t>available here</w:t>
              </w:r>
            </w:hyperlink>
            <w:r w:rsidRPr="004E15A3">
              <w:rPr>
                <w:rFonts w:ascii="Cambria" w:eastAsia="Times New Roman" w:hAnsi="Cambria" w:cs="Times New Roman"/>
                <w:sz w:val="24"/>
                <w:szCs w:val="24"/>
              </w:rPr>
              <w:t xml:space="preserve"> </w:t>
            </w:r>
            <w:r w:rsidRPr="00B25B6C">
              <w:rPr>
                <w:rFonts w:ascii="Cambria" w:eastAsia="Times New Roman" w:hAnsi="Cambria" w:cs="Times New Roman"/>
                <w:sz w:val="24"/>
                <w:szCs w:val="24"/>
              </w:rPr>
              <w:t>(login required) and are also linked within the meeting summary below. </w:t>
            </w:r>
          </w:p>
          <w:p w14:paraId="0D97D892" w14:textId="77777777" w:rsidR="00B25B6C" w:rsidRPr="00B25B6C" w:rsidRDefault="00B25B6C" w:rsidP="00B25B6C">
            <w:pPr>
              <w:spacing w:before="120" w:after="120" w:line="240" w:lineRule="auto"/>
              <w:rPr>
                <w:rFonts w:ascii="Cambria" w:eastAsia="Times New Roman" w:hAnsi="Cambria" w:cs="Times New Roman"/>
                <w:i/>
                <w:sz w:val="24"/>
                <w:szCs w:val="24"/>
              </w:rPr>
            </w:pPr>
            <w:r w:rsidRPr="00B25B6C">
              <w:rPr>
                <w:rFonts w:ascii="Cambria" w:eastAsia="Times New Roman" w:hAnsi="Cambria" w:cs="Times New Roman"/>
                <w:i/>
                <w:sz w:val="24"/>
                <w:szCs w:val="24"/>
              </w:rPr>
              <w:t>Goals for the meeting:</w:t>
            </w:r>
          </w:p>
          <w:p w14:paraId="155C234C" w14:textId="77777777" w:rsidR="00B25B6C" w:rsidRDefault="002029AB" w:rsidP="004E15A3">
            <w:pPr>
              <w:numPr>
                <w:ilvl w:val="0"/>
                <w:numId w:val="2"/>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Scientific Presentations and discussions</w:t>
            </w:r>
          </w:p>
          <w:p w14:paraId="0AC2CE50" w14:textId="77777777" w:rsidR="002029AB" w:rsidRDefault="002029AB" w:rsidP="004E15A3">
            <w:pPr>
              <w:numPr>
                <w:ilvl w:val="0"/>
                <w:numId w:val="2"/>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Network projects update</w:t>
            </w:r>
          </w:p>
          <w:p w14:paraId="6E719346" w14:textId="77777777" w:rsidR="002029AB" w:rsidRDefault="002029AB" w:rsidP="002029AB">
            <w:pPr>
              <w:numPr>
                <w:ilvl w:val="1"/>
                <w:numId w:val="2"/>
              </w:numPr>
              <w:spacing w:after="0" w:line="240" w:lineRule="auto"/>
              <w:rPr>
                <w:rFonts w:ascii="Cambria" w:eastAsia="Times New Roman" w:hAnsi="Cambria" w:cs="Times New Roman"/>
                <w:sz w:val="24"/>
                <w:szCs w:val="24"/>
              </w:rPr>
            </w:pPr>
            <w:proofErr w:type="spellStart"/>
            <w:r>
              <w:rPr>
                <w:rFonts w:ascii="Cambria" w:eastAsia="Times New Roman" w:hAnsi="Cambria" w:cs="Times New Roman"/>
                <w:sz w:val="24"/>
                <w:szCs w:val="24"/>
              </w:rPr>
              <w:t>PGx</w:t>
            </w:r>
            <w:proofErr w:type="spellEnd"/>
          </w:p>
          <w:p w14:paraId="162BD7D2" w14:textId="77777777" w:rsidR="002029AB" w:rsidRDefault="002029AB" w:rsidP="002029AB">
            <w:pPr>
              <w:numPr>
                <w:ilvl w:val="1"/>
                <w:numId w:val="2"/>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CERC Survey</w:t>
            </w:r>
          </w:p>
          <w:p w14:paraId="2B0362A4" w14:textId="77777777" w:rsidR="002029AB" w:rsidRDefault="002029AB" w:rsidP="002029AB">
            <w:pPr>
              <w:numPr>
                <w:ilvl w:val="0"/>
                <w:numId w:val="2"/>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Sites’ accomplishment reports</w:t>
            </w:r>
          </w:p>
          <w:p w14:paraId="3BEBEEC4" w14:textId="77777777" w:rsidR="002029AB" w:rsidRDefault="002029AB" w:rsidP="002029AB">
            <w:pPr>
              <w:numPr>
                <w:ilvl w:val="0"/>
                <w:numId w:val="2"/>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Workgroup achievement reports</w:t>
            </w:r>
          </w:p>
          <w:p w14:paraId="6533B017" w14:textId="1121AC0D" w:rsidR="002029AB" w:rsidRPr="004E15A3" w:rsidRDefault="00E13711" w:rsidP="002029AB">
            <w:pPr>
              <w:numPr>
                <w:ilvl w:val="0"/>
                <w:numId w:val="2"/>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Coordinating Center Report</w:t>
            </w:r>
          </w:p>
        </w:tc>
      </w:tr>
      <w:tr w:rsidR="00B25B6C" w:rsidRPr="00B25B6C" w14:paraId="292DA1A8" w14:textId="77777777" w:rsidTr="00B25B6C">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B2A1C7"/>
            <w:tcMar>
              <w:top w:w="58" w:type="dxa"/>
              <w:left w:w="86" w:type="dxa"/>
              <w:bottom w:w="58" w:type="dxa"/>
              <w:right w:w="86" w:type="dxa"/>
            </w:tcMar>
            <w:vAlign w:val="center"/>
          </w:tcPr>
          <w:p w14:paraId="4BB2E5FB" w14:textId="6E67D13B" w:rsidR="00B25B6C" w:rsidRPr="00B25B6C" w:rsidRDefault="00743B73" w:rsidP="00743B73">
            <w:pPr>
              <w:spacing w:before="120" w:after="120" w:line="240" w:lineRule="auto"/>
              <w:rPr>
                <w:rFonts w:ascii="Cambria" w:eastAsia="Calibri" w:hAnsi="Cambria" w:cs="Times New Roman"/>
                <w:b/>
                <w:bCs/>
              </w:rPr>
            </w:pPr>
            <w:r>
              <w:rPr>
                <w:rFonts w:ascii="Cambria" w:eastAsia="Calibri" w:hAnsi="Cambria" w:cs="Times New Roman"/>
                <w:b/>
                <w:bCs/>
              </w:rPr>
              <w:t>Day 1: Full-day Session</w:t>
            </w:r>
          </w:p>
        </w:tc>
      </w:tr>
      <w:tr w:rsidR="00B25B6C" w:rsidRPr="00B25B6C" w14:paraId="01CD8F2F" w14:textId="77777777" w:rsidTr="008A205B">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auto"/>
            <w:tcMar>
              <w:top w:w="58" w:type="dxa"/>
              <w:left w:w="86" w:type="dxa"/>
              <w:bottom w:w="58" w:type="dxa"/>
              <w:right w:w="86" w:type="dxa"/>
            </w:tcMar>
            <w:vAlign w:val="center"/>
          </w:tcPr>
          <w:p w14:paraId="569F6AD8" w14:textId="7016076E" w:rsidR="00B25B6C" w:rsidRDefault="00B25B6C" w:rsidP="003127C2">
            <w:pPr>
              <w:shd w:val="clear" w:color="auto" w:fill="FFFFFF"/>
              <w:spacing w:before="120" w:after="120" w:line="240" w:lineRule="auto"/>
              <w:textAlignment w:val="baseline"/>
              <w:rPr>
                <w:rFonts w:ascii="Cambria" w:eastAsia="Calibri" w:hAnsi="Cambria" w:cs="Times New Roman"/>
                <w:i/>
              </w:rPr>
            </w:pPr>
            <w:r w:rsidRPr="00BA6A67">
              <w:rPr>
                <w:rFonts w:ascii="Cambria" w:eastAsia="Calibri" w:hAnsi="Cambria" w:cs="Times New Roman"/>
                <w:u w:val="single"/>
              </w:rPr>
              <w:t>Welcome, Opening Remarks, General Updates</w:t>
            </w:r>
            <w:r w:rsidRPr="00B25B6C">
              <w:rPr>
                <w:rFonts w:ascii="Cambria" w:eastAsia="Calibri" w:hAnsi="Cambria" w:cs="Times New Roman"/>
              </w:rPr>
              <w:t xml:space="preserve"> – </w:t>
            </w:r>
            <w:r w:rsidRPr="00B25B6C">
              <w:rPr>
                <w:rFonts w:ascii="Cambria" w:eastAsia="Calibri" w:hAnsi="Cambria" w:cs="Times New Roman"/>
                <w:i/>
              </w:rPr>
              <w:t>Rongling</w:t>
            </w:r>
            <w:r w:rsidR="003127C2">
              <w:rPr>
                <w:rFonts w:ascii="Cambria" w:eastAsia="Calibri" w:hAnsi="Cambria" w:cs="Times New Roman"/>
                <w:i/>
              </w:rPr>
              <w:t xml:space="preserve"> Li</w:t>
            </w:r>
          </w:p>
          <w:p w14:paraId="3CD2BEE1" w14:textId="6BD4CE6E" w:rsidR="002029AB" w:rsidRPr="002029AB" w:rsidRDefault="002029AB" w:rsidP="00BA6A67">
            <w:pPr>
              <w:numPr>
                <w:ilvl w:val="0"/>
                <w:numId w:val="5"/>
              </w:numPr>
              <w:shd w:val="clear" w:color="auto" w:fill="FFFFFF"/>
              <w:spacing w:after="0" w:line="240" w:lineRule="auto"/>
              <w:textAlignment w:val="baseline"/>
              <w:rPr>
                <w:rFonts w:ascii="Cambria" w:eastAsia="Calibri" w:hAnsi="Cambria" w:cs="Times New Roman"/>
                <w:i/>
              </w:rPr>
            </w:pPr>
            <w:r>
              <w:rPr>
                <w:rFonts w:ascii="Cambria" w:eastAsia="Calibri" w:hAnsi="Cambria" w:cs="Times New Roman"/>
              </w:rPr>
              <w:t xml:space="preserve">There will be two </w:t>
            </w:r>
            <w:r w:rsidR="00A943E7">
              <w:rPr>
                <w:rFonts w:ascii="Cambria" w:eastAsia="Calibri" w:hAnsi="Cambria" w:cs="Times New Roman"/>
              </w:rPr>
              <w:t xml:space="preserve">Precision Medicine Initiative (PMI) </w:t>
            </w:r>
            <w:r>
              <w:rPr>
                <w:rFonts w:ascii="Cambria" w:eastAsia="Calibri" w:hAnsi="Cambria" w:cs="Times New Roman"/>
              </w:rPr>
              <w:t xml:space="preserve">events in July on Participant Engagement and Health Equity, and </w:t>
            </w:r>
            <w:proofErr w:type="spellStart"/>
            <w:r>
              <w:rPr>
                <w:rFonts w:ascii="Cambria" w:eastAsia="Calibri" w:hAnsi="Cambria" w:cs="Times New Roman"/>
              </w:rPr>
              <w:t>mHealth</w:t>
            </w:r>
            <w:proofErr w:type="spellEnd"/>
            <w:r>
              <w:rPr>
                <w:rFonts w:ascii="Cambria" w:eastAsia="Calibri" w:hAnsi="Cambria" w:cs="Times New Roman"/>
              </w:rPr>
              <w:t>.</w:t>
            </w:r>
          </w:p>
          <w:p w14:paraId="6FAA3FF5" w14:textId="77777777" w:rsidR="00BA6A67" w:rsidRPr="00BA6A67" w:rsidRDefault="00515C33" w:rsidP="00BA6A67">
            <w:pPr>
              <w:numPr>
                <w:ilvl w:val="0"/>
                <w:numId w:val="5"/>
              </w:numPr>
              <w:shd w:val="clear" w:color="auto" w:fill="FFFFFF"/>
              <w:spacing w:after="0" w:line="240" w:lineRule="auto"/>
              <w:textAlignment w:val="baseline"/>
              <w:rPr>
                <w:rFonts w:ascii="Cambria" w:eastAsia="Calibri" w:hAnsi="Cambria" w:cs="Times New Roman"/>
                <w:i/>
              </w:rPr>
            </w:pPr>
            <w:r>
              <w:rPr>
                <w:rFonts w:ascii="Cambria" w:eastAsia="Calibri" w:hAnsi="Cambria" w:cs="Times New Roman"/>
              </w:rPr>
              <w:t xml:space="preserve">Take </w:t>
            </w:r>
            <w:proofErr w:type="spellStart"/>
            <w:r>
              <w:rPr>
                <w:rFonts w:ascii="Cambria" w:eastAsia="Calibri" w:hAnsi="Cambria" w:cs="Times New Roman"/>
              </w:rPr>
              <w:t>aways</w:t>
            </w:r>
            <w:proofErr w:type="spellEnd"/>
            <w:r>
              <w:rPr>
                <w:rFonts w:ascii="Cambria" w:eastAsia="Calibri" w:hAnsi="Cambria" w:cs="Times New Roman"/>
              </w:rPr>
              <w:t xml:space="preserve"> from this meeting</w:t>
            </w:r>
            <w:r w:rsidR="00BA6A67">
              <w:rPr>
                <w:rFonts w:ascii="Cambria" w:eastAsia="Calibri" w:hAnsi="Cambria" w:cs="Times New Roman"/>
              </w:rPr>
              <w:t xml:space="preserve"> include:</w:t>
            </w:r>
          </w:p>
          <w:p w14:paraId="5467938B" w14:textId="3407837D" w:rsidR="00BA6A67" w:rsidRPr="00BA6A67" w:rsidRDefault="00515C33" w:rsidP="00BA6A67">
            <w:pPr>
              <w:numPr>
                <w:ilvl w:val="1"/>
                <w:numId w:val="5"/>
              </w:numPr>
              <w:shd w:val="clear" w:color="auto" w:fill="FFFFFF"/>
              <w:spacing w:after="0" w:line="240" w:lineRule="auto"/>
              <w:textAlignment w:val="baseline"/>
              <w:rPr>
                <w:rFonts w:ascii="Cambria" w:eastAsia="Calibri" w:hAnsi="Cambria" w:cs="Times New Roman"/>
                <w:i/>
              </w:rPr>
            </w:pPr>
            <w:r>
              <w:rPr>
                <w:rFonts w:ascii="Cambria" w:eastAsia="Calibri" w:hAnsi="Cambria" w:cs="Times New Roman"/>
              </w:rPr>
              <w:t>S</w:t>
            </w:r>
            <w:r w:rsidR="002029AB">
              <w:rPr>
                <w:rFonts w:ascii="Cambria" w:eastAsia="Calibri" w:hAnsi="Cambria" w:cs="Times New Roman"/>
              </w:rPr>
              <w:t>ummar</w:t>
            </w:r>
            <w:r>
              <w:rPr>
                <w:rFonts w:ascii="Cambria" w:eastAsia="Calibri" w:hAnsi="Cambria" w:cs="Times New Roman"/>
              </w:rPr>
              <w:t>ize network wide and site specific acco</w:t>
            </w:r>
            <w:r w:rsidR="00BA6A67">
              <w:rPr>
                <w:rFonts w:ascii="Cambria" w:eastAsia="Calibri" w:hAnsi="Cambria" w:cs="Times New Roman"/>
              </w:rPr>
              <w:t>mplishments as Phase II closes</w:t>
            </w:r>
          </w:p>
          <w:p w14:paraId="12A771CF" w14:textId="7FD3240B" w:rsidR="00BA6A67" w:rsidRPr="00BA6A67" w:rsidRDefault="00BA6A67" w:rsidP="00BA6A67">
            <w:pPr>
              <w:numPr>
                <w:ilvl w:val="1"/>
                <w:numId w:val="5"/>
              </w:numPr>
              <w:shd w:val="clear" w:color="auto" w:fill="FFFFFF"/>
              <w:spacing w:after="0" w:line="240" w:lineRule="auto"/>
              <w:textAlignment w:val="baseline"/>
              <w:rPr>
                <w:rFonts w:ascii="Cambria" w:eastAsia="Calibri" w:hAnsi="Cambria" w:cs="Times New Roman"/>
                <w:i/>
              </w:rPr>
            </w:pPr>
            <w:r>
              <w:rPr>
                <w:rFonts w:ascii="Cambria" w:eastAsia="Calibri" w:hAnsi="Cambria" w:cs="Times New Roman"/>
              </w:rPr>
              <w:t>Identify unfinished tasks</w:t>
            </w:r>
          </w:p>
          <w:p w14:paraId="7BF1927B" w14:textId="456311EF" w:rsidR="002029AB" w:rsidRPr="002029AB" w:rsidRDefault="00BA6A67" w:rsidP="00BA6A67">
            <w:pPr>
              <w:numPr>
                <w:ilvl w:val="1"/>
                <w:numId w:val="5"/>
              </w:numPr>
              <w:shd w:val="clear" w:color="auto" w:fill="FFFFFF"/>
              <w:spacing w:after="0" w:line="240" w:lineRule="auto"/>
              <w:textAlignment w:val="baseline"/>
              <w:rPr>
                <w:rFonts w:ascii="Cambria" w:eastAsia="Calibri" w:hAnsi="Cambria" w:cs="Times New Roman"/>
                <w:i/>
              </w:rPr>
            </w:pPr>
            <w:r>
              <w:rPr>
                <w:rFonts w:ascii="Cambria" w:eastAsia="Calibri" w:hAnsi="Cambria" w:cs="Times New Roman"/>
              </w:rPr>
              <w:t>S</w:t>
            </w:r>
            <w:r w:rsidR="00515C33">
              <w:rPr>
                <w:rFonts w:ascii="Cambria" w:eastAsia="Calibri" w:hAnsi="Cambria" w:cs="Times New Roman"/>
              </w:rPr>
              <w:t>etup timeline for completion of eMERGE phase II Projects</w:t>
            </w:r>
          </w:p>
          <w:p w14:paraId="7D8D633A" w14:textId="10FDAE87" w:rsidR="00B25B6C" w:rsidRDefault="00B25B6C" w:rsidP="003127C2">
            <w:pPr>
              <w:shd w:val="clear" w:color="auto" w:fill="FFFFFF"/>
              <w:spacing w:before="120" w:after="120" w:line="240" w:lineRule="auto"/>
              <w:textAlignment w:val="baseline"/>
              <w:rPr>
                <w:rFonts w:ascii="Cambria" w:eastAsia="Calibri" w:hAnsi="Cambria" w:cs="Times New Roman"/>
              </w:rPr>
            </w:pPr>
            <w:r w:rsidRPr="00BA6A67">
              <w:rPr>
                <w:rFonts w:ascii="Cambria" w:eastAsia="Calibri" w:hAnsi="Cambria" w:cs="Times New Roman"/>
                <w:u w:val="single"/>
              </w:rPr>
              <w:t>Announcements, Opening Remarks</w:t>
            </w:r>
            <w:r>
              <w:rPr>
                <w:rFonts w:ascii="Cambria" w:eastAsia="Calibri" w:hAnsi="Cambria" w:cs="Times New Roman"/>
              </w:rPr>
              <w:t xml:space="preserve"> – </w:t>
            </w:r>
            <w:r w:rsidRPr="003606D1">
              <w:rPr>
                <w:rFonts w:ascii="Cambria" w:eastAsia="Calibri" w:hAnsi="Cambria" w:cs="Times New Roman"/>
                <w:i/>
              </w:rPr>
              <w:t>Rex Chisholm</w:t>
            </w:r>
          </w:p>
          <w:p w14:paraId="3424B3AA" w14:textId="00EDDD9A" w:rsidR="00515C33" w:rsidRDefault="008A205B"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focus of the meeting will be on the science of the Network.</w:t>
            </w:r>
          </w:p>
          <w:p w14:paraId="7F0D4384" w14:textId="1FD99BD6" w:rsidR="00515C33" w:rsidRDefault="006C67F9"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This is a c</w:t>
            </w:r>
            <w:r w:rsidR="00515C33">
              <w:rPr>
                <w:rFonts w:ascii="Cambria" w:eastAsia="Calibri" w:hAnsi="Cambria" w:cs="Times New Roman"/>
              </w:rPr>
              <w:t>hance to celebrate all that has been accomplished</w:t>
            </w:r>
            <w:r>
              <w:rPr>
                <w:rFonts w:ascii="Cambria" w:eastAsia="Calibri" w:hAnsi="Cambria" w:cs="Times New Roman"/>
              </w:rPr>
              <w:t>.</w:t>
            </w:r>
          </w:p>
          <w:p w14:paraId="3AE41916" w14:textId="60848894" w:rsidR="00B25B6C" w:rsidRPr="00BC04A5" w:rsidRDefault="00B25B6C" w:rsidP="00BC04A5">
            <w:pPr>
              <w:keepNext/>
              <w:keepLines/>
              <w:spacing w:before="120" w:after="120" w:line="240" w:lineRule="auto"/>
              <w:outlineLvl w:val="0"/>
              <w:rPr>
                <w:rFonts w:ascii="Cambria" w:eastAsia="Times New Roman" w:hAnsi="Cambria" w:cs="Times New Roman"/>
                <w:sz w:val="28"/>
                <w:szCs w:val="28"/>
              </w:rPr>
            </w:pPr>
            <w:r w:rsidRPr="00BC04A5">
              <w:rPr>
                <w:rFonts w:ascii="Cambria" w:eastAsia="Times New Roman" w:hAnsi="Cambria" w:cs="Times New Roman"/>
                <w:sz w:val="28"/>
                <w:szCs w:val="28"/>
              </w:rPr>
              <w:t xml:space="preserve">Presentations </w:t>
            </w:r>
          </w:p>
          <w:p w14:paraId="5BA33DD4" w14:textId="6C4AE9F1" w:rsidR="00B25B6C" w:rsidRPr="00B25B6C" w:rsidRDefault="00515C33" w:rsidP="003127C2">
            <w:p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u w:val="single"/>
                <w:bdr w:val="none" w:sz="0" w:space="0" w:color="auto" w:frame="1"/>
              </w:rPr>
              <w:t>Effect of Disclosure of Genetic Risk for Coronary Heart Disease on Psychosocial Domains, Information Seeking, and Information Sharing</w:t>
            </w:r>
            <w:r w:rsidR="00B25B6C" w:rsidRPr="00B25B6C">
              <w:rPr>
                <w:rFonts w:ascii="Cambria" w:eastAsia="Calibri" w:hAnsi="Cambria" w:cs="Times New Roman"/>
              </w:rPr>
              <w:t xml:space="preserve">– </w:t>
            </w:r>
            <w:r w:rsidR="003127C2">
              <w:rPr>
                <w:rFonts w:ascii="Cambria" w:eastAsia="Calibri" w:hAnsi="Cambria" w:cs="Times New Roman"/>
              </w:rPr>
              <w:t>Sherry-Ann Brown</w:t>
            </w:r>
          </w:p>
          <w:p w14:paraId="0205B080" w14:textId="77777777" w:rsidR="00BA6A67" w:rsidRDefault="00884755"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Dr</w:t>
            </w:r>
            <w:r w:rsidR="00C9613B">
              <w:rPr>
                <w:rFonts w:ascii="Cambria" w:eastAsia="Calibri" w:hAnsi="Cambria" w:cs="Times New Roman"/>
              </w:rPr>
              <w:t>.</w:t>
            </w:r>
            <w:r>
              <w:rPr>
                <w:rFonts w:ascii="Cambria" w:eastAsia="Calibri" w:hAnsi="Cambria" w:cs="Times New Roman"/>
              </w:rPr>
              <w:t xml:space="preserve"> Brown reported on the importance of patient’s active engagement as participants in their healthcare and </w:t>
            </w:r>
            <w:r w:rsidR="00C9613B">
              <w:rPr>
                <w:rFonts w:ascii="Cambria" w:eastAsia="Calibri" w:hAnsi="Cambria" w:cs="Times New Roman"/>
              </w:rPr>
              <w:t xml:space="preserve">investigated whether </w:t>
            </w:r>
            <w:r>
              <w:rPr>
                <w:rFonts w:ascii="Cambria" w:eastAsia="Calibri" w:hAnsi="Cambria" w:cs="Times New Roman"/>
              </w:rPr>
              <w:t>knowledge of genetic risk influence</w:t>
            </w:r>
            <w:r w:rsidR="00C9613B">
              <w:rPr>
                <w:rFonts w:ascii="Cambria" w:eastAsia="Calibri" w:hAnsi="Cambria" w:cs="Times New Roman"/>
              </w:rPr>
              <w:t>s</w:t>
            </w:r>
            <w:r>
              <w:rPr>
                <w:rFonts w:ascii="Cambria" w:eastAsia="Calibri" w:hAnsi="Cambria" w:cs="Times New Roman"/>
              </w:rPr>
              <w:t xml:space="preserve"> information </w:t>
            </w:r>
            <w:r w:rsidR="00BA6A67">
              <w:rPr>
                <w:rFonts w:ascii="Cambria" w:eastAsia="Calibri" w:hAnsi="Cambria" w:cs="Times New Roman"/>
              </w:rPr>
              <w:t>seeking and/or sharing.</w:t>
            </w:r>
          </w:p>
          <w:p w14:paraId="23CF51DF" w14:textId="03CB7888" w:rsidR="00A0467D" w:rsidRPr="006C67F9" w:rsidRDefault="00C9613B" w:rsidP="00BA6A67">
            <w:pPr>
              <w:numPr>
                <w:ilvl w:val="0"/>
                <w:numId w:val="5"/>
              </w:numPr>
              <w:shd w:val="clear" w:color="auto" w:fill="FFFFFF"/>
              <w:spacing w:after="0" w:line="240" w:lineRule="auto"/>
              <w:textAlignment w:val="baseline"/>
              <w:rPr>
                <w:rFonts w:ascii="Cambria" w:eastAsia="Calibri" w:hAnsi="Cambria" w:cs="Times New Roman"/>
              </w:rPr>
            </w:pPr>
            <w:r w:rsidRPr="006C67F9">
              <w:rPr>
                <w:rFonts w:ascii="Cambria" w:eastAsia="Calibri" w:hAnsi="Cambria" w:cs="Times New Roman"/>
              </w:rPr>
              <w:t xml:space="preserve">Results indicated that </w:t>
            </w:r>
            <w:r w:rsidR="00A943E7">
              <w:rPr>
                <w:rFonts w:ascii="Cambria" w:eastAsia="Calibri" w:hAnsi="Cambria" w:cs="Times New Roman"/>
              </w:rPr>
              <w:t>Genetic Risk Score (</w:t>
            </w:r>
            <w:r w:rsidRPr="006C67F9">
              <w:rPr>
                <w:rFonts w:ascii="Cambria" w:eastAsia="Calibri" w:hAnsi="Cambria" w:cs="Times New Roman"/>
              </w:rPr>
              <w:t>GRS</w:t>
            </w:r>
            <w:r w:rsidR="00A943E7">
              <w:rPr>
                <w:rFonts w:ascii="Cambria" w:eastAsia="Calibri" w:hAnsi="Cambria" w:cs="Times New Roman"/>
              </w:rPr>
              <w:t>)</w:t>
            </w:r>
            <w:r w:rsidRPr="006C67F9">
              <w:rPr>
                <w:rFonts w:ascii="Cambria" w:eastAsia="Calibri" w:hAnsi="Cambria" w:cs="Times New Roman"/>
              </w:rPr>
              <w:t xml:space="preserve"> patients are more likely </w:t>
            </w:r>
            <w:r w:rsidR="00A0467D" w:rsidRPr="006C67F9">
              <w:rPr>
                <w:rFonts w:ascii="Cambria" w:eastAsia="Calibri" w:hAnsi="Cambria" w:cs="Times New Roman"/>
              </w:rPr>
              <w:t xml:space="preserve">than </w:t>
            </w:r>
            <w:r w:rsidR="00A943E7">
              <w:rPr>
                <w:rFonts w:ascii="Cambria" w:eastAsia="Calibri" w:hAnsi="Cambria" w:cs="Times New Roman"/>
              </w:rPr>
              <w:t>Conventional Risk Score (</w:t>
            </w:r>
            <w:r w:rsidR="00A0467D" w:rsidRPr="006C67F9">
              <w:rPr>
                <w:rFonts w:ascii="Cambria" w:eastAsia="Calibri" w:hAnsi="Cambria" w:cs="Times New Roman"/>
              </w:rPr>
              <w:t>CRS</w:t>
            </w:r>
            <w:r w:rsidR="00A943E7">
              <w:rPr>
                <w:rFonts w:ascii="Cambria" w:eastAsia="Calibri" w:hAnsi="Cambria" w:cs="Times New Roman"/>
              </w:rPr>
              <w:t>)</w:t>
            </w:r>
            <w:r w:rsidR="00A0467D" w:rsidRPr="006C67F9">
              <w:rPr>
                <w:rFonts w:ascii="Cambria" w:eastAsia="Calibri" w:hAnsi="Cambria" w:cs="Times New Roman"/>
              </w:rPr>
              <w:t xml:space="preserve"> patients </w:t>
            </w:r>
            <w:r w:rsidRPr="006C67F9">
              <w:rPr>
                <w:rFonts w:ascii="Cambria" w:eastAsia="Calibri" w:hAnsi="Cambria" w:cs="Times New Roman"/>
              </w:rPr>
              <w:t>to seek information from baseline to 3 months after</w:t>
            </w:r>
            <w:r w:rsidR="00A0467D" w:rsidRPr="006C67F9">
              <w:rPr>
                <w:rFonts w:ascii="Cambria" w:eastAsia="Calibri" w:hAnsi="Cambria" w:cs="Times New Roman"/>
              </w:rPr>
              <w:t xml:space="preserve"> risk disclosure, and this trend continues 3-6 months after risk disclosure. At three months post risk disclosure GRS patients have a larger sharing radius than CRS patients, and this trend continues 3-6 months after risk disclosure.  </w:t>
            </w:r>
          </w:p>
          <w:p w14:paraId="6384B05A" w14:textId="7D5173F2" w:rsidR="00B25B6C" w:rsidRPr="00B25B6C" w:rsidRDefault="003F1BCB" w:rsidP="003127C2">
            <w:pPr>
              <w:shd w:val="clear" w:color="auto" w:fill="FFFFFF"/>
              <w:spacing w:before="120" w:after="120" w:line="240" w:lineRule="auto"/>
              <w:textAlignment w:val="baseline"/>
              <w:rPr>
                <w:rFonts w:ascii="Cambria" w:eastAsia="Calibri" w:hAnsi="Cambria" w:cs="Times New Roman"/>
              </w:rPr>
            </w:pPr>
            <w:hyperlink r:id="rId10" w:tgtFrame="_blank" w:history="1">
              <w:r w:rsidR="00535056">
                <w:rPr>
                  <w:rFonts w:ascii="Cambria" w:eastAsia="Calibri" w:hAnsi="Cambria" w:cs="Times New Roman"/>
                  <w:u w:val="single"/>
                  <w:bdr w:val="none" w:sz="0" w:space="0" w:color="auto" w:frame="1"/>
                </w:rPr>
                <w:t>CERC</w:t>
              </w:r>
            </w:hyperlink>
            <w:r w:rsidR="00535056">
              <w:rPr>
                <w:rFonts w:ascii="Cambria" w:eastAsia="Calibri" w:hAnsi="Cambria" w:cs="Times New Roman"/>
                <w:u w:val="single"/>
                <w:bdr w:val="none" w:sz="0" w:space="0" w:color="auto" w:frame="1"/>
              </w:rPr>
              <w:t xml:space="preserve"> Survey Update</w:t>
            </w:r>
            <w:r w:rsidR="00B25B6C" w:rsidRPr="00B25B6C">
              <w:rPr>
                <w:rFonts w:ascii="Cambria" w:eastAsia="Calibri" w:hAnsi="Cambria" w:cs="Times New Roman"/>
              </w:rPr>
              <w:t> </w:t>
            </w:r>
            <w:r w:rsidR="00535056">
              <w:rPr>
                <w:rFonts w:ascii="Cambria" w:eastAsia="Calibri" w:hAnsi="Cambria" w:cs="Times New Roman"/>
              </w:rPr>
              <w:t>–</w:t>
            </w:r>
            <w:r w:rsidR="00B25B6C" w:rsidRPr="00B25B6C">
              <w:rPr>
                <w:rFonts w:ascii="Cambria" w:eastAsia="Calibri" w:hAnsi="Cambria" w:cs="Times New Roman"/>
              </w:rPr>
              <w:t xml:space="preserve"> </w:t>
            </w:r>
            <w:r w:rsidR="00535056" w:rsidRPr="00535056">
              <w:rPr>
                <w:rFonts w:ascii="Cambria" w:eastAsia="Calibri" w:hAnsi="Cambria" w:cs="Times New Roman"/>
                <w:i/>
              </w:rPr>
              <w:t>Ingrid Holm &amp; Maureen</w:t>
            </w:r>
            <w:r w:rsidR="003127C2">
              <w:rPr>
                <w:rFonts w:ascii="Cambria" w:eastAsia="Calibri" w:hAnsi="Cambria" w:cs="Times New Roman"/>
                <w:i/>
              </w:rPr>
              <w:t xml:space="preserve"> Smith</w:t>
            </w:r>
          </w:p>
          <w:p w14:paraId="019C09E1" w14:textId="02078019" w:rsidR="00714888" w:rsidRPr="00B231EA" w:rsidRDefault="003D49AE" w:rsidP="00BA6A67">
            <w:pPr>
              <w:numPr>
                <w:ilvl w:val="0"/>
                <w:numId w:val="5"/>
              </w:numPr>
              <w:shd w:val="clear" w:color="auto" w:fill="FFFFFF"/>
              <w:spacing w:after="0" w:line="240" w:lineRule="auto"/>
              <w:textAlignment w:val="baseline"/>
              <w:rPr>
                <w:rFonts w:ascii="Cambria" w:eastAsia="Calibri" w:hAnsi="Cambria" w:cs="Times New Roman"/>
                <w:b/>
              </w:rPr>
            </w:pPr>
            <w:r w:rsidRPr="00B231EA">
              <w:rPr>
                <w:rFonts w:ascii="Cambria" w:eastAsia="Calibri" w:hAnsi="Cambria" w:cs="Times New Roman"/>
              </w:rPr>
              <w:lastRenderedPageBreak/>
              <w:t>The</w:t>
            </w:r>
            <w:r w:rsidR="00714888" w:rsidRPr="00B231EA">
              <w:rPr>
                <w:rFonts w:ascii="Cambria" w:eastAsia="Calibri" w:hAnsi="Cambria" w:cs="Times New Roman"/>
              </w:rPr>
              <w:t xml:space="preserve"> Survey workgroup reported that the survey is in its second wave</w:t>
            </w:r>
            <w:r w:rsidR="008A205B">
              <w:rPr>
                <w:rFonts w:ascii="Cambria" w:eastAsia="Calibri" w:hAnsi="Cambria" w:cs="Times New Roman"/>
              </w:rPr>
              <w:t xml:space="preserve"> of mailings</w:t>
            </w:r>
            <w:r w:rsidR="00714888" w:rsidRPr="00B231EA">
              <w:rPr>
                <w:rFonts w:ascii="Cambria" w:eastAsia="Calibri" w:hAnsi="Cambria" w:cs="Times New Roman"/>
              </w:rPr>
              <w:t xml:space="preserve">. </w:t>
            </w:r>
            <w:r w:rsidR="00ED4514" w:rsidRPr="00B231EA">
              <w:rPr>
                <w:rFonts w:ascii="Cambria" w:eastAsia="Calibri" w:hAnsi="Cambria" w:cs="Times New Roman"/>
              </w:rPr>
              <w:t>Deliverables</w:t>
            </w:r>
            <w:r w:rsidR="00714888" w:rsidRPr="00B231EA">
              <w:rPr>
                <w:rFonts w:ascii="Cambria" w:eastAsia="Calibri" w:hAnsi="Cambria" w:cs="Times New Roman"/>
              </w:rPr>
              <w:t xml:space="preserve"> have been on time, with the exception of</w:t>
            </w:r>
            <w:r w:rsidR="00ED4514" w:rsidRPr="00B231EA">
              <w:rPr>
                <w:rFonts w:ascii="Cambria" w:eastAsia="Calibri" w:hAnsi="Cambria" w:cs="Times New Roman"/>
              </w:rPr>
              <w:t xml:space="preserve"> reminder post cards due to </w:t>
            </w:r>
            <w:proofErr w:type="spellStart"/>
            <w:r w:rsidR="00ED4514" w:rsidRPr="00B231EA">
              <w:rPr>
                <w:rFonts w:ascii="Cambria" w:eastAsia="Calibri" w:hAnsi="Cambria" w:cs="Times New Roman"/>
              </w:rPr>
              <w:t>S</w:t>
            </w:r>
            <w:r w:rsidR="00714888" w:rsidRPr="00B231EA">
              <w:rPr>
                <w:rFonts w:ascii="Cambria" w:eastAsia="Calibri" w:hAnsi="Cambria" w:cs="Times New Roman"/>
              </w:rPr>
              <w:t>cantron</w:t>
            </w:r>
            <w:proofErr w:type="spellEnd"/>
            <w:r w:rsidR="00714888" w:rsidRPr="00B231EA">
              <w:rPr>
                <w:rFonts w:ascii="Cambria" w:eastAsia="Calibri" w:hAnsi="Cambria" w:cs="Times New Roman"/>
              </w:rPr>
              <w:t xml:space="preserve"> issues.  Final data will be</w:t>
            </w:r>
            <w:r w:rsidR="00072EB4">
              <w:rPr>
                <w:rFonts w:ascii="Cambria" w:eastAsia="Calibri" w:hAnsi="Cambria" w:cs="Times New Roman"/>
              </w:rPr>
              <w:t xml:space="preserve"> available</w:t>
            </w:r>
            <w:r w:rsidR="00714888" w:rsidRPr="00B231EA">
              <w:rPr>
                <w:rFonts w:ascii="Cambria" w:eastAsia="Calibri" w:hAnsi="Cambria" w:cs="Times New Roman"/>
              </w:rPr>
              <w:t xml:space="preserve"> in September.  The survey population</w:t>
            </w:r>
            <w:r w:rsidR="00ED4514" w:rsidRPr="00B231EA">
              <w:rPr>
                <w:rFonts w:ascii="Cambria" w:eastAsia="Calibri" w:hAnsi="Cambria" w:cs="Times New Roman"/>
              </w:rPr>
              <w:t xml:space="preserve"> demographics</w:t>
            </w:r>
            <w:r w:rsidR="00714888" w:rsidRPr="00B231EA">
              <w:rPr>
                <w:rFonts w:ascii="Cambria" w:eastAsia="Calibri" w:hAnsi="Cambria" w:cs="Times New Roman"/>
              </w:rPr>
              <w:t>, sampling strategy</w:t>
            </w:r>
            <w:r w:rsidR="00E63065" w:rsidRPr="00B231EA">
              <w:rPr>
                <w:rFonts w:ascii="Cambria" w:eastAsia="Calibri" w:hAnsi="Cambria" w:cs="Times New Roman"/>
              </w:rPr>
              <w:t xml:space="preserve"> rationale</w:t>
            </w:r>
            <w:r w:rsidR="00714888" w:rsidRPr="00B231EA">
              <w:rPr>
                <w:rFonts w:ascii="Cambria" w:eastAsia="Calibri" w:hAnsi="Cambria" w:cs="Times New Roman"/>
              </w:rPr>
              <w:t xml:space="preserve">, </w:t>
            </w:r>
            <w:r w:rsidR="00ED4514" w:rsidRPr="00B231EA">
              <w:rPr>
                <w:rFonts w:ascii="Cambria" w:eastAsia="Calibri" w:hAnsi="Cambria" w:cs="Times New Roman"/>
              </w:rPr>
              <w:t xml:space="preserve">experimental design, </w:t>
            </w:r>
            <w:r w:rsidR="00714888" w:rsidRPr="00B231EA">
              <w:rPr>
                <w:rFonts w:ascii="Cambria" w:eastAsia="Calibri" w:hAnsi="Cambria" w:cs="Times New Roman"/>
              </w:rPr>
              <w:t>and response rates were discussed.</w:t>
            </w:r>
            <w:r w:rsidR="00ED4514" w:rsidRPr="00B231EA">
              <w:rPr>
                <w:rFonts w:ascii="Cambria" w:eastAsia="Calibri" w:hAnsi="Cambria" w:cs="Times New Roman"/>
              </w:rPr>
              <w:t xml:space="preserve">  Overall response rate is 12% with the expectation of an increase with the second wave</w:t>
            </w:r>
            <w:r w:rsidR="00B231EA" w:rsidRPr="00B231EA">
              <w:rPr>
                <w:rFonts w:ascii="Cambria" w:eastAsia="Calibri" w:hAnsi="Cambria" w:cs="Times New Roman"/>
              </w:rPr>
              <w:t xml:space="preserve"> to 15-16%</w:t>
            </w:r>
            <w:r w:rsidR="00ED4514" w:rsidRPr="00B231EA">
              <w:rPr>
                <w:rFonts w:ascii="Cambria" w:eastAsia="Calibri" w:hAnsi="Cambria" w:cs="Times New Roman"/>
              </w:rPr>
              <w:t>.</w:t>
            </w:r>
            <w:r w:rsidR="00B231EA" w:rsidRPr="00B231EA">
              <w:rPr>
                <w:rFonts w:ascii="Cambria" w:eastAsia="Calibri" w:hAnsi="Cambria" w:cs="Times New Roman"/>
              </w:rPr>
              <w:t xml:space="preserve"> </w:t>
            </w:r>
            <w:r w:rsidR="00ED4514" w:rsidRPr="00B231EA">
              <w:rPr>
                <w:rFonts w:ascii="Cambria" w:eastAsia="Calibri" w:hAnsi="Cambria" w:cs="Times New Roman"/>
              </w:rPr>
              <w:t xml:space="preserve">Preliminary results indicate that most people are interested and willing, and will allow their child to participate in a </w:t>
            </w:r>
            <w:proofErr w:type="spellStart"/>
            <w:r w:rsidR="00ED4514" w:rsidRPr="00B231EA">
              <w:rPr>
                <w:rFonts w:ascii="Cambria" w:eastAsia="Calibri" w:hAnsi="Cambria" w:cs="Times New Roman"/>
              </w:rPr>
              <w:t>biobank</w:t>
            </w:r>
            <w:proofErr w:type="spellEnd"/>
            <w:r w:rsidR="00ED4514" w:rsidRPr="00B231EA">
              <w:rPr>
                <w:rFonts w:ascii="Cambria" w:eastAsia="Calibri" w:hAnsi="Cambria" w:cs="Times New Roman"/>
              </w:rPr>
              <w:t>, though they are a little more conservative about their children.</w:t>
            </w:r>
            <w:r w:rsidR="00B231EA" w:rsidRPr="00B231EA">
              <w:rPr>
                <w:rFonts w:ascii="Cambria" w:eastAsia="Calibri" w:hAnsi="Cambria" w:cs="Times New Roman"/>
              </w:rPr>
              <w:t xml:space="preserve"> </w:t>
            </w:r>
            <w:r w:rsidR="00ED4514" w:rsidRPr="00B231EA">
              <w:rPr>
                <w:rFonts w:ascii="Cambria" w:eastAsia="Calibri" w:hAnsi="Cambria" w:cs="Times New Roman"/>
              </w:rPr>
              <w:t>The group discussed accepted and in</w:t>
            </w:r>
            <w:r w:rsidR="000875D7" w:rsidRPr="00B231EA">
              <w:rPr>
                <w:rFonts w:ascii="Cambria" w:eastAsia="Calibri" w:hAnsi="Cambria" w:cs="Times New Roman"/>
              </w:rPr>
              <w:t>-</w:t>
            </w:r>
            <w:r w:rsidR="00ED4514" w:rsidRPr="00B231EA">
              <w:rPr>
                <w:rFonts w:ascii="Cambria" w:eastAsia="Calibri" w:hAnsi="Cambria" w:cs="Times New Roman"/>
              </w:rPr>
              <w:t>progress manuscripts</w:t>
            </w:r>
            <w:r w:rsidR="000875D7" w:rsidRPr="00B231EA">
              <w:rPr>
                <w:rFonts w:ascii="Cambria" w:eastAsia="Calibri" w:hAnsi="Cambria" w:cs="Times New Roman"/>
              </w:rPr>
              <w:t>.  Analysis is expected to extend beyond the grant period, and a no cost extension has been granted for all sites until February 2016.</w:t>
            </w:r>
          </w:p>
          <w:p w14:paraId="7ACC7F79" w14:textId="567AE905" w:rsidR="00B231EA" w:rsidRPr="00B231EA" w:rsidRDefault="00B231EA" w:rsidP="00BA6A67">
            <w:pPr>
              <w:numPr>
                <w:ilvl w:val="0"/>
                <w:numId w:val="5"/>
              </w:numPr>
              <w:shd w:val="clear" w:color="auto" w:fill="FFFFFF"/>
              <w:spacing w:after="0" w:line="240" w:lineRule="auto"/>
              <w:textAlignment w:val="baseline"/>
              <w:rPr>
                <w:rFonts w:ascii="Cambria" w:eastAsia="Calibri" w:hAnsi="Cambria" w:cs="Times New Roman"/>
                <w:b/>
              </w:rPr>
            </w:pPr>
            <w:r>
              <w:rPr>
                <w:rFonts w:ascii="Cambria" w:eastAsia="Calibri" w:hAnsi="Cambria" w:cs="Times New Roman"/>
              </w:rPr>
              <w:t xml:space="preserve">The overall Workgroup reported on the </w:t>
            </w:r>
            <w:proofErr w:type="spellStart"/>
            <w:r>
              <w:rPr>
                <w:rFonts w:ascii="Cambria" w:eastAsia="Calibri" w:hAnsi="Cambria" w:cs="Times New Roman"/>
              </w:rPr>
              <w:t>Infobutton</w:t>
            </w:r>
            <w:proofErr w:type="spellEnd"/>
            <w:r>
              <w:rPr>
                <w:rFonts w:ascii="Cambria" w:eastAsia="Calibri" w:hAnsi="Cambria" w:cs="Times New Roman"/>
              </w:rPr>
              <w:t xml:space="preserve"> project and the “For Health Professionals” section of MyHealthResults.org, which </w:t>
            </w:r>
            <w:r w:rsidR="00CD1EDF">
              <w:rPr>
                <w:rFonts w:ascii="Cambria" w:eastAsia="Calibri" w:hAnsi="Cambria" w:cs="Times New Roman"/>
              </w:rPr>
              <w:t xml:space="preserve">has </w:t>
            </w:r>
            <w:r>
              <w:rPr>
                <w:rFonts w:ascii="Cambria" w:eastAsia="Calibri" w:hAnsi="Cambria" w:cs="Times New Roman"/>
              </w:rPr>
              <w:t>experienced a significant level of usage.  The group discussed overlap with the Return of Results workgroup and collaborations with other groups inside and outside of eMERGE (Including CSER and the pediatric workgroup).  Challenges addressing regulation/regulatory environment</w:t>
            </w:r>
            <w:r w:rsidR="00E5028A">
              <w:rPr>
                <w:rFonts w:ascii="Cambria" w:eastAsia="Calibri" w:hAnsi="Cambria" w:cs="Times New Roman"/>
              </w:rPr>
              <w:t xml:space="preserve"> were discussed</w:t>
            </w:r>
            <w:r>
              <w:rPr>
                <w:rFonts w:ascii="Cambria" w:eastAsia="Calibri" w:hAnsi="Cambria" w:cs="Times New Roman"/>
              </w:rPr>
              <w:t xml:space="preserve">, and </w:t>
            </w:r>
            <w:r w:rsidR="00FC6955">
              <w:rPr>
                <w:rFonts w:ascii="Cambria" w:eastAsia="Calibri" w:hAnsi="Cambria" w:cs="Times New Roman"/>
              </w:rPr>
              <w:t xml:space="preserve">ideas for </w:t>
            </w:r>
            <w:r>
              <w:rPr>
                <w:rFonts w:ascii="Cambria" w:eastAsia="Calibri" w:hAnsi="Cambria" w:cs="Times New Roman"/>
              </w:rPr>
              <w:t>future goals and efforts (such as online education)</w:t>
            </w:r>
            <w:r w:rsidR="00FC6955">
              <w:rPr>
                <w:rFonts w:ascii="Cambria" w:eastAsia="Calibri" w:hAnsi="Cambria" w:cs="Times New Roman"/>
              </w:rPr>
              <w:t xml:space="preserve"> </w:t>
            </w:r>
            <w:r w:rsidR="00E5028A">
              <w:rPr>
                <w:rFonts w:ascii="Cambria" w:eastAsia="Calibri" w:hAnsi="Cambria" w:cs="Times New Roman"/>
              </w:rPr>
              <w:t>were</w:t>
            </w:r>
            <w:r w:rsidR="00FC6955">
              <w:rPr>
                <w:rFonts w:ascii="Cambria" w:eastAsia="Calibri" w:hAnsi="Cambria" w:cs="Times New Roman"/>
              </w:rPr>
              <w:t xml:space="preserve"> developed</w:t>
            </w:r>
            <w:r>
              <w:rPr>
                <w:rFonts w:ascii="Cambria" w:eastAsia="Calibri" w:hAnsi="Cambria" w:cs="Times New Roman"/>
              </w:rPr>
              <w:t>.</w:t>
            </w:r>
            <w:r w:rsidR="00E5028A">
              <w:rPr>
                <w:rFonts w:ascii="Cambria" w:eastAsia="Calibri" w:hAnsi="Cambria" w:cs="Times New Roman"/>
              </w:rPr>
              <w:t xml:space="preserve"> </w:t>
            </w:r>
            <w:r w:rsidR="000A0D08">
              <w:rPr>
                <w:rFonts w:ascii="Cambria" w:eastAsia="Calibri" w:hAnsi="Cambria" w:cs="Times New Roman"/>
              </w:rPr>
              <w:t xml:space="preserve"> </w:t>
            </w:r>
          </w:p>
          <w:p w14:paraId="362E23D5" w14:textId="3D0806D9" w:rsidR="00535056" w:rsidRPr="001B091B" w:rsidRDefault="00B231EA" w:rsidP="003127C2">
            <w:pPr>
              <w:shd w:val="clear" w:color="auto" w:fill="FFFFFF"/>
              <w:spacing w:before="120" w:after="120" w:line="240" w:lineRule="auto"/>
              <w:textAlignment w:val="baseline"/>
              <w:rPr>
                <w:rFonts w:ascii="Cambria" w:eastAsia="Calibri" w:hAnsi="Cambria" w:cs="Times New Roman"/>
              </w:rPr>
            </w:pPr>
            <w:r w:rsidRPr="00B231EA">
              <w:rPr>
                <w:rFonts w:ascii="Cambria" w:eastAsia="Calibri" w:hAnsi="Cambria" w:cs="Times New Roman"/>
                <w:u w:val="single"/>
              </w:rPr>
              <w:t>Group Health / UW Site Report</w:t>
            </w:r>
            <w:r w:rsidR="00535056" w:rsidRPr="001B091B">
              <w:rPr>
                <w:rFonts w:ascii="Cambria" w:eastAsia="Calibri" w:hAnsi="Cambria" w:cs="Times New Roman"/>
              </w:rPr>
              <w:t> –</w:t>
            </w:r>
            <w:r w:rsidR="00535056" w:rsidRPr="00B25B6C">
              <w:rPr>
                <w:rFonts w:ascii="Cambria" w:eastAsia="Calibri" w:hAnsi="Cambria" w:cs="Times New Roman"/>
              </w:rPr>
              <w:t xml:space="preserve"> </w:t>
            </w:r>
            <w:r>
              <w:rPr>
                <w:rFonts w:ascii="Cambria" w:eastAsia="Calibri" w:hAnsi="Cambria" w:cs="Times New Roman"/>
                <w:i/>
              </w:rPr>
              <w:t xml:space="preserve">Gail Jarvik </w:t>
            </w:r>
            <w:r w:rsidR="003127C2">
              <w:rPr>
                <w:rFonts w:ascii="Cambria" w:eastAsia="Calibri" w:hAnsi="Cambria" w:cs="Times New Roman"/>
                <w:i/>
              </w:rPr>
              <w:t>&amp;</w:t>
            </w:r>
            <w:r>
              <w:rPr>
                <w:rFonts w:ascii="Cambria" w:eastAsia="Calibri" w:hAnsi="Cambria" w:cs="Times New Roman"/>
                <w:i/>
              </w:rPr>
              <w:t xml:space="preserve"> Eric Larson</w:t>
            </w:r>
          </w:p>
          <w:p w14:paraId="2F82EA2E" w14:textId="0445744A" w:rsidR="00B663DF" w:rsidRPr="00A1108C" w:rsidRDefault="00E5028A"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The site reported the </w:t>
            </w:r>
            <w:r w:rsidR="000A0D08">
              <w:rPr>
                <w:rFonts w:ascii="Cambria" w:eastAsia="Calibri" w:hAnsi="Cambria" w:cs="Times New Roman"/>
              </w:rPr>
              <w:t xml:space="preserve">results of their GWAS study of Varicella Zoster, </w:t>
            </w:r>
            <w:r w:rsidR="002D5A65">
              <w:rPr>
                <w:rFonts w:ascii="Cambria" w:eastAsia="Calibri" w:hAnsi="Cambria" w:cs="Times New Roman"/>
              </w:rPr>
              <w:t xml:space="preserve">in which </w:t>
            </w:r>
            <w:r w:rsidR="000A0D08">
              <w:rPr>
                <w:rFonts w:ascii="Cambria" w:eastAsia="Calibri" w:hAnsi="Cambria" w:cs="Times New Roman"/>
              </w:rPr>
              <w:t xml:space="preserve">recruitment for replication is in process.  </w:t>
            </w:r>
            <w:r w:rsidR="00F34767">
              <w:rPr>
                <w:rFonts w:ascii="Cambria" w:eastAsia="Calibri" w:hAnsi="Cambria" w:cs="Times New Roman"/>
              </w:rPr>
              <w:t xml:space="preserve">The group provided updates on the ongoing </w:t>
            </w:r>
            <w:r w:rsidR="002D418E">
              <w:rPr>
                <w:rFonts w:ascii="Cambria" w:eastAsia="Calibri" w:hAnsi="Cambria" w:cs="Times New Roman"/>
              </w:rPr>
              <w:t>investigation</w:t>
            </w:r>
            <w:r w:rsidR="00F34767">
              <w:rPr>
                <w:rFonts w:ascii="Cambria" w:eastAsia="Calibri" w:hAnsi="Cambria" w:cs="Times New Roman"/>
              </w:rPr>
              <w:t>s</w:t>
            </w:r>
            <w:r w:rsidR="002D418E">
              <w:rPr>
                <w:rFonts w:ascii="Cambria" w:eastAsia="Calibri" w:hAnsi="Cambria" w:cs="Times New Roman"/>
              </w:rPr>
              <w:t xml:space="preserve"> into </w:t>
            </w:r>
            <w:r w:rsidR="00F34767">
              <w:rPr>
                <w:rFonts w:ascii="Cambria" w:eastAsia="Calibri" w:hAnsi="Cambria" w:cs="Times New Roman"/>
              </w:rPr>
              <w:t xml:space="preserve">CAAD and C-diff phenotypes, copy number variations, and the </w:t>
            </w:r>
            <w:proofErr w:type="spellStart"/>
            <w:r w:rsidR="00F34767">
              <w:rPr>
                <w:rFonts w:ascii="Cambria" w:eastAsia="Calibri" w:hAnsi="Cambria" w:cs="Times New Roman"/>
              </w:rPr>
              <w:t>PGx</w:t>
            </w:r>
            <w:proofErr w:type="spellEnd"/>
            <w:r w:rsidR="00F34767">
              <w:rPr>
                <w:rFonts w:ascii="Cambria" w:eastAsia="Calibri" w:hAnsi="Cambria" w:cs="Times New Roman"/>
              </w:rPr>
              <w:t xml:space="preserve"> project.</w:t>
            </w:r>
            <w:r w:rsidR="00A1108C">
              <w:rPr>
                <w:rFonts w:ascii="Cambria" w:eastAsia="Calibri" w:hAnsi="Cambria" w:cs="Times New Roman"/>
              </w:rPr>
              <w:t xml:space="preserve">  In addition, the site outlined the pilot study on hematological adverse drug events in the </w:t>
            </w:r>
            <w:proofErr w:type="spellStart"/>
            <w:r w:rsidR="00A1108C">
              <w:rPr>
                <w:rFonts w:ascii="Cambria" w:eastAsia="Calibri" w:hAnsi="Cambria" w:cs="Times New Roman"/>
              </w:rPr>
              <w:t>PGx</w:t>
            </w:r>
            <w:proofErr w:type="spellEnd"/>
            <w:r w:rsidR="00A1108C">
              <w:rPr>
                <w:rFonts w:ascii="Cambria" w:eastAsia="Calibri" w:hAnsi="Cambria" w:cs="Times New Roman"/>
              </w:rPr>
              <w:t xml:space="preserve"> cohort being conducted</w:t>
            </w:r>
            <w:r w:rsidR="00035C14">
              <w:rPr>
                <w:rFonts w:ascii="Cambria" w:eastAsia="Calibri" w:hAnsi="Cambria" w:cs="Times New Roman"/>
              </w:rPr>
              <w:t xml:space="preserve"> (which has been submitted as an abstract to ASHG)</w:t>
            </w:r>
            <w:r w:rsidR="00A1108C">
              <w:rPr>
                <w:rFonts w:ascii="Cambria" w:eastAsia="Calibri" w:hAnsi="Cambria" w:cs="Times New Roman"/>
              </w:rPr>
              <w:t>.</w:t>
            </w:r>
            <w:r w:rsidR="002D5A65">
              <w:rPr>
                <w:rFonts w:ascii="Cambria" w:eastAsia="Calibri" w:hAnsi="Cambria" w:cs="Times New Roman"/>
              </w:rPr>
              <w:t xml:space="preserve">  CERC highlights were provided- focus groups and stakeholder interviews</w:t>
            </w:r>
            <w:r w:rsidR="008A205B">
              <w:rPr>
                <w:rFonts w:ascii="Cambria" w:eastAsia="Calibri" w:hAnsi="Cambria" w:cs="Times New Roman"/>
              </w:rPr>
              <w:t xml:space="preserve">, </w:t>
            </w:r>
            <w:r w:rsidR="002D5A65">
              <w:rPr>
                <w:rFonts w:ascii="Cambria" w:eastAsia="Calibri" w:hAnsi="Cambria" w:cs="Times New Roman"/>
              </w:rPr>
              <w:t xml:space="preserve">manuscripts in </w:t>
            </w:r>
            <w:r w:rsidR="00AC7488">
              <w:rPr>
                <w:rFonts w:ascii="Cambria" w:eastAsia="Calibri" w:hAnsi="Cambria" w:cs="Times New Roman"/>
              </w:rPr>
              <w:t>progress</w:t>
            </w:r>
            <w:r w:rsidR="002D5A65">
              <w:rPr>
                <w:rFonts w:ascii="Cambria" w:eastAsia="Calibri" w:hAnsi="Cambria" w:cs="Times New Roman"/>
              </w:rPr>
              <w:t xml:space="preserve"> and published.</w:t>
            </w:r>
          </w:p>
          <w:p w14:paraId="36725513" w14:textId="74BC6FDC" w:rsidR="002D418E" w:rsidRDefault="007F3B04"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group described their e</w:t>
            </w:r>
            <w:r w:rsidR="000A0D08">
              <w:rPr>
                <w:rFonts w:ascii="Cambria" w:eastAsia="Calibri" w:hAnsi="Cambria" w:cs="Times New Roman"/>
              </w:rPr>
              <w:t>xperience with Alzheimer disease studies</w:t>
            </w:r>
            <w:r w:rsidR="002D418E">
              <w:rPr>
                <w:rFonts w:ascii="Cambria" w:eastAsia="Calibri" w:hAnsi="Cambria" w:cs="Times New Roman"/>
              </w:rPr>
              <w:t>, a phenotype ongoing from Phase I.</w:t>
            </w:r>
            <w:r w:rsidR="000A0D08">
              <w:rPr>
                <w:rFonts w:ascii="Cambria" w:eastAsia="Calibri" w:hAnsi="Cambria" w:cs="Times New Roman"/>
              </w:rPr>
              <w:t xml:space="preserve">  Collaborating with the </w:t>
            </w:r>
            <w:r w:rsidR="00E403F9">
              <w:rPr>
                <w:rFonts w:ascii="Cambria" w:eastAsia="Calibri" w:hAnsi="Cambria" w:cs="Times New Roman"/>
              </w:rPr>
              <w:t>N</w:t>
            </w:r>
            <w:r w:rsidR="000A0D08">
              <w:rPr>
                <w:rFonts w:ascii="Cambria" w:eastAsia="Calibri" w:hAnsi="Cambria" w:cs="Times New Roman"/>
              </w:rPr>
              <w:t xml:space="preserve">ational </w:t>
            </w:r>
            <w:r w:rsidR="00E403F9">
              <w:rPr>
                <w:rFonts w:ascii="Cambria" w:eastAsia="Calibri" w:hAnsi="Cambria" w:cs="Times New Roman"/>
              </w:rPr>
              <w:t>Alzheimer’s D</w:t>
            </w:r>
            <w:r w:rsidR="000A0D08">
              <w:rPr>
                <w:rFonts w:ascii="Cambria" w:eastAsia="Calibri" w:hAnsi="Cambria" w:cs="Times New Roman"/>
              </w:rPr>
              <w:t xml:space="preserve">isease </w:t>
            </w:r>
            <w:r w:rsidR="00E403F9">
              <w:rPr>
                <w:rFonts w:ascii="Cambria" w:eastAsia="Calibri" w:hAnsi="Cambria" w:cs="Times New Roman"/>
              </w:rPr>
              <w:t>C</w:t>
            </w:r>
            <w:r w:rsidR="000A0D08">
              <w:rPr>
                <w:rFonts w:ascii="Cambria" w:eastAsia="Calibri" w:hAnsi="Cambria" w:cs="Times New Roman"/>
              </w:rPr>
              <w:t>onsortium has been a positive and productive experience.  Recently the site entered into a</w:t>
            </w:r>
            <w:r w:rsidR="00E403F9">
              <w:rPr>
                <w:rFonts w:ascii="Cambria" w:eastAsia="Calibri" w:hAnsi="Cambria" w:cs="Times New Roman"/>
              </w:rPr>
              <w:t xml:space="preserve"> collaboration with a </w:t>
            </w:r>
            <w:r w:rsidR="000A0D08">
              <w:rPr>
                <w:rFonts w:ascii="Cambria" w:eastAsia="Calibri" w:hAnsi="Cambria" w:cs="Times New Roman"/>
              </w:rPr>
              <w:t>l</w:t>
            </w:r>
            <w:r w:rsidR="00E403F9">
              <w:rPr>
                <w:rFonts w:ascii="Cambria" w:eastAsia="Calibri" w:hAnsi="Cambria" w:cs="Times New Roman"/>
              </w:rPr>
              <w:t>arger international consortium.</w:t>
            </w:r>
          </w:p>
          <w:p w14:paraId="284C8448" w14:textId="444A4879" w:rsidR="002D5A65" w:rsidRDefault="002D5A65"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GH/UW conducted key informant interviews into appropriate and effective integration of genomic information into clinical care and the EMR, which illuminated interest in up-stream CDS</w:t>
            </w:r>
            <w:r w:rsidR="00CD1EDF">
              <w:rPr>
                <w:rFonts w:ascii="Cambria" w:eastAsia="Calibri" w:hAnsi="Cambria" w:cs="Times New Roman"/>
              </w:rPr>
              <w:t xml:space="preserve"> processes</w:t>
            </w:r>
            <w:r w:rsidR="00DD2FBA">
              <w:rPr>
                <w:rFonts w:ascii="Cambria" w:eastAsia="Calibri" w:hAnsi="Cambria" w:cs="Times New Roman"/>
              </w:rPr>
              <w:t xml:space="preserve">.  </w:t>
            </w:r>
          </w:p>
          <w:p w14:paraId="29544EC5" w14:textId="0262A61E" w:rsidR="00AC7488" w:rsidRDefault="00CD1EDF"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group has a</w:t>
            </w:r>
            <w:r w:rsidR="00AC7488">
              <w:rPr>
                <w:rFonts w:ascii="Cambria" w:eastAsia="Calibri" w:hAnsi="Cambria" w:cs="Times New Roman"/>
              </w:rPr>
              <w:t xml:space="preserve">lready returned </w:t>
            </w:r>
            <w:r>
              <w:rPr>
                <w:rFonts w:ascii="Cambria" w:eastAsia="Calibri" w:hAnsi="Cambria" w:cs="Times New Roman"/>
              </w:rPr>
              <w:t xml:space="preserve">the </w:t>
            </w:r>
            <w:r w:rsidR="00AC7488">
              <w:rPr>
                <w:rFonts w:ascii="Cambria" w:eastAsia="Calibri" w:hAnsi="Cambria" w:cs="Times New Roman"/>
              </w:rPr>
              <w:t>results of known pathogenic variants to 3 participants</w:t>
            </w:r>
            <w:r w:rsidR="00ED38D7">
              <w:rPr>
                <w:rFonts w:ascii="Cambria" w:eastAsia="Calibri" w:hAnsi="Cambria" w:cs="Times New Roman"/>
              </w:rPr>
              <w:t>.  The medical value of being able to study a family pedigree was discussed.</w:t>
            </w:r>
          </w:p>
          <w:p w14:paraId="30CD4E71" w14:textId="40086A0D" w:rsidR="00AC7488" w:rsidRDefault="00AC7488"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site is on schedule to wrap up Phase II efforts on time.</w:t>
            </w:r>
          </w:p>
          <w:p w14:paraId="115CEF8D" w14:textId="1C6E802B" w:rsidR="00564245" w:rsidRPr="00564245" w:rsidRDefault="00CF5DA3"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group discussed returning results and education efforts at different sites (including Mayo)</w:t>
            </w:r>
            <w:r w:rsidR="00564245">
              <w:rPr>
                <w:rFonts w:ascii="Cambria" w:eastAsia="Calibri" w:hAnsi="Cambria" w:cs="Times New Roman"/>
              </w:rPr>
              <w:t>.</w:t>
            </w:r>
          </w:p>
          <w:p w14:paraId="486C2DFF" w14:textId="287A5073" w:rsidR="00740E62" w:rsidRDefault="001B091B" w:rsidP="003127C2">
            <w:pPr>
              <w:shd w:val="clear" w:color="auto" w:fill="FFFFFF"/>
              <w:spacing w:before="120" w:after="120" w:line="240" w:lineRule="auto"/>
              <w:textAlignment w:val="baseline"/>
              <w:rPr>
                <w:rFonts w:ascii="Cambria" w:eastAsia="Calibri" w:hAnsi="Cambria" w:cs="Times New Roman"/>
              </w:rPr>
            </w:pPr>
            <w:r w:rsidRPr="00AC7488">
              <w:rPr>
                <w:rFonts w:ascii="Cambria" w:eastAsia="Calibri" w:hAnsi="Cambria" w:cs="Times New Roman"/>
                <w:u w:val="single"/>
              </w:rPr>
              <w:t xml:space="preserve">eMERGE </w:t>
            </w:r>
            <w:proofErr w:type="spellStart"/>
            <w:r w:rsidRPr="00AC7488">
              <w:rPr>
                <w:rFonts w:ascii="Cambria" w:eastAsia="Calibri" w:hAnsi="Cambria" w:cs="Times New Roman"/>
                <w:u w:val="single"/>
              </w:rPr>
              <w:t>PGx</w:t>
            </w:r>
            <w:proofErr w:type="spellEnd"/>
            <w:r w:rsidRPr="00AC7488">
              <w:rPr>
                <w:rFonts w:ascii="Cambria" w:eastAsia="Calibri" w:hAnsi="Cambria" w:cs="Times New Roman"/>
                <w:u w:val="single"/>
              </w:rPr>
              <w:t xml:space="preserve"> Plenary Session</w:t>
            </w:r>
            <w:r w:rsidR="00535056" w:rsidRPr="001B091B">
              <w:rPr>
                <w:rFonts w:ascii="Cambria" w:eastAsia="Calibri" w:hAnsi="Cambria" w:cs="Times New Roman"/>
              </w:rPr>
              <w:t> –</w:t>
            </w:r>
            <w:r w:rsidR="00535056" w:rsidRPr="00B25B6C">
              <w:rPr>
                <w:rFonts w:ascii="Cambria" w:eastAsia="Calibri" w:hAnsi="Cambria" w:cs="Times New Roman"/>
              </w:rPr>
              <w:t xml:space="preserve"> </w:t>
            </w:r>
            <w:r w:rsidR="003127C2">
              <w:rPr>
                <w:rFonts w:ascii="Cambria" w:eastAsia="Calibri" w:hAnsi="Cambria" w:cs="Times New Roman"/>
                <w:i/>
              </w:rPr>
              <w:t>Dan Roden, Josh Denny, &amp; Laura Rasmussen-Torvik</w:t>
            </w:r>
          </w:p>
          <w:p w14:paraId="0A77E79D" w14:textId="682D07FA" w:rsidR="00740E62" w:rsidRDefault="00740E62" w:rsidP="003127C2">
            <w:pPr>
              <w:numPr>
                <w:ilvl w:val="0"/>
                <w:numId w:val="5"/>
              </w:numPr>
              <w:shd w:val="clear" w:color="auto" w:fill="FFFFFF"/>
              <w:spacing w:before="120" w:after="120" w:line="240" w:lineRule="auto"/>
              <w:textAlignment w:val="baseline"/>
              <w:rPr>
                <w:rFonts w:ascii="Cambria" w:eastAsia="Calibri" w:hAnsi="Cambria" w:cs="Times New Roman"/>
              </w:rPr>
            </w:pPr>
            <w:r w:rsidRPr="00740E62">
              <w:rPr>
                <w:rFonts w:ascii="Cambria" w:eastAsia="Calibri" w:hAnsi="Cambria" w:cs="Times New Roman"/>
              </w:rPr>
              <w:t xml:space="preserve">The group </w:t>
            </w:r>
            <w:r>
              <w:rPr>
                <w:rFonts w:ascii="Cambria" w:eastAsia="Calibri" w:hAnsi="Cambria" w:cs="Times New Roman"/>
              </w:rPr>
              <w:t>highlighted accomplishments (nearly completed with all goals</w:t>
            </w:r>
            <w:r w:rsidR="00072EB4">
              <w:rPr>
                <w:rFonts w:ascii="Cambria" w:eastAsia="Calibri" w:hAnsi="Cambria" w:cs="Times New Roman"/>
              </w:rPr>
              <w:t>, all goals expected to be completed by the end of the grant</w:t>
            </w:r>
            <w:r>
              <w:rPr>
                <w:rFonts w:ascii="Cambria" w:eastAsia="Calibri" w:hAnsi="Cambria" w:cs="Times New Roman"/>
              </w:rPr>
              <w:t xml:space="preserve">), reviewed work in progress </w:t>
            </w:r>
            <w:r w:rsidR="00652070">
              <w:rPr>
                <w:rFonts w:ascii="Cambria" w:eastAsia="Calibri" w:hAnsi="Cambria" w:cs="Times New Roman"/>
              </w:rPr>
              <w:t xml:space="preserve">(primarily Process Outcomes measures) </w:t>
            </w:r>
            <w:r>
              <w:rPr>
                <w:rFonts w:ascii="Cambria" w:eastAsia="Calibri" w:hAnsi="Cambria" w:cs="Times New Roman"/>
              </w:rPr>
              <w:t>and discussed moving forward</w:t>
            </w:r>
            <w:r w:rsidR="00A469C9">
              <w:rPr>
                <w:rFonts w:ascii="Cambria" w:eastAsia="Calibri" w:hAnsi="Cambria" w:cs="Times New Roman"/>
              </w:rPr>
              <w:t xml:space="preserve"> (such as a one-time analysis of prescription based drug exposure data)</w:t>
            </w:r>
            <w:r>
              <w:rPr>
                <w:rFonts w:ascii="Cambria" w:eastAsia="Calibri" w:hAnsi="Cambria" w:cs="Times New Roman"/>
              </w:rPr>
              <w:t>.</w:t>
            </w:r>
            <w:r w:rsidR="00BA6A67">
              <w:rPr>
                <w:rFonts w:ascii="Cambria" w:eastAsia="Calibri" w:hAnsi="Cambria" w:cs="Times New Roman"/>
              </w:rPr>
              <w:t xml:space="preserve"> </w:t>
            </w:r>
            <w:r w:rsidR="00707797">
              <w:rPr>
                <w:rFonts w:ascii="Cambria" w:eastAsia="Calibri" w:hAnsi="Cambria" w:cs="Times New Roman"/>
              </w:rPr>
              <w:t>Special attention was</w:t>
            </w:r>
            <w:r w:rsidR="007B6EEA">
              <w:rPr>
                <w:rFonts w:ascii="Cambria" w:eastAsia="Calibri" w:hAnsi="Cambria" w:cs="Times New Roman"/>
              </w:rPr>
              <w:t xml:space="preserve"> given to describing the cohort, and there was discussion on the differences between the variation found in </w:t>
            </w:r>
            <w:proofErr w:type="gramStart"/>
            <w:r w:rsidR="00FD5E07">
              <w:rPr>
                <w:rFonts w:ascii="Cambria" w:eastAsia="Calibri" w:hAnsi="Cambria" w:cs="Times New Roman"/>
              </w:rPr>
              <w:t>the eMERGE</w:t>
            </w:r>
            <w:proofErr w:type="gramEnd"/>
            <w:r w:rsidR="007B6EEA">
              <w:rPr>
                <w:rFonts w:ascii="Cambria" w:eastAsia="Calibri" w:hAnsi="Cambria" w:cs="Times New Roman"/>
              </w:rPr>
              <w:t xml:space="preserve"> cohort and that of other cohorts.</w:t>
            </w:r>
            <w:r w:rsidR="00024E3A">
              <w:rPr>
                <w:rFonts w:ascii="Cambria" w:eastAsia="Calibri" w:hAnsi="Cambria" w:cs="Times New Roman"/>
              </w:rPr>
              <w:t xml:space="preserve">  </w:t>
            </w:r>
            <w:r w:rsidR="00A768D0">
              <w:rPr>
                <w:rFonts w:ascii="Cambria" w:eastAsia="Calibri" w:hAnsi="Cambria" w:cs="Times New Roman"/>
              </w:rPr>
              <w:t xml:space="preserve">The </w:t>
            </w:r>
            <w:proofErr w:type="spellStart"/>
            <w:r w:rsidR="00A768D0">
              <w:rPr>
                <w:rFonts w:ascii="Cambria" w:eastAsia="Calibri" w:hAnsi="Cambria" w:cs="Times New Roman"/>
              </w:rPr>
              <w:t>PGx</w:t>
            </w:r>
            <w:proofErr w:type="spellEnd"/>
            <w:r w:rsidR="00A768D0">
              <w:rPr>
                <w:rFonts w:ascii="Cambria" w:eastAsia="Calibri" w:hAnsi="Cambria" w:cs="Times New Roman"/>
              </w:rPr>
              <w:t xml:space="preserve"> set has significantly more</w:t>
            </w:r>
            <w:r w:rsidR="00024E3A">
              <w:rPr>
                <w:rFonts w:ascii="Cambria" w:eastAsia="Calibri" w:hAnsi="Cambria" w:cs="Times New Roman"/>
              </w:rPr>
              <w:t xml:space="preserve"> variation </w:t>
            </w:r>
            <w:r w:rsidR="009555B9">
              <w:rPr>
                <w:rFonts w:ascii="Cambria" w:eastAsia="Calibri" w:hAnsi="Cambria" w:cs="Times New Roman"/>
              </w:rPr>
              <w:t xml:space="preserve">than </w:t>
            </w:r>
            <w:proofErr w:type="spellStart"/>
            <w:r w:rsidR="009555B9">
              <w:rPr>
                <w:rFonts w:ascii="Cambria" w:eastAsia="Calibri" w:hAnsi="Cambria" w:cs="Times New Roman"/>
              </w:rPr>
              <w:t>ExAC</w:t>
            </w:r>
            <w:proofErr w:type="spellEnd"/>
            <w:r w:rsidR="009555B9">
              <w:rPr>
                <w:rFonts w:ascii="Cambria" w:eastAsia="Calibri" w:hAnsi="Cambria" w:cs="Times New Roman"/>
              </w:rPr>
              <w:t>, for example</w:t>
            </w:r>
            <w:r w:rsidR="00024E3A">
              <w:rPr>
                <w:rFonts w:ascii="Cambria" w:eastAsia="Calibri" w:hAnsi="Cambria" w:cs="Times New Roman"/>
              </w:rPr>
              <w:t>, but we have more read depth.</w:t>
            </w:r>
            <w:r w:rsidR="009555B9">
              <w:rPr>
                <w:rFonts w:ascii="Cambria" w:eastAsia="Calibri" w:hAnsi="Cambria" w:cs="Times New Roman"/>
              </w:rPr>
              <w:t xml:space="preserve">  </w:t>
            </w:r>
            <w:r w:rsidR="00A768D0">
              <w:rPr>
                <w:rFonts w:ascii="Cambria" w:eastAsia="Calibri" w:hAnsi="Cambria" w:cs="Times New Roman"/>
              </w:rPr>
              <w:t>V</w:t>
            </w:r>
            <w:r w:rsidR="009555B9">
              <w:rPr>
                <w:rFonts w:ascii="Cambria" w:eastAsia="Calibri" w:hAnsi="Cambria" w:cs="Times New Roman"/>
              </w:rPr>
              <w:t xml:space="preserve">ariance </w:t>
            </w:r>
            <w:r w:rsidR="00A768D0">
              <w:rPr>
                <w:rFonts w:ascii="Cambria" w:eastAsia="Calibri" w:hAnsi="Cambria" w:cs="Times New Roman"/>
              </w:rPr>
              <w:t xml:space="preserve">is </w:t>
            </w:r>
            <w:r w:rsidR="009555B9">
              <w:rPr>
                <w:rFonts w:ascii="Cambria" w:eastAsia="Calibri" w:hAnsi="Cambria" w:cs="Times New Roman"/>
              </w:rPr>
              <w:t xml:space="preserve">upstream, downstream, and </w:t>
            </w:r>
            <w:proofErr w:type="spellStart"/>
            <w:r w:rsidR="009555B9">
              <w:rPr>
                <w:rFonts w:ascii="Cambria" w:eastAsia="Calibri" w:hAnsi="Cambria" w:cs="Times New Roman"/>
              </w:rPr>
              <w:t>intronic</w:t>
            </w:r>
            <w:proofErr w:type="spellEnd"/>
            <w:r w:rsidR="009555B9">
              <w:rPr>
                <w:rFonts w:ascii="Cambria" w:eastAsia="Calibri" w:hAnsi="Cambria" w:cs="Times New Roman"/>
              </w:rPr>
              <w:t xml:space="preserve"> variance.  Public data is only shared start to st</w:t>
            </w:r>
            <w:r w:rsidR="00F0460D">
              <w:rPr>
                <w:rFonts w:ascii="Cambria" w:eastAsia="Calibri" w:hAnsi="Cambria" w:cs="Times New Roman"/>
              </w:rPr>
              <w:t>op</w:t>
            </w:r>
            <w:r w:rsidR="009555B9">
              <w:rPr>
                <w:rFonts w:ascii="Cambria" w:eastAsia="Calibri" w:hAnsi="Cambria" w:cs="Times New Roman"/>
              </w:rPr>
              <w:t>.  Optimization of the sequencing platform is also a possible source of the discordance.</w:t>
            </w:r>
          </w:p>
          <w:p w14:paraId="62FEB323" w14:textId="41B8D781" w:rsidR="00E1601F" w:rsidRPr="00E1601F" w:rsidRDefault="00E1601F" w:rsidP="003127C2">
            <w:pPr>
              <w:shd w:val="clear" w:color="auto" w:fill="FFFFFF"/>
              <w:spacing w:before="120" w:after="120" w:line="240" w:lineRule="auto"/>
              <w:textAlignment w:val="baseline"/>
              <w:rPr>
                <w:rFonts w:ascii="Cambria" w:eastAsia="Calibri" w:hAnsi="Cambria" w:cs="Times New Roman"/>
              </w:rPr>
            </w:pPr>
            <w:r w:rsidRPr="00E1601F">
              <w:rPr>
                <w:rFonts w:ascii="Cambria" w:eastAsia="Calibri" w:hAnsi="Cambria" w:cs="Times New Roman"/>
                <w:u w:val="single"/>
              </w:rPr>
              <w:t>BCH / CCHMC Site Report</w:t>
            </w:r>
            <w:r w:rsidR="0066451D">
              <w:rPr>
                <w:rFonts w:ascii="Cambria" w:eastAsia="Calibri" w:hAnsi="Cambria" w:cs="Times New Roman"/>
                <w:u w:val="single"/>
              </w:rPr>
              <w:t xml:space="preserve"> </w:t>
            </w:r>
            <w:r>
              <w:rPr>
                <w:rFonts w:ascii="Cambria" w:eastAsia="Calibri" w:hAnsi="Cambria" w:cs="Times New Roman"/>
              </w:rPr>
              <w:t xml:space="preserve">- </w:t>
            </w:r>
            <w:r w:rsidR="003127C2">
              <w:rPr>
                <w:rFonts w:ascii="Cambria" w:eastAsia="Calibri" w:hAnsi="Cambria" w:cs="Times New Roman"/>
                <w:i/>
              </w:rPr>
              <w:t>Ingrid Holm</w:t>
            </w:r>
            <w:r w:rsidR="00BC04A5">
              <w:rPr>
                <w:rFonts w:ascii="Cambria" w:eastAsia="Calibri" w:hAnsi="Cambria" w:cs="Times New Roman"/>
                <w:i/>
              </w:rPr>
              <w:t xml:space="preserve"> </w:t>
            </w:r>
            <w:r w:rsidRPr="00E1601F">
              <w:rPr>
                <w:rFonts w:ascii="Cambria" w:eastAsia="Calibri" w:hAnsi="Cambria" w:cs="Times New Roman"/>
                <w:i/>
              </w:rPr>
              <w:t>and John Harley</w:t>
            </w:r>
          </w:p>
          <w:p w14:paraId="2A8AA11D" w14:textId="77777777" w:rsidR="00BA6A67" w:rsidRPr="00BA6A67" w:rsidRDefault="003C3D4F" w:rsidP="00BA6A67">
            <w:pPr>
              <w:numPr>
                <w:ilvl w:val="0"/>
                <w:numId w:val="5"/>
              </w:numPr>
              <w:shd w:val="clear" w:color="auto" w:fill="FFFFFF"/>
              <w:spacing w:after="0" w:line="240" w:lineRule="auto"/>
              <w:textAlignment w:val="baseline"/>
              <w:rPr>
                <w:rFonts w:ascii="Cambria" w:eastAsia="Calibri" w:hAnsi="Cambria" w:cs="Times New Roman"/>
                <w:b/>
              </w:rPr>
            </w:pPr>
            <w:r w:rsidRPr="00BF4BD2">
              <w:rPr>
                <w:rFonts w:ascii="Cambria" w:eastAsia="Calibri" w:hAnsi="Cambria" w:cs="Times New Roman"/>
              </w:rPr>
              <w:t>The site reported th</w:t>
            </w:r>
            <w:r w:rsidR="00BF4BD2" w:rsidRPr="00BF4BD2">
              <w:rPr>
                <w:rFonts w:ascii="Cambria" w:eastAsia="Calibri" w:hAnsi="Cambria" w:cs="Times New Roman"/>
              </w:rPr>
              <w:t>ei</w:t>
            </w:r>
            <w:r w:rsidR="00BF4BD2">
              <w:rPr>
                <w:rFonts w:ascii="Cambria" w:eastAsia="Calibri" w:hAnsi="Cambria" w:cs="Times New Roman"/>
              </w:rPr>
              <w:t xml:space="preserve">r progress towards their aims.  Results towards their first aim include creating a model for ensuring phenotypic standardization and national scalability (SHRINE).  </w:t>
            </w:r>
            <w:r w:rsidR="00E23351">
              <w:rPr>
                <w:rFonts w:ascii="Cambria" w:eastAsia="Calibri" w:hAnsi="Cambria" w:cs="Times New Roman"/>
              </w:rPr>
              <w:t xml:space="preserve">Aim 2 results </w:t>
            </w:r>
            <w:r w:rsidR="00FB09D2">
              <w:rPr>
                <w:rFonts w:ascii="Cambria" w:eastAsia="Calibri" w:hAnsi="Cambria" w:cs="Times New Roman"/>
              </w:rPr>
              <w:t xml:space="preserve">include the indication of </w:t>
            </w:r>
            <w:r w:rsidR="00E23351">
              <w:rPr>
                <w:rFonts w:ascii="Cambria" w:eastAsia="Calibri" w:hAnsi="Cambria" w:cs="Times New Roman"/>
              </w:rPr>
              <w:t>age dependence of the obesity phenotype,</w:t>
            </w:r>
            <w:r w:rsidR="00FB09D2">
              <w:rPr>
                <w:rFonts w:ascii="Cambria" w:eastAsia="Calibri" w:hAnsi="Cambria" w:cs="Times New Roman"/>
              </w:rPr>
              <w:t xml:space="preserve"> the identification</w:t>
            </w:r>
            <w:r w:rsidR="00E23351">
              <w:rPr>
                <w:rFonts w:ascii="Cambria" w:eastAsia="Calibri" w:hAnsi="Cambria" w:cs="Times New Roman"/>
              </w:rPr>
              <w:t xml:space="preserve"> of a subgroup of autistic patients that had seizures</w:t>
            </w:r>
            <w:r w:rsidR="000D4F44">
              <w:rPr>
                <w:rFonts w:ascii="Cambria" w:eastAsia="Calibri" w:hAnsi="Cambria" w:cs="Times New Roman"/>
              </w:rPr>
              <w:t>, and investigations in</w:t>
            </w:r>
            <w:r w:rsidR="00471240">
              <w:rPr>
                <w:rFonts w:ascii="Cambria" w:eastAsia="Calibri" w:hAnsi="Cambria" w:cs="Times New Roman"/>
              </w:rPr>
              <w:t>to inversion/risk haplotype at BLK</w:t>
            </w:r>
            <w:r w:rsidR="00BA6A67">
              <w:rPr>
                <w:rFonts w:ascii="Cambria" w:eastAsia="Calibri" w:hAnsi="Cambria" w:cs="Times New Roman"/>
              </w:rPr>
              <w:t>.</w:t>
            </w:r>
          </w:p>
          <w:p w14:paraId="06FA6FA9" w14:textId="382E846B" w:rsidR="00BF4BD2" w:rsidRPr="00BF4BD2" w:rsidRDefault="00FB09D2" w:rsidP="00BA6A67">
            <w:pPr>
              <w:numPr>
                <w:ilvl w:val="0"/>
                <w:numId w:val="5"/>
              </w:numPr>
              <w:shd w:val="clear" w:color="auto" w:fill="FFFFFF"/>
              <w:spacing w:after="0" w:line="240" w:lineRule="auto"/>
              <w:textAlignment w:val="baseline"/>
              <w:rPr>
                <w:rFonts w:ascii="Cambria" w:eastAsia="Calibri" w:hAnsi="Cambria" w:cs="Times New Roman"/>
                <w:b/>
              </w:rPr>
            </w:pPr>
            <w:r>
              <w:rPr>
                <w:rFonts w:ascii="Cambria" w:eastAsia="Calibri" w:hAnsi="Cambria" w:cs="Times New Roman"/>
              </w:rPr>
              <w:t xml:space="preserve">The group also described </w:t>
            </w:r>
            <w:proofErr w:type="spellStart"/>
            <w:r>
              <w:rPr>
                <w:rFonts w:ascii="Cambria" w:eastAsia="Calibri" w:hAnsi="Cambria" w:cs="Times New Roman"/>
              </w:rPr>
              <w:t>PGRN</w:t>
            </w:r>
            <w:r w:rsidR="009555B9">
              <w:rPr>
                <w:rFonts w:ascii="Cambria" w:eastAsia="Calibri" w:hAnsi="Cambria" w:cs="Times New Roman"/>
              </w:rPr>
              <w:t>s</w:t>
            </w:r>
            <w:r>
              <w:rPr>
                <w:rFonts w:ascii="Cambria" w:eastAsia="Calibri" w:hAnsi="Cambria" w:cs="Times New Roman"/>
              </w:rPr>
              <w:t>eq</w:t>
            </w:r>
            <w:proofErr w:type="spellEnd"/>
            <w:r>
              <w:rPr>
                <w:rFonts w:ascii="Cambria" w:eastAsia="Calibri" w:hAnsi="Cambria" w:cs="Times New Roman"/>
              </w:rPr>
              <w:t xml:space="preserve"> data (776 </w:t>
            </w:r>
            <w:proofErr w:type="spellStart"/>
            <w:r>
              <w:rPr>
                <w:rFonts w:ascii="Cambria" w:eastAsia="Calibri" w:hAnsi="Cambria" w:cs="Times New Roman"/>
              </w:rPr>
              <w:t>PGRN</w:t>
            </w:r>
            <w:r w:rsidR="009555B9">
              <w:rPr>
                <w:rFonts w:ascii="Cambria" w:eastAsia="Calibri" w:hAnsi="Cambria" w:cs="Times New Roman"/>
              </w:rPr>
              <w:t>s</w:t>
            </w:r>
            <w:r>
              <w:rPr>
                <w:rFonts w:ascii="Cambria" w:eastAsia="Calibri" w:hAnsi="Cambria" w:cs="Times New Roman"/>
              </w:rPr>
              <w:t>eq</w:t>
            </w:r>
            <w:proofErr w:type="spellEnd"/>
            <w:r>
              <w:rPr>
                <w:rFonts w:ascii="Cambria" w:eastAsia="Calibri" w:hAnsi="Cambria" w:cs="Times New Roman"/>
              </w:rPr>
              <w:t xml:space="preserve"> results were received and uploaded to SPHINX and </w:t>
            </w:r>
            <w:proofErr w:type="spellStart"/>
            <w:r>
              <w:rPr>
                <w:rFonts w:ascii="Cambria" w:eastAsia="Calibri" w:hAnsi="Cambria" w:cs="Times New Roman"/>
              </w:rPr>
              <w:t>dbGaP</w:t>
            </w:r>
            <w:proofErr w:type="spellEnd"/>
            <w:r>
              <w:rPr>
                <w:rFonts w:ascii="Cambria" w:eastAsia="Calibri" w:hAnsi="Cambria" w:cs="Times New Roman"/>
              </w:rPr>
              <w:t xml:space="preserve">).  </w:t>
            </w:r>
            <w:r w:rsidR="00BF4BD2">
              <w:rPr>
                <w:rFonts w:ascii="Cambria" w:eastAsia="Calibri" w:hAnsi="Cambria" w:cs="Times New Roman"/>
              </w:rPr>
              <w:t xml:space="preserve">Results towards aim 3 </w:t>
            </w:r>
            <w:r w:rsidR="00194F95">
              <w:rPr>
                <w:rFonts w:ascii="Cambria" w:eastAsia="Calibri" w:hAnsi="Cambria" w:cs="Times New Roman"/>
              </w:rPr>
              <w:t>indicated parents and physicians used CYP2D6 results to care for the child, and parents were likely to share the CYP2D6 results with their child’s physician</w:t>
            </w:r>
            <w:r w:rsidR="007864E4">
              <w:rPr>
                <w:rFonts w:ascii="Cambria" w:eastAsia="Calibri" w:hAnsi="Cambria" w:cs="Times New Roman"/>
              </w:rPr>
              <w:t xml:space="preserve"> and pharmacist (but not with the child)</w:t>
            </w:r>
            <w:r w:rsidR="00194F95">
              <w:rPr>
                <w:rFonts w:ascii="Cambria" w:eastAsia="Calibri" w:hAnsi="Cambria" w:cs="Times New Roman"/>
              </w:rPr>
              <w:t>.</w:t>
            </w:r>
            <w:r w:rsidR="00BA6A67">
              <w:rPr>
                <w:rFonts w:ascii="Cambria" w:eastAsia="Calibri" w:hAnsi="Cambria" w:cs="Times New Roman"/>
              </w:rPr>
              <w:t xml:space="preserve"> </w:t>
            </w:r>
            <w:r w:rsidR="007864E4">
              <w:rPr>
                <w:rFonts w:ascii="Cambria" w:eastAsia="Calibri" w:hAnsi="Cambria" w:cs="Times New Roman"/>
              </w:rPr>
              <w:t xml:space="preserve">Aim 4 results include providers placing importance on returning research results that could potentially improve their patients’ health outcomes (82% plan to enter CYP2D6 results in </w:t>
            </w:r>
            <w:r>
              <w:rPr>
                <w:rFonts w:ascii="Cambria" w:eastAsia="Calibri" w:hAnsi="Cambria" w:cs="Times New Roman"/>
              </w:rPr>
              <w:t>child’s</w:t>
            </w:r>
            <w:r w:rsidR="007864E4">
              <w:rPr>
                <w:rFonts w:ascii="Cambria" w:eastAsia="Calibri" w:hAnsi="Cambria" w:cs="Times New Roman"/>
              </w:rPr>
              <w:t xml:space="preserve"> EMR).  </w:t>
            </w:r>
            <w:r w:rsidR="00194F95">
              <w:rPr>
                <w:rFonts w:ascii="Cambria" w:eastAsia="Calibri" w:hAnsi="Cambria" w:cs="Times New Roman"/>
              </w:rPr>
              <w:t xml:space="preserve">  </w:t>
            </w:r>
          </w:p>
          <w:p w14:paraId="4DDB01A6" w14:textId="313430C9" w:rsidR="00BF4BD2" w:rsidRPr="0066451D" w:rsidRDefault="0066451D" w:rsidP="003127C2">
            <w:pPr>
              <w:shd w:val="clear" w:color="auto" w:fill="FFFFFF"/>
              <w:spacing w:before="120" w:after="120" w:line="240" w:lineRule="auto"/>
              <w:textAlignment w:val="baseline"/>
              <w:rPr>
                <w:rFonts w:ascii="Cambria" w:eastAsia="Calibri" w:hAnsi="Cambria" w:cs="Times New Roman"/>
              </w:rPr>
            </w:pPr>
            <w:proofErr w:type="spellStart"/>
            <w:r w:rsidRPr="0066451D">
              <w:rPr>
                <w:rFonts w:ascii="Cambria" w:eastAsia="Calibri" w:hAnsi="Cambria" w:cs="Times New Roman"/>
                <w:u w:val="single"/>
              </w:rPr>
              <w:lastRenderedPageBreak/>
              <w:t>PGx</w:t>
            </w:r>
            <w:proofErr w:type="spellEnd"/>
            <w:r w:rsidRPr="0066451D">
              <w:rPr>
                <w:rFonts w:ascii="Cambria" w:eastAsia="Calibri" w:hAnsi="Cambria" w:cs="Times New Roman"/>
                <w:u w:val="single"/>
              </w:rPr>
              <w:t xml:space="preserve"> CDS Process Outcomes</w:t>
            </w:r>
            <w:r w:rsidRPr="0066451D">
              <w:rPr>
                <w:rFonts w:ascii="Cambria" w:eastAsia="Calibri" w:hAnsi="Cambria" w:cs="Times New Roman"/>
              </w:rPr>
              <w:t xml:space="preserve"> – </w:t>
            </w:r>
            <w:r w:rsidRPr="0066451D">
              <w:rPr>
                <w:rFonts w:ascii="Cambria" w:eastAsia="Calibri" w:hAnsi="Cambria" w:cs="Times New Roman"/>
                <w:i/>
              </w:rPr>
              <w:t>Tim Herr</w:t>
            </w:r>
          </w:p>
          <w:p w14:paraId="1CC6EA6D" w14:textId="77777777" w:rsidR="00BA6A67" w:rsidRDefault="0066451D" w:rsidP="00BA6A67">
            <w:pPr>
              <w:numPr>
                <w:ilvl w:val="0"/>
                <w:numId w:val="5"/>
              </w:numPr>
              <w:shd w:val="clear" w:color="auto" w:fill="FFFFFF"/>
              <w:spacing w:after="0" w:line="240" w:lineRule="auto"/>
              <w:textAlignment w:val="baseline"/>
              <w:rPr>
                <w:rFonts w:ascii="Cambria" w:eastAsia="Calibri" w:hAnsi="Cambria" w:cs="Times New Roman"/>
              </w:rPr>
            </w:pPr>
            <w:r w:rsidRPr="0066451D">
              <w:rPr>
                <w:rFonts w:ascii="Cambria" w:eastAsia="Calibri" w:hAnsi="Cambria" w:cs="Times New Roman"/>
              </w:rPr>
              <w:t>Dr</w:t>
            </w:r>
            <w:r w:rsidR="000571CB">
              <w:rPr>
                <w:rFonts w:ascii="Cambria" w:eastAsia="Calibri" w:hAnsi="Cambria" w:cs="Times New Roman"/>
              </w:rPr>
              <w:t>.</w:t>
            </w:r>
            <w:r w:rsidRPr="0066451D">
              <w:rPr>
                <w:rFonts w:ascii="Cambria" w:eastAsia="Calibri" w:hAnsi="Cambria" w:cs="Times New Roman"/>
              </w:rPr>
              <w:t xml:space="preserve"> Her</w:t>
            </w:r>
            <w:r>
              <w:rPr>
                <w:rFonts w:ascii="Cambria" w:eastAsia="Calibri" w:hAnsi="Cambria" w:cs="Times New Roman"/>
              </w:rPr>
              <w:t xml:space="preserve">r discussed how </w:t>
            </w:r>
            <w:proofErr w:type="spellStart"/>
            <w:r>
              <w:rPr>
                <w:rFonts w:ascii="Cambria" w:eastAsia="Calibri" w:hAnsi="Cambria" w:cs="Times New Roman"/>
              </w:rPr>
              <w:t>PGx</w:t>
            </w:r>
            <w:proofErr w:type="spellEnd"/>
            <w:r>
              <w:rPr>
                <w:rFonts w:ascii="Cambria" w:eastAsia="Calibri" w:hAnsi="Cambria" w:cs="Times New Roman"/>
              </w:rPr>
              <w:t xml:space="preserve"> CDS alerts effect clinical action by inventorying alert scenarios across sites, gathering data on firing rate, and determining how physicians are interacting with the data.</w:t>
            </w:r>
            <w:r w:rsidR="007E6A0D">
              <w:rPr>
                <w:rFonts w:ascii="Cambria" w:eastAsia="Calibri" w:hAnsi="Cambria" w:cs="Times New Roman"/>
              </w:rPr>
              <w:t xml:space="preserve">  This report also expounded on previous discussions of when to initiate clinical decision support (at time of </w:t>
            </w:r>
            <w:r w:rsidR="000571CB">
              <w:rPr>
                <w:rFonts w:ascii="Cambria" w:eastAsia="Calibri" w:hAnsi="Cambria" w:cs="Times New Roman"/>
              </w:rPr>
              <w:t>prescription</w:t>
            </w:r>
            <w:r w:rsidR="007E6A0D">
              <w:rPr>
                <w:rFonts w:ascii="Cambria" w:eastAsia="Calibri" w:hAnsi="Cambria" w:cs="Times New Roman"/>
              </w:rPr>
              <w:t xml:space="preserve"> or downstream), and how to in</w:t>
            </w:r>
            <w:r w:rsidR="000571CB">
              <w:rPr>
                <w:rFonts w:ascii="Cambria" w:eastAsia="Calibri" w:hAnsi="Cambria" w:cs="Times New Roman"/>
              </w:rPr>
              <w:t>itiate it (actively or passively</w:t>
            </w:r>
            <w:r w:rsidR="00BA6A67">
              <w:rPr>
                <w:rFonts w:ascii="Cambria" w:eastAsia="Calibri" w:hAnsi="Cambria" w:cs="Times New Roman"/>
              </w:rPr>
              <w:t>).</w:t>
            </w:r>
          </w:p>
          <w:p w14:paraId="6E80C81B" w14:textId="77777777" w:rsidR="00BA6A67" w:rsidRDefault="004B07FE"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Preliminary results of the study indicate that just because a physician ignored an alert doesn’t mean the alert wasn’t considered in the treatment plan.  Passive alerts are potentially a useful way of disseminating information.  </w:t>
            </w:r>
            <w:proofErr w:type="spellStart"/>
            <w:r>
              <w:rPr>
                <w:rFonts w:ascii="Cambria" w:eastAsia="Calibri" w:hAnsi="Cambria" w:cs="Times New Roman"/>
              </w:rPr>
              <w:t>Clopidogrel</w:t>
            </w:r>
            <w:proofErr w:type="spellEnd"/>
            <w:r>
              <w:rPr>
                <w:rFonts w:ascii="Cambria" w:eastAsia="Calibri" w:hAnsi="Cambria" w:cs="Times New Roman"/>
              </w:rPr>
              <w:t xml:space="preserve"> is the most common alert firing</w:t>
            </w:r>
            <w:r w:rsidR="00EE3236">
              <w:rPr>
                <w:rFonts w:ascii="Cambria" w:eastAsia="Calibri" w:hAnsi="Cambria" w:cs="Times New Roman"/>
              </w:rPr>
              <w:t xml:space="preserve">, and while on the whole physicians took no action, there was some change (23 followed the alert).  One explanation is that the alert can be viewed and acted on at any time after firing, and they may see the alert at a time when they aren’t making a prescribing decision yet. </w:t>
            </w:r>
            <w:r w:rsidR="00503456">
              <w:rPr>
                <w:rFonts w:ascii="Cambria" w:eastAsia="Calibri" w:hAnsi="Cambria" w:cs="Times New Roman"/>
              </w:rPr>
              <w:t xml:space="preserve"> Also, there are differences in recommendation acceptance of different DGIs</w:t>
            </w:r>
            <w:r w:rsidR="00560439">
              <w:rPr>
                <w:rFonts w:ascii="Cambria" w:eastAsia="Calibri" w:hAnsi="Cambria" w:cs="Times New Roman"/>
              </w:rPr>
              <w:t xml:space="preserve"> (Simvastatin recommendations were accepted more often than those for Warfarin)</w:t>
            </w:r>
            <w:r w:rsidR="00BA6A67">
              <w:rPr>
                <w:rFonts w:ascii="Cambria" w:eastAsia="Calibri" w:hAnsi="Cambria" w:cs="Times New Roman"/>
              </w:rPr>
              <w:t>.</w:t>
            </w:r>
          </w:p>
          <w:p w14:paraId="676F968A" w14:textId="6B9AD655" w:rsidR="0066451D" w:rsidRPr="0066451D" w:rsidRDefault="006C67F9"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Follow up interviews to gather qualitative information are </w:t>
            </w:r>
            <w:r w:rsidR="008A205B">
              <w:rPr>
                <w:rFonts w:ascii="Cambria" w:eastAsia="Calibri" w:hAnsi="Cambria" w:cs="Times New Roman"/>
              </w:rPr>
              <w:t>in process</w:t>
            </w:r>
            <w:r>
              <w:rPr>
                <w:rFonts w:ascii="Cambria" w:eastAsia="Calibri" w:hAnsi="Cambria" w:cs="Times New Roman"/>
              </w:rPr>
              <w:t xml:space="preserve">.  </w:t>
            </w:r>
            <w:r w:rsidR="00EE3236">
              <w:rPr>
                <w:rFonts w:ascii="Cambria" w:eastAsia="Calibri" w:hAnsi="Cambria" w:cs="Times New Roman"/>
              </w:rPr>
              <w:t>The group discussed legal precedence and implications of CDS, including where liability lies</w:t>
            </w:r>
            <w:r w:rsidR="00AB0720">
              <w:rPr>
                <w:rFonts w:ascii="Cambria" w:eastAsia="Calibri" w:hAnsi="Cambria" w:cs="Times New Roman"/>
              </w:rPr>
              <w:t xml:space="preserve"> and standard of care</w:t>
            </w:r>
            <w:r w:rsidR="00EE3236">
              <w:rPr>
                <w:rFonts w:ascii="Cambria" w:eastAsia="Calibri" w:hAnsi="Cambria" w:cs="Times New Roman"/>
              </w:rPr>
              <w:t xml:space="preserve">.  </w:t>
            </w:r>
          </w:p>
          <w:p w14:paraId="2D29EFF5" w14:textId="088FFAC7" w:rsidR="00BC04A5" w:rsidRPr="003127C2" w:rsidRDefault="004B465A" w:rsidP="003127C2">
            <w:pPr>
              <w:shd w:val="clear" w:color="auto" w:fill="FFFFFF"/>
              <w:spacing w:before="120" w:after="120" w:line="240" w:lineRule="auto"/>
              <w:textAlignment w:val="baseline"/>
              <w:rPr>
                <w:rFonts w:ascii="Cambria" w:eastAsia="Calibri" w:hAnsi="Cambria" w:cs="Times New Roman"/>
                <w:u w:val="single"/>
              </w:rPr>
            </w:pPr>
            <w:r w:rsidRPr="003127C2">
              <w:rPr>
                <w:rFonts w:ascii="Cambria" w:eastAsia="Calibri" w:hAnsi="Cambria" w:cs="Times New Roman"/>
                <w:u w:val="single"/>
              </w:rPr>
              <w:t>Phenotyping Workgroup Update</w:t>
            </w:r>
            <w:r w:rsidR="00BC04A5" w:rsidRPr="003127C2">
              <w:rPr>
                <w:rFonts w:ascii="Cambria" w:eastAsia="Calibri" w:hAnsi="Cambria" w:cs="Times New Roman"/>
              </w:rPr>
              <w:t xml:space="preserve"> </w:t>
            </w:r>
            <w:r w:rsidR="00BC04A5" w:rsidRPr="003127C2">
              <w:rPr>
                <w:rFonts w:ascii="Cambria" w:eastAsia="Calibri" w:hAnsi="Cambria" w:cs="Times New Roman"/>
                <w:i/>
              </w:rPr>
              <w:t xml:space="preserve">– </w:t>
            </w:r>
            <w:r w:rsidR="003C56D0" w:rsidRPr="003127C2">
              <w:rPr>
                <w:rFonts w:ascii="Cambria" w:eastAsia="Calibri" w:hAnsi="Cambria" w:cs="Times New Roman"/>
                <w:i/>
              </w:rPr>
              <w:t xml:space="preserve">Josh Denny </w:t>
            </w:r>
            <w:r w:rsidR="00BC04A5" w:rsidRPr="003127C2">
              <w:rPr>
                <w:rFonts w:ascii="Cambria" w:eastAsia="Calibri" w:hAnsi="Cambria" w:cs="Times New Roman"/>
                <w:i/>
              </w:rPr>
              <w:t xml:space="preserve">&amp; Peggy </w:t>
            </w:r>
            <w:r w:rsidR="003C56D0" w:rsidRPr="003127C2">
              <w:rPr>
                <w:rFonts w:ascii="Cambria" w:eastAsia="Calibri" w:hAnsi="Cambria" w:cs="Times New Roman"/>
                <w:i/>
              </w:rPr>
              <w:t>Peissig</w:t>
            </w:r>
          </w:p>
          <w:p w14:paraId="34242B04" w14:textId="2CB0B415" w:rsidR="004B465A" w:rsidRPr="00BC04A5" w:rsidRDefault="004B465A"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sidRPr="00BC04A5">
              <w:rPr>
                <w:rFonts w:ascii="Cambria" w:eastAsia="Calibri" w:hAnsi="Cambria" w:cs="Times New Roman"/>
              </w:rPr>
              <w:t>The workgroup completed a total of 56 phenotyping algorithms throughout eMERGE I &amp; II</w:t>
            </w:r>
            <w:r w:rsidR="00774551">
              <w:rPr>
                <w:rFonts w:ascii="Cambria" w:eastAsia="Calibri" w:hAnsi="Cambria" w:cs="Times New Roman"/>
              </w:rPr>
              <w:t>.  T</w:t>
            </w:r>
            <w:r w:rsidRPr="00BC04A5">
              <w:rPr>
                <w:rFonts w:ascii="Cambria" w:eastAsia="Calibri" w:hAnsi="Cambria" w:cs="Times New Roman"/>
              </w:rPr>
              <w:t xml:space="preserve">he phenotypes </w:t>
            </w:r>
            <w:r w:rsidR="00935391" w:rsidRPr="00BC04A5">
              <w:rPr>
                <w:rFonts w:ascii="Cambria" w:eastAsia="Calibri" w:hAnsi="Cambria" w:cs="Times New Roman"/>
              </w:rPr>
              <w:t>had ~</w:t>
            </w:r>
            <w:r w:rsidRPr="00BC04A5">
              <w:rPr>
                <w:rFonts w:ascii="Cambria" w:eastAsia="Calibri" w:hAnsi="Cambria" w:cs="Times New Roman"/>
              </w:rPr>
              <w:t>98</w:t>
            </w:r>
            <w:r w:rsidR="00935391" w:rsidRPr="00BC04A5">
              <w:rPr>
                <w:rFonts w:ascii="Cambria" w:eastAsia="Calibri" w:hAnsi="Cambria" w:cs="Times New Roman"/>
              </w:rPr>
              <w:t>% PPV</w:t>
            </w:r>
            <w:r w:rsidR="008A205B">
              <w:rPr>
                <w:rFonts w:ascii="Cambria" w:eastAsia="Calibri" w:hAnsi="Cambria" w:cs="Times New Roman"/>
              </w:rPr>
              <w:t xml:space="preserve"> overall</w:t>
            </w:r>
            <w:r w:rsidR="00935391" w:rsidRPr="00BC04A5">
              <w:rPr>
                <w:rFonts w:ascii="Cambria" w:eastAsia="Calibri" w:hAnsi="Cambria" w:cs="Times New Roman"/>
              </w:rPr>
              <w:t>.</w:t>
            </w:r>
          </w:p>
          <w:p w14:paraId="3E16BE14" w14:textId="77777777" w:rsidR="004B465A" w:rsidRPr="004B465A" w:rsidRDefault="004B465A"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Working with Brad Malin, the group developed meta-analysis tools (</w:t>
            </w:r>
            <w:proofErr w:type="spellStart"/>
            <w:r>
              <w:rPr>
                <w:rFonts w:ascii="Cambria" w:eastAsia="Calibri" w:hAnsi="Cambria" w:cs="Times New Roman"/>
              </w:rPr>
              <w:t>SecureMA</w:t>
            </w:r>
            <w:proofErr w:type="spellEnd"/>
            <w:r>
              <w:rPr>
                <w:rFonts w:ascii="Cambria" w:eastAsia="Calibri" w:hAnsi="Cambria" w:cs="Times New Roman"/>
              </w:rPr>
              <w:t>), as was able to do a systematic review of re-identification attacks (findings showed only 1 paper using modern de-identification methods on healthcare data, and had a success rate of .013%).</w:t>
            </w:r>
          </w:p>
          <w:p w14:paraId="2777D3AE" w14:textId="08D4BD2B" w:rsidR="004B465A" w:rsidRPr="00935391" w:rsidRDefault="004B465A"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 xml:space="preserve">During Phase II, PheKB.org was expanded </w:t>
            </w:r>
            <w:r w:rsidR="001F6C83">
              <w:rPr>
                <w:rFonts w:ascii="Cambria" w:eastAsia="Calibri" w:hAnsi="Cambria" w:cs="Times New Roman"/>
              </w:rPr>
              <w:t xml:space="preserve">to include </w:t>
            </w:r>
            <w:r>
              <w:rPr>
                <w:rFonts w:ascii="Cambria" w:eastAsia="Calibri" w:hAnsi="Cambria" w:cs="Times New Roman"/>
              </w:rPr>
              <w:t>validation tools.</w:t>
            </w:r>
          </w:p>
          <w:p w14:paraId="61A48CE5" w14:textId="278C42B7" w:rsidR="00935391" w:rsidRPr="00935391" w:rsidRDefault="00935391"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Portable NLP was explored during Phase II</w:t>
            </w:r>
            <w:r w:rsidR="00552EEC">
              <w:rPr>
                <w:rFonts w:ascii="Cambria" w:eastAsia="Calibri" w:hAnsi="Cambria" w:cs="Times New Roman"/>
              </w:rPr>
              <w:t>.</w:t>
            </w:r>
          </w:p>
          <w:p w14:paraId="6528C5F4" w14:textId="0617AADD" w:rsidR="00935391" w:rsidRPr="00935391" w:rsidRDefault="00935391"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The KNIME workflow engine was utilized for phenotyping at a</w:t>
            </w:r>
            <w:r w:rsidR="008A205B">
              <w:rPr>
                <w:rFonts w:ascii="Cambria" w:eastAsia="Calibri" w:hAnsi="Cambria" w:cs="Times New Roman"/>
              </w:rPr>
              <w:t xml:space="preserve"> minimum of</w:t>
            </w:r>
            <w:r>
              <w:rPr>
                <w:rFonts w:ascii="Cambria" w:eastAsia="Calibri" w:hAnsi="Cambria" w:cs="Times New Roman"/>
              </w:rPr>
              <w:t xml:space="preserve"> 2 sites for 4 phenotypes. This engine was shown to reduce implementation burden at other sites, although the group noted that a common data model would help more sites be able to utilize.</w:t>
            </w:r>
          </w:p>
          <w:p w14:paraId="3DBFEFFB" w14:textId="77777777" w:rsidR="00935391" w:rsidRPr="00BC04A5" w:rsidRDefault="00BC04A5"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w:t>
            </w:r>
            <w:r w:rsidR="00935391">
              <w:rPr>
                <w:rFonts w:ascii="Cambria" w:eastAsia="Calibri" w:hAnsi="Cambria" w:cs="Times New Roman"/>
              </w:rPr>
              <w:t>A Prototype for Executable and Portable Electronic Clinical Quality Measures Using the KNIME Analytic Platform</w:t>
            </w:r>
            <w:r>
              <w:rPr>
                <w:rFonts w:ascii="Cambria" w:eastAsia="Calibri" w:hAnsi="Cambria" w:cs="Times New Roman"/>
              </w:rPr>
              <w:t>” - Winner of ‘Best Paper Award’ at 2015 AMIA CRI</w:t>
            </w:r>
          </w:p>
          <w:p w14:paraId="3532A7DD" w14:textId="0382A9C8" w:rsidR="00BC04A5" w:rsidRPr="00BA6A67" w:rsidRDefault="00BC04A5" w:rsidP="00BA6A67">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 xml:space="preserve">The workgroup published 91 papers, with an additional 19 in progress. </w:t>
            </w:r>
          </w:p>
          <w:p w14:paraId="1C9E442F" w14:textId="1F7421D1" w:rsidR="00BC04A5" w:rsidRPr="003127C2" w:rsidRDefault="00BC04A5" w:rsidP="003127C2">
            <w:pPr>
              <w:shd w:val="clear" w:color="auto" w:fill="FFFFFF"/>
              <w:spacing w:before="120" w:after="120" w:line="240" w:lineRule="auto"/>
              <w:textAlignment w:val="baseline"/>
              <w:rPr>
                <w:rFonts w:ascii="Cambria" w:eastAsia="Calibri" w:hAnsi="Cambria" w:cs="Times New Roman"/>
                <w:u w:val="single"/>
              </w:rPr>
            </w:pPr>
            <w:r w:rsidRPr="003127C2">
              <w:rPr>
                <w:rFonts w:ascii="Cambria" w:eastAsia="Calibri" w:hAnsi="Cambria" w:cs="Times New Roman"/>
                <w:u w:val="single"/>
              </w:rPr>
              <w:t>Next Generation Phenotyping Using Interoperable Big Data</w:t>
            </w:r>
            <w:r w:rsidRPr="003127C2">
              <w:rPr>
                <w:rFonts w:ascii="Cambria" w:eastAsia="Calibri" w:hAnsi="Cambria" w:cs="Times New Roman"/>
              </w:rPr>
              <w:t xml:space="preserve"> – </w:t>
            </w:r>
            <w:r w:rsidRPr="003127C2">
              <w:rPr>
                <w:rFonts w:ascii="Cambria" w:eastAsia="Calibri" w:hAnsi="Cambria" w:cs="Times New Roman"/>
                <w:i/>
              </w:rPr>
              <w:t>George Hripcsak &amp; Chunhua Weng</w:t>
            </w:r>
          </w:p>
          <w:p w14:paraId="2DE06E1B" w14:textId="2E3B087B" w:rsidR="00BC04A5" w:rsidRPr="006A2D2A" w:rsidRDefault="006A2D2A"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An overview of OHDSI was provided. Observational Health Data Sciences and Informatics (OHDSI) is a network of researchers and health databases with a central coordinating center at Columbia. Their mission is to provide a large-scale analysis of observational health databases for population-level estimation and patient-level predictions. The vision for OHDSI is for patients and clinicians to use the tool to access evidence based on a 1 billion patient cohort. OHDSI is currently comprised of &gt;120 collaborators from 11 different countries.</w:t>
            </w:r>
          </w:p>
          <w:p w14:paraId="1B3F3697" w14:textId="77777777" w:rsidR="003C56D0" w:rsidRPr="003C56D0" w:rsidRDefault="006A2D2A"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Takes 3 months for collaborators to convert data to the common data model.</w:t>
            </w:r>
          </w:p>
          <w:p w14:paraId="2A7D9660" w14:textId="6399D458" w:rsidR="006A2D2A" w:rsidRPr="003127C2" w:rsidRDefault="003C56D0" w:rsidP="003127C2">
            <w:pPr>
              <w:shd w:val="clear" w:color="auto" w:fill="FFFFFF"/>
              <w:spacing w:before="120" w:after="120" w:line="240" w:lineRule="auto"/>
              <w:textAlignment w:val="baseline"/>
              <w:rPr>
                <w:rFonts w:ascii="Cambria" w:eastAsia="Calibri" w:hAnsi="Cambria" w:cs="Times New Roman"/>
                <w:u w:val="single"/>
              </w:rPr>
            </w:pPr>
            <w:r w:rsidRPr="003127C2">
              <w:rPr>
                <w:rFonts w:ascii="Cambria" w:eastAsia="Calibri" w:hAnsi="Cambria" w:cs="Times New Roman"/>
                <w:u w:val="single"/>
              </w:rPr>
              <w:t>eMERGE Coordinating Center Report</w:t>
            </w:r>
            <w:r w:rsidRPr="003127C2">
              <w:rPr>
                <w:rFonts w:ascii="Cambria" w:eastAsia="Calibri" w:hAnsi="Cambria" w:cs="Times New Roman"/>
              </w:rPr>
              <w:t xml:space="preserve"> – </w:t>
            </w:r>
            <w:r w:rsidRPr="003127C2">
              <w:rPr>
                <w:rFonts w:ascii="Cambria" w:eastAsia="Calibri" w:hAnsi="Cambria" w:cs="Times New Roman"/>
                <w:i/>
              </w:rPr>
              <w:t>Paul Harris , Marylyn Ritchie, Josh Denny, &amp; Brad Malin</w:t>
            </w:r>
          </w:p>
          <w:p w14:paraId="1F7D4C63" w14:textId="77777777" w:rsidR="003C56D0" w:rsidRPr="003C56D0" w:rsidRDefault="003C56D0"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The CC assisted the network in:</w:t>
            </w:r>
          </w:p>
          <w:p w14:paraId="22ADAD31" w14:textId="0200D16F" w:rsidR="003C56D0" w:rsidRPr="003C56D0" w:rsidRDefault="003C56D0"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Accelerating phenotype development/sharing:</w:t>
            </w:r>
          </w:p>
          <w:p w14:paraId="7458E3F5" w14:textId="2B18A37F" w:rsidR="003C56D0" w:rsidRPr="003C56D0" w:rsidRDefault="003C56D0" w:rsidP="003127C2">
            <w:pPr>
              <w:pStyle w:val="ListParagraph"/>
              <w:numPr>
                <w:ilvl w:val="2"/>
                <w:numId w:val="8"/>
              </w:numPr>
              <w:shd w:val="clear" w:color="auto" w:fill="FFFFFF"/>
              <w:spacing w:before="120" w:after="120" w:line="240" w:lineRule="auto"/>
              <w:textAlignment w:val="baseline"/>
              <w:rPr>
                <w:rFonts w:ascii="Cambria" w:eastAsia="Calibri" w:hAnsi="Cambria" w:cs="Times New Roman"/>
                <w:u w:val="single"/>
              </w:rPr>
            </w:pPr>
            <w:proofErr w:type="spellStart"/>
            <w:r>
              <w:rPr>
                <w:rFonts w:ascii="Cambria" w:eastAsia="Calibri" w:hAnsi="Cambria" w:cs="Times New Roman"/>
              </w:rPr>
              <w:t>PheKB</w:t>
            </w:r>
            <w:proofErr w:type="spellEnd"/>
            <w:r>
              <w:rPr>
                <w:rFonts w:ascii="Cambria" w:eastAsia="Calibri" w:hAnsi="Cambria" w:cs="Times New Roman"/>
              </w:rPr>
              <w:t xml:space="preserve">, Data Dictionary/Data Validation Tool, </w:t>
            </w:r>
            <w:proofErr w:type="spellStart"/>
            <w:r>
              <w:rPr>
                <w:rFonts w:ascii="Cambria" w:eastAsia="Calibri" w:hAnsi="Cambria" w:cs="Times New Roman"/>
              </w:rPr>
              <w:t>PheWAS</w:t>
            </w:r>
            <w:proofErr w:type="spellEnd"/>
            <w:r>
              <w:rPr>
                <w:rFonts w:ascii="Cambria" w:eastAsia="Calibri" w:hAnsi="Cambria" w:cs="Times New Roman"/>
              </w:rPr>
              <w:t xml:space="preserve"> Catalog, and the eMERGE Record Counter were all given as examples of tools developed by the CC.</w:t>
            </w:r>
          </w:p>
          <w:p w14:paraId="45AB91A0" w14:textId="38BAE46B" w:rsidR="003C56D0" w:rsidRPr="003C56D0" w:rsidRDefault="003C56D0"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Expanding genomic data integration:</w:t>
            </w:r>
          </w:p>
          <w:p w14:paraId="79E309B4" w14:textId="48317C7B" w:rsidR="003C56D0" w:rsidRDefault="003C56D0" w:rsidP="003127C2">
            <w:pPr>
              <w:pStyle w:val="ListParagraph"/>
              <w:numPr>
                <w:ilvl w:val="2"/>
                <w:numId w:val="8"/>
              </w:numPr>
              <w:shd w:val="clear" w:color="auto" w:fill="FFFFFF"/>
              <w:spacing w:before="120" w:after="120" w:line="240" w:lineRule="auto"/>
              <w:textAlignment w:val="baseline"/>
              <w:rPr>
                <w:rFonts w:ascii="Cambria" w:eastAsia="Calibri" w:hAnsi="Cambria" w:cs="Times New Roman"/>
              </w:rPr>
            </w:pPr>
            <w:r w:rsidRPr="003C56D0">
              <w:rPr>
                <w:rFonts w:ascii="Cambria" w:eastAsia="Calibri" w:hAnsi="Cambria" w:cs="Times New Roman"/>
              </w:rPr>
              <w:t>55,</w:t>
            </w:r>
            <w:r w:rsidR="001F6C83">
              <w:rPr>
                <w:rFonts w:ascii="Cambria" w:eastAsia="Calibri" w:hAnsi="Cambria" w:cs="Times New Roman"/>
              </w:rPr>
              <w:t>028</w:t>
            </w:r>
            <w:r w:rsidR="001F6C83" w:rsidRPr="003C56D0">
              <w:rPr>
                <w:rFonts w:ascii="Cambria" w:eastAsia="Calibri" w:hAnsi="Cambria" w:cs="Times New Roman"/>
              </w:rPr>
              <w:t xml:space="preserve"> </w:t>
            </w:r>
            <w:r w:rsidRPr="003C56D0">
              <w:rPr>
                <w:rFonts w:ascii="Cambria" w:eastAsia="Calibri" w:hAnsi="Cambria" w:cs="Times New Roman"/>
              </w:rPr>
              <w:t>total samples were genotyped</w:t>
            </w:r>
            <w:r>
              <w:rPr>
                <w:rFonts w:ascii="Cambria" w:eastAsia="Calibri" w:hAnsi="Cambria" w:cs="Times New Roman"/>
              </w:rPr>
              <w:t xml:space="preserve"> during Phases I &amp; II. The merged imputed dataset was released to </w:t>
            </w:r>
            <w:proofErr w:type="spellStart"/>
            <w:r>
              <w:rPr>
                <w:rFonts w:ascii="Cambria" w:eastAsia="Calibri" w:hAnsi="Cambria" w:cs="Times New Roman"/>
              </w:rPr>
              <w:t>dbGaP</w:t>
            </w:r>
            <w:proofErr w:type="spellEnd"/>
            <w:r>
              <w:rPr>
                <w:rFonts w:ascii="Cambria" w:eastAsia="Calibri" w:hAnsi="Cambria" w:cs="Times New Roman"/>
              </w:rPr>
              <w:t>.</w:t>
            </w:r>
          </w:p>
          <w:p w14:paraId="7A91C9BB" w14:textId="45F506CA" w:rsidR="009C45F1" w:rsidRDefault="009C45F1" w:rsidP="003127C2">
            <w:pPr>
              <w:pStyle w:val="ListParagraph"/>
              <w:numPr>
                <w:ilvl w:val="2"/>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The CC developed a variant calling pipeline for eMERGE-</w:t>
            </w:r>
            <w:proofErr w:type="spellStart"/>
            <w:r>
              <w:rPr>
                <w:rFonts w:ascii="Cambria" w:eastAsia="Calibri" w:hAnsi="Cambria" w:cs="Times New Roman"/>
              </w:rPr>
              <w:t>PGx</w:t>
            </w:r>
            <w:proofErr w:type="spellEnd"/>
            <w:r>
              <w:rPr>
                <w:rFonts w:ascii="Cambria" w:eastAsia="Calibri" w:hAnsi="Cambria" w:cs="Times New Roman"/>
              </w:rPr>
              <w:t xml:space="preserve"> w/ the Genomics workgroup. CC also performed variant calling for all eMERGE-</w:t>
            </w:r>
            <w:proofErr w:type="spellStart"/>
            <w:r>
              <w:rPr>
                <w:rFonts w:ascii="Cambria" w:eastAsia="Calibri" w:hAnsi="Cambria" w:cs="Times New Roman"/>
              </w:rPr>
              <w:t>PGx</w:t>
            </w:r>
            <w:proofErr w:type="spellEnd"/>
            <w:r>
              <w:rPr>
                <w:rFonts w:ascii="Cambria" w:eastAsia="Calibri" w:hAnsi="Cambria" w:cs="Times New Roman"/>
              </w:rPr>
              <w:t xml:space="preserve"> samples.</w:t>
            </w:r>
          </w:p>
          <w:p w14:paraId="641256F6" w14:textId="2E9F0491" w:rsidR="009C45F1" w:rsidRPr="003C56D0" w:rsidRDefault="009C45F1" w:rsidP="003127C2">
            <w:pPr>
              <w:pStyle w:val="ListParagraph"/>
              <w:numPr>
                <w:ilvl w:val="2"/>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lastRenderedPageBreak/>
              <w:t>The CC led a special issue to Frontiers in Genetics (currently over 41,000 views online)</w:t>
            </w:r>
          </w:p>
          <w:p w14:paraId="2CAF489D" w14:textId="77777777" w:rsidR="009C45F1" w:rsidRPr="009C45F1" w:rsidRDefault="009C45F1"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E</w:t>
            </w:r>
            <w:r w:rsidR="003C56D0">
              <w:rPr>
                <w:rFonts w:ascii="Cambria" w:eastAsia="Calibri" w:hAnsi="Cambria" w:cs="Times New Roman"/>
              </w:rPr>
              <w:t>nhancing methods to determine re-ident</w:t>
            </w:r>
            <w:r>
              <w:rPr>
                <w:rFonts w:ascii="Cambria" w:eastAsia="Calibri" w:hAnsi="Cambria" w:cs="Times New Roman"/>
              </w:rPr>
              <w:t>ification &amp; privacy risks</w:t>
            </w:r>
          </w:p>
          <w:p w14:paraId="7D7EBDF4" w14:textId="77777777" w:rsidR="003C56D0" w:rsidRPr="009C45F1" w:rsidRDefault="009C45F1"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The CC also provided logistical support to the network by way of tool development, updated website, reporting, meeting management, and project management for workgroups</w:t>
            </w:r>
            <w:r w:rsidR="003C56D0">
              <w:rPr>
                <w:rFonts w:ascii="Cambria" w:eastAsia="Calibri" w:hAnsi="Cambria" w:cs="Times New Roman"/>
              </w:rPr>
              <w:t>.</w:t>
            </w:r>
          </w:p>
          <w:p w14:paraId="7C455799" w14:textId="28921DC9" w:rsidR="009C45F1" w:rsidRPr="003127C2" w:rsidRDefault="009C45F1" w:rsidP="003127C2">
            <w:pPr>
              <w:shd w:val="clear" w:color="auto" w:fill="FFFFFF"/>
              <w:spacing w:before="120" w:after="120"/>
              <w:textAlignment w:val="baseline"/>
              <w:rPr>
                <w:rFonts w:ascii="Cambria" w:eastAsia="Calibri" w:hAnsi="Cambria" w:cs="Times New Roman"/>
                <w:u w:val="single"/>
              </w:rPr>
            </w:pPr>
            <w:r w:rsidRPr="003127C2">
              <w:rPr>
                <w:rFonts w:ascii="Cambria" w:eastAsia="Calibri" w:hAnsi="Cambria" w:cs="Times New Roman"/>
                <w:bCs/>
                <w:u w:val="single"/>
              </w:rPr>
              <w:t xml:space="preserve">Large-scale phenome-wide scan in twins using electronic health records </w:t>
            </w:r>
            <w:r w:rsidRPr="003127C2">
              <w:rPr>
                <w:rFonts w:ascii="Cambria" w:eastAsia="Calibri" w:hAnsi="Cambria" w:cs="Times New Roman"/>
                <w:bCs/>
              </w:rPr>
              <w:t xml:space="preserve">– </w:t>
            </w:r>
            <w:r w:rsidRPr="003127C2">
              <w:rPr>
                <w:rFonts w:ascii="Cambria" w:eastAsia="Calibri" w:hAnsi="Cambria" w:cs="Times New Roman"/>
                <w:bCs/>
                <w:i/>
              </w:rPr>
              <w:t>Scott Hebbring</w:t>
            </w:r>
          </w:p>
          <w:p w14:paraId="088D792C" w14:textId="59E91E56" w:rsidR="009C45F1" w:rsidRPr="009C45F1" w:rsidRDefault="009C45F1" w:rsidP="003127C2">
            <w:pPr>
              <w:pStyle w:val="ListParagraph"/>
              <w:numPr>
                <w:ilvl w:val="0"/>
                <w:numId w:val="8"/>
              </w:numPr>
              <w:shd w:val="clear" w:color="auto" w:fill="FFFFFF"/>
              <w:spacing w:before="120" w:after="120"/>
              <w:textAlignment w:val="baseline"/>
              <w:rPr>
                <w:rFonts w:ascii="Cambria" w:eastAsia="Calibri" w:hAnsi="Cambria" w:cs="Times New Roman"/>
                <w:u w:val="single"/>
              </w:rPr>
            </w:pPr>
            <w:r>
              <w:rPr>
                <w:rFonts w:ascii="Cambria" w:eastAsia="Calibri" w:hAnsi="Cambria" w:cs="Times New Roman"/>
                <w:bCs/>
              </w:rPr>
              <w:t xml:space="preserve">This scan sought to prove that EHR-linked twin cohorts can be used for phenome-wide studies to identify diseases with genetic etiologies. The study used 28,888 twins found in the Marshfield </w:t>
            </w:r>
            <w:r w:rsidR="00F0460D">
              <w:rPr>
                <w:rFonts w:ascii="Cambria" w:eastAsia="Calibri" w:hAnsi="Cambria" w:cs="Times New Roman"/>
                <w:bCs/>
              </w:rPr>
              <w:t>(</w:t>
            </w:r>
            <w:r w:rsidR="003D3B60">
              <w:rPr>
                <w:rFonts w:ascii="Cambria" w:eastAsia="Calibri" w:hAnsi="Cambria" w:cs="Times New Roman"/>
                <w:bCs/>
              </w:rPr>
              <w:t>~</w:t>
            </w:r>
            <w:r w:rsidR="00F0460D">
              <w:rPr>
                <w:rFonts w:ascii="Cambria" w:eastAsia="Calibri" w:hAnsi="Cambria" w:cs="Times New Roman"/>
                <w:bCs/>
              </w:rPr>
              <w:t xml:space="preserve">16,000) </w:t>
            </w:r>
            <w:r>
              <w:rPr>
                <w:rFonts w:ascii="Cambria" w:eastAsia="Calibri" w:hAnsi="Cambria" w:cs="Times New Roman"/>
                <w:bCs/>
              </w:rPr>
              <w:t xml:space="preserve">and Mayo </w:t>
            </w:r>
            <w:r w:rsidR="00F0460D">
              <w:rPr>
                <w:rFonts w:ascii="Cambria" w:eastAsia="Calibri" w:hAnsi="Cambria" w:cs="Times New Roman"/>
                <w:bCs/>
              </w:rPr>
              <w:t>(</w:t>
            </w:r>
            <w:r w:rsidR="003D3B60">
              <w:rPr>
                <w:rFonts w:ascii="Cambria" w:eastAsia="Calibri" w:hAnsi="Cambria" w:cs="Times New Roman"/>
                <w:bCs/>
              </w:rPr>
              <w:t>~</w:t>
            </w:r>
            <w:r w:rsidR="00F0460D">
              <w:rPr>
                <w:rFonts w:ascii="Cambria" w:eastAsia="Calibri" w:hAnsi="Cambria" w:cs="Times New Roman"/>
                <w:bCs/>
              </w:rPr>
              <w:t>12,000)</w:t>
            </w:r>
            <w:r w:rsidR="003D3B60">
              <w:rPr>
                <w:rFonts w:ascii="Cambria" w:eastAsia="Calibri" w:hAnsi="Cambria" w:cs="Times New Roman"/>
                <w:bCs/>
              </w:rPr>
              <w:t xml:space="preserve"> </w:t>
            </w:r>
            <w:r>
              <w:rPr>
                <w:rFonts w:ascii="Cambria" w:eastAsia="Calibri" w:hAnsi="Cambria" w:cs="Times New Roman"/>
                <w:bCs/>
              </w:rPr>
              <w:t>twin cohort</w:t>
            </w:r>
            <w:r w:rsidR="00A768D0">
              <w:rPr>
                <w:rFonts w:ascii="Cambria" w:eastAsia="Calibri" w:hAnsi="Cambria" w:cs="Times New Roman"/>
                <w:bCs/>
              </w:rPr>
              <w:t>s</w:t>
            </w:r>
            <w:r>
              <w:rPr>
                <w:rFonts w:ascii="Cambria" w:eastAsia="Calibri" w:hAnsi="Cambria" w:cs="Times New Roman"/>
                <w:bCs/>
              </w:rPr>
              <w:t>.</w:t>
            </w:r>
          </w:p>
          <w:p w14:paraId="200B1579" w14:textId="77777777" w:rsidR="007D0CBE" w:rsidRPr="007D0CBE" w:rsidRDefault="009C45F1" w:rsidP="003127C2">
            <w:pPr>
              <w:pStyle w:val="ListParagraph"/>
              <w:numPr>
                <w:ilvl w:val="0"/>
                <w:numId w:val="8"/>
              </w:numPr>
              <w:shd w:val="clear" w:color="auto" w:fill="FFFFFF"/>
              <w:spacing w:before="120" w:after="120"/>
              <w:textAlignment w:val="baseline"/>
              <w:rPr>
                <w:rFonts w:ascii="Cambria" w:eastAsia="Calibri" w:hAnsi="Cambria" w:cs="Times New Roman"/>
                <w:u w:val="single"/>
              </w:rPr>
            </w:pPr>
            <w:r>
              <w:rPr>
                <w:rFonts w:ascii="Cambria" w:eastAsia="Calibri" w:hAnsi="Cambria" w:cs="Times New Roman"/>
              </w:rPr>
              <w:t>The study concluded that</w:t>
            </w:r>
            <w:r w:rsidR="007D0CBE">
              <w:rPr>
                <w:rFonts w:ascii="Cambria" w:eastAsia="Calibri" w:hAnsi="Cambria" w:cs="Times New Roman"/>
              </w:rPr>
              <w:t>:</w:t>
            </w:r>
          </w:p>
          <w:p w14:paraId="10CADBE6" w14:textId="5F3DA5DA" w:rsidR="009C45F1" w:rsidRPr="007D0CBE" w:rsidRDefault="009C45F1" w:rsidP="003127C2">
            <w:pPr>
              <w:pStyle w:val="ListParagraph"/>
              <w:numPr>
                <w:ilvl w:val="1"/>
                <w:numId w:val="8"/>
              </w:numPr>
              <w:shd w:val="clear" w:color="auto" w:fill="FFFFFF"/>
              <w:spacing w:before="120" w:after="120"/>
              <w:textAlignment w:val="baseline"/>
              <w:rPr>
                <w:rFonts w:ascii="Cambria" w:eastAsia="Calibri" w:hAnsi="Cambria" w:cs="Times New Roman"/>
                <w:u w:val="single"/>
              </w:rPr>
            </w:pPr>
            <w:proofErr w:type="gramStart"/>
            <w:r>
              <w:rPr>
                <w:rFonts w:ascii="Cambria" w:eastAsia="Calibri" w:hAnsi="Cambria" w:cs="Times New Roman"/>
              </w:rPr>
              <w:t>most</w:t>
            </w:r>
            <w:proofErr w:type="gramEnd"/>
            <w:r>
              <w:rPr>
                <w:rFonts w:ascii="Cambria" w:eastAsia="Calibri" w:hAnsi="Cambria" w:cs="Times New Roman"/>
              </w:rPr>
              <w:t xml:space="preserve"> dise</w:t>
            </w:r>
            <w:r w:rsidR="007D0CBE">
              <w:rPr>
                <w:rFonts w:ascii="Cambria" w:eastAsia="Calibri" w:hAnsi="Cambria" w:cs="Times New Roman"/>
              </w:rPr>
              <w:t>ases are not random events in twins. 1,406/5,598 (25%) of phenotypes are statistically enriched in pairs of twins. ~1% of phenotypes have RRs. (&lt;1.0)</w:t>
            </w:r>
            <w:r w:rsidR="00A768D0">
              <w:rPr>
                <w:rFonts w:ascii="Cambria" w:eastAsia="Calibri" w:hAnsi="Cambria" w:cs="Times New Roman"/>
              </w:rPr>
              <w:t xml:space="preserve">; and </w:t>
            </w:r>
          </w:p>
          <w:p w14:paraId="135A24F8" w14:textId="77777777" w:rsidR="003127C2" w:rsidRDefault="007D0CBE" w:rsidP="003127C2">
            <w:pPr>
              <w:pStyle w:val="ListParagraph"/>
              <w:numPr>
                <w:ilvl w:val="1"/>
                <w:numId w:val="8"/>
              </w:numPr>
              <w:shd w:val="clear" w:color="auto" w:fill="FFFFFF"/>
              <w:spacing w:before="120" w:after="120"/>
              <w:textAlignment w:val="baseline"/>
              <w:rPr>
                <w:rFonts w:ascii="Cambria" w:eastAsia="Calibri" w:hAnsi="Cambria" w:cs="Times New Roman"/>
              </w:rPr>
            </w:pPr>
            <w:proofErr w:type="gramStart"/>
            <w:r w:rsidRPr="007D0CBE">
              <w:rPr>
                <w:rFonts w:ascii="Cambria" w:eastAsia="Calibri" w:hAnsi="Cambria" w:cs="Times New Roman"/>
              </w:rPr>
              <w:t>family</w:t>
            </w:r>
            <w:proofErr w:type="gramEnd"/>
            <w:r w:rsidRPr="007D0CBE">
              <w:rPr>
                <w:rFonts w:ascii="Cambria" w:eastAsia="Calibri" w:hAnsi="Cambria" w:cs="Times New Roman"/>
              </w:rPr>
              <w:t xml:space="preserve"> data may be efficiently captured in E</w:t>
            </w:r>
            <w:r>
              <w:rPr>
                <w:rFonts w:ascii="Cambria" w:eastAsia="Calibri" w:hAnsi="Cambria" w:cs="Times New Roman"/>
              </w:rPr>
              <w:t>H</w:t>
            </w:r>
            <w:r w:rsidRPr="007D0CBE">
              <w:rPr>
                <w:rFonts w:ascii="Cambria" w:eastAsia="Calibri" w:hAnsi="Cambria" w:cs="Times New Roman"/>
              </w:rPr>
              <w:t>R and may be used to predict, prevent, and treat human disease for the advancement of precision medicine.</w:t>
            </w:r>
          </w:p>
          <w:p w14:paraId="387C18A9" w14:textId="71179821" w:rsidR="009C45F1" w:rsidRPr="003127C2" w:rsidRDefault="007D0CBE" w:rsidP="003127C2">
            <w:pPr>
              <w:shd w:val="clear" w:color="auto" w:fill="FFFFFF"/>
              <w:spacing w:before="120" w:after="120"/>
              <w:textAlignment w:val="baseline"/>
              <w:rPr>
                <w:rFonts w:ascii="Cambria" w:eastAsia="Calibri" w:hAnsi="Cambria" w:cs="Times New Roman"/>
              </w:rPr>
            </w:pPr>
            <w:r w:rsidRPr="003127C2">
              <w:rPr>
                <w:rFonts w:ascii="Cambria" w:eastAsia="Calibri" w:hAnsi="Cambria" w:cs="Times New Roman"/>
                <w:u w:val="single"/>
              </w:rPr>
              <w:t>EHRI Workgroup Update</w:t>
            </w:r>
            <w:r w:rsidRPr="003127C2">
              <w:rPr>
                <w:rFonts w:ascii="Cambria" w:eastAsia="Calibri" w:hAnsi="Cambria" w:cs="Times New Roman"/>
              </w:rPr>
              <w:t xml:space="preserve"> – </w:t>
            </w:r>
            <w:r w:rsidR="003127C2">
              <w:rPr>
                <w:rFonts w:ascii="Cambria" w:eastAsia="Calibri" w:hAnsi="Cambria" w:cs="Times New Roman"/>
                <w:i/>
              </w:rPr>
              <w:t>Justin Starren &amp;</w:t>
            </w:r>
            <w:r w:rsidRPr="003127C2">
              <w:rPr>
                <w:rFonts w:ascii="Cambria" w:eastAsia="Calibri" w:hAnsi="Cambria" w:cs="Times New Roman"/>
                <w:i/>
              </w:rPr>
              <w:t xml:space="preserve"> Marc Williams</w:t>
            </w:r>
          </w:p>
          <w:p w14:paraId="01954E44" w14:textId="5E6A1754" w:rsidR="007D0CBE" w:rsidRPr="007D0CBE" w:rsidRDefault="007D0CBE"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 xml:space="preserve">Collaborations </w:t>
            </w:r>
            <w:r w:rsidR="00C50071">
              <w:rPr>
                <w:rFonts w:ascii="Cambria" w:eastAsia="Calibri" w:hAnsi="Cambria" w:cs="Times New Roman"/>
              </w:rPr>
              <w:t>include</w:t>
            </w:r>
            <w:r>
              <w:rPr>
                <w:rFonts w:ascii="Cambria" w:eastAsia="Calibri" w:hAnsi="Cambria" w:cs="Times New Roman"/>
              </w:rPr>
              <w:t>:</w:t>
            </w:r>
          </w:p>
          <w:p w14:paraId="0B217E39" w14:textId="77777777" w:rsidR="007D0CBE" w:rsidRPr="005A67CD" w:rsidRDefault="007D0CBE"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 xml:space="preserve">HL7 Clinical Genomics Workgroup, IOM Roundtable on Translating Genomic-based Research for Health, </w:t>
            </w:r>
            <w:r w:rsidR="005A67CD">
              <w:rPr>
                <w:rFonts w:ascii="Cambria" w:eastAsia="Calibri" w:hAnsi="Cambria" w:cs="Times New Roman"/>
              </w:rPr>
              <w:t xml:space="preserve">G2MC, CSER, </w:t>
            </w:r>
            <w:proofErr w:type="spellStart"/>
            <w:r w:rsidR="005A67CD">
              <w:rPr>
                <w:rFonts w:ascii="Cambria" w:eastAsia="Calibri" w:hAnsi="Cambria" w:cs="Times New Roman"/>
              </w:rPr>
              <w:t>ClinGen</w:t>
            </w:r>
            <w:proofErr w:type="spellEnd"/>
            <w:r w:rsidR="005A67CD">
              <w:rPr>
                <w:rFonts w:ascii="Cambria" w:eastAsia="Calibri" w:hAnsi="Cambria" w:cs="Times New Roman"/>
              </w:rPr>
              <w:t xml:space="preserve">, IGNITE, Precision Medicine Initiative, CPIC Implementation Consortium, PGRN </w:t>
            </w:r>
            <w:proofErr w:type="spellStart"/>
            <w:r w:rsidR="005A67CD">
              <w:rPr>
                <w:rFonts w:ascii="Cambria" w:eastAsia="Calibri" w:hAnsi="Cambria" w:cs="Times New Roman"/>
              </w:rPr>
              <w:t>PGx</w:t>
            </w:r>
            <w:proofErr w:type="spellEnd"/>
            <w:r w:rsidR="005A67CD">
              <w:rPr>
                <w:rFonts w:ascii="Cambria" w:eastAsia="Calibri" w:hAnsi="Cambria" w:cs="Times New Roman"/>
              </w:rPr>
              <w:t xml:space="preserve"> Guideline Repository, IOM </w:t>
            </w:r>
            <w:proofErr w:type="spellStart"/>
            <w:r w:rsidR="005A67CD">
              <w:rPr>
                <w:rFonts w:ascii="Cambria" w:eastAsia="Calibri" w:hAnsi="Cambria" w:cs="Times New Roman"/>
              </w:rPr>
              <w:t>DIGITizE</w:t>
            </w:r>
            <w:proofErr w:type="spellEnd"/>
          </w:p>
          <w:p w14:paraId="0BC8F334" w14:textId="77777777" w:rsidR="005A67CD" w:rsidRPr="005A67CD" w:rsidRDefault="005A67C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Pr>
                <w:rFonts w:ascii="Cambria" w:eastAsia="Calibri" w:hAnsi="Cambria" w:cs="Times New Roman"/>
              </w:rPr>
              <w:t xml:space="preserve">Four recently- accepted publications were noted: </w:t>
            </w:r>
          </w:p>
          <w:p w14:paraId="2EF26FE2" w14:textId="73228A0E" w:rsidR="005A67CD" w:rsidRPr="005A67CD" w:rsidRDefault="005A67CD"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sidRPr="005A67CD">
              <w:rPr>
                <w:rFonts w:ascii="Cambria" w:eastAsia="Calibri" w:hAnsi="Cambria" w:cs="Times New Roman"/>
              </w:rPr>
              <w:t xml:space="preserve">AMIA 2015 Panel: </w:t>
            </w:r>
            <w:r w:rsidRPr="005A67CD">
              <w:rPr>
                <w:rFonts w:ascii="Cambria" w:eastAsia="Calibri" w:hAnsi="Cambria" w:cs="Times New Roman"/>
                <w:i/>
              </w:rPr>
              <w:t>Public Implementation Resources for Genomic Medicine</w:t>
            </w:r>
            <w:r w:rsidRPr="005A67CD">
              <w:rPr>
                <w:rFonts w:ascii="Cambria" w:eastAsia="Calibri" w:hAnsi="Cambria" w:cs="Times New Roman"/>
              </w:rPr>
              <w:t xml:space="preserve"> – Josh Peterson, Marc Williams, Casey Overby, Robert Freimuth, Iftikhar Kullo</w:t>
            </w:r>
          </w:p>
          <w:p w14:paraId="34DCC207" w14:textId="538D0993" w:rsidR="005A67CD" w:rsidRPr="005A67CD" w:rsidRDefault="005A67CD"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sidRPr="005A67CD">
              <w:rPr>
                <w:rFonts w:ascii="Cambria" w:eastAsia="Calibri" w:hAnsi="Cambria" w:cs="Times New Roman"/>
                <w:i/>
              </w:rPr>
              <w:t xml:space="preserve">A Conceptual Model for </w:t>
            </w:r>
            <w:proofErr w:type="spellStart"/>
            <w:r w:rsidRPr="005A67CD">
              <w:rPr>
                <w:rFonts w:ascii="Cambria" w:eastAsia="Calibri" w:hAnsi="Cambria" w:cs="Times New Roman"/>
                <w:i/>
              </w:rPr>
              <w:t>Omic</w:t>
            </w:r>
            <w:proofErr w:type="spellEnd"/>
            <w:r w:rsidRPr="005A67CD">
              <w:rPr>
                <w:rFonts w:ascii="Cambria" w:eastAsia="Calibri" w:hAnsi="Cambria" w:cs="Times New Roman"/>
                <w:i/>
              </w:rPr>
              <w:t xml:space="preserve"> Data</w:t>
            </w:r>
            <w:r w:rsidRPr="005A67CD">
              <w:rPr>
                <w:rFonts w:ascii="Cambria" w:eastAsia="Calibri" w:hAnsi="Cambria" w:cs="Times New Roman"/>
              </w:rPr>
              <w:t xml:space="preserve"> – Tim Herr</w:t>
            </w:r>
            <w:r w:rsidR="003D3B60">
              <w:rPr>
                <w:rFonts w:ascii="Cambria" w:eastAsia="Calibri" w:hAnsi="Cambria" w:cs="Times New Roman"/>
              </w:rPr>
              <w:t xml:space="preserve"> et al</w:t>
            </w:r>
            <w:r w:rsidRPr="005A67CD">
              <w:rPr>
                <w:rFonts w:ascii="Cambria" w:eastAsia="Calibri" w:hAnsi="Cambria" w:cs="Times New Roman"/>
              </w:rPr>
              <w:t>; accepted with revisions to Journal of Pathology Informatics</w:t>
            </w:r>
          </w:p>
          <w:p w14:paraId="00BF3FA8" w14:textId="413DA8F3" w:rsidR="005A67CD" w:rsidRPr="005A67CD" w:rsidRDefault="005A67CD"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sidRPr="005A67CD">
              <w:rPr>
                <w:rFonts w:ascii="Cambria" w:eastAsia="Calibri" w:hAnsi="Cambria" w:cs="Times New Roman"/>
                <w:i/>
              </w:rPr>
              <w:t>Practical Considerations in Genomic Decision Support: The eMERGE Experience</w:t>
            </w:r>
            <w:r w:rsidRPr="005A67CD">
              <w:rPr>
                <w:rFonts w:ascii="Cambria" w:eastAsia="Calibri" w:hAnsi="Cambria" w:cs="Times New Roman"/>
              </w:rPr>
              <w:t xml:space="preserve"> – Tim Herr</w:t>
            </w:r>
            <w:r w:rsidR="008D2F6A">
              <w:rPr>
                <w:rFonts w:ascii="Cambria" w:eastAsia="Calibri" w:hAnsi="Cambria" w:cs="Times New Roman"/>
              </w:rPr>
              <w:t xml:space="preserve"> et al</w:t>
            </w:r>
            <w:r w:rsidRPr="005A67CD">
              <w:rPr>
                <w:rFonts w:ascii="Cambria" w:eastAsia="Calibri" w:hAnsi="Cambria" w:cs="Times New Roman"/>
              </w:rPr>
              <w:t>; accepted JPI</w:t>
            </w:r>
          </w:p>
          <w:p w14:paraId="5D05E523" w14:textId="75874DE9" w:rsidR="005A67CD" w:rsidRPr="005A67CD" w:rsidRDefault="005A67CD"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u w:val="single"/>
              </w:rPr>
            </w:pPr>
            <w:r w:rsidRPr="005A67CD">
              <w:rPr>
                <w:rFonts w:ascii="Cambria" w:eastAsia="Calibri" w:hAnsi="Cambria" w:cs="Times New Roman"/>
                <w:i/>
              </w:rPr>
              <w:t>CSER and eMERGE: Current and Potential State of the Display of Genetic Information in the EHR</w:t>
            </w:r>
            <w:r w:rsidRPr="005A67CD">
              <w:rPr>
                <w:rFonts w:ascii="Cambria" w:eastAsia="Calibri" w:hAnsi="Cambria" w:cs="Times New Roman"/>
              </w:rPr>
              <w:t xml:space="preserve"> – Brian Shirts</w:t>
            </w:r>
            <w:r w:rsidR="008D2F6A">
              <w:rPr>
                <w:rFonts w:ascii="Cambria" w:eastAsia="Calibri" w:hAnsi="Cambria" w:cs="Times New Roman"/>
              </w:rPr>
              <w:t xml:space="preserve"> et al</w:t>
            </w:r>
            <w:r w:rsidRPr="005A67CD">
              <w:rPr>
                <w:rFonts w:ascii="Cambria" w:eastAsia="Calibri" w:hAnsi="Cambria" w:cs="Times New Roman"/>
              </w:rPr>
              <w:t>; accepted to JAMIA</w:t>
            </w:r>
          </w:p>
          <w:p w14:paraId="22EC3F15" w14:textId="270DEAE7" w:rsidR="003127C2" w:rsidRPr="003127C2" w:rsidRDefault="005A67C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u w:val="single"/>
              </w:rPr>
            </w:pPr>
            <w:r w:rsidRPr="005A67CD">
              <w:rPr>
                <w:rFonts w:ascii="Cambria" w:eastAsia="Calibri" w:hAnsi="Cambria" w:cs="Times New Roman"/>
              </w:rPr>
              <w:t>An overview of CDS KB was provided. The site is now live, and currently includes 31 artifacts from 9 institutions.</w:t>
            </w:r>
          </w:p>
          <w:p w14:paraId="2DEA762B" w14:textId="5C3CBCED" w:rsidR="005A67CD" w:rsidRPr="003127C2" w:rsidRDefault="005A67CD" w:rsidP="003127C2">
            <w:pPr>
              <w:shd w:val="clear" w:color="auto" w:fill="FFFFFF"/>
              <w:spacing w:before="120" w:after="120" w:line="240" w:lineRule="auto"/>
              <w:textAlignment w:val="baseline"/>
              <w:rPr>
                <w:rFonts w:ascii="Cambria" w:eastAsia="Calibri" w:hAnsi="Cambria" w:cs="Times New Roman"/>
                <w:u w:val="single"/>
              </w:rPr>
            </w:pPr>
            <w:r w:rsidRPr="003127C2">
              <w:rPr>
                <w:rFonts w:ascii="Cambria" w:eastAsia="Calibri" w:hAnsi="Cambria" w:cs="Times New Roman"/>
                <w:u w:val="single"/>
              </w:rPr>
              <w:t>DANGER: Understand Your Data, Save Yourself</w:t>
            </w:r>
            <w:r w:rsidRPr="003127C2">
              <w:rPr>
                <w:rFonts w:ascii="Cambria" w:eastAsia="Calibri" w:hAnsi="Cambria" w:cs="Times New Roman"/>
              </w:rPr>
              <w:t xml:space="preserve"> – </w:t>
            </w:r>
            <w:r w:rsidRPr="003127C2">
              <w:rPr>
                <w:rFonts w:ascii="Cambria" w:eastAsia="Calibri" w:hAnsi="Cambria" w:cs="Times New Roman"/>
                <w:i/>
              </w:rPr>
              <w:t>Marylyn Ritchie</w:t>
            </w:r>
          </w:p>
          <w:p w14:paraId="6F8A7622" w14:textId="087C8A4C" w:rsidR="005A67CD" w:rsidRDefault="005A67C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While</w:t>
            </w:r>
            <w:r w:rsidRPr="005A67CD">
              <w:rPr>
                <w:rFonts w:ascii="Cambria" w:eastAsia="Calibri" w:hAnsi="Cambria" w:cs="Times New Roman"/>
              </w:rPr>
              <w:t xml:space="preserve"> running </w:t>
            </w:r>
            <w:r w:rsidR="00FE5C8E">
              <w:rPr>
                <w:rFonts w:ascii="Cambria" w:eastAsia="Calibri" w:hAnsi="Cambria" w:cs="Times New Roman"/>
              </w:rPr>
              <w:t>pediatric null variant</w:t>
            </w:r>
            <w:r w:rsidRPr="005A67CD">
              <w:rPr>
                <w:rFonts w:ascii="Cambria" w:eastAsia="Calibri" w:hAnsi="Cambria" w:cs="Times New Roman"/>
              </w:rPr>
              <w:t xml:space="preserve"> </w:t>
            </w:r>
            <w:proofErr w:type="spellStart"/>
            <w:r w:rsidRPr="005A67CD">
              <w:rPr>
                <w:rFonts w:ascii="Cambria" w:eastAsia="Calibri" w:hAnsi="Cambria" w:cs="Times New Roman"/>
              </w:rPr>
              <w:t>PheWAS</w:t>
            </w:r>
            <w:proofErr w:type="spellEnd"/>
            <w:r w:rsidR="00FE5C8E">
              <w:rPr>
                <w:rFonts w:ascii="Cambria" w:eastAsia="Calibri" w:hAnsi="Cambria" w:cs="Times New Roman"/>
              </w:rPr>
              <w:t xml:space="preserve"> analyses</w:t>
            </w:r>
            <w:r w:rsidRPr="005A67CD">
              <w:rPr>
                <w:rFonts w:ascii="Cambria" w:eastAsia="Calibri" w:hAnsi="Cambria" w:cs="Times New Roman"/>
              </w:rPr>
              <w:t xml:space="preserve">, </w:t>
            </w:r>
            <w:r>
              <w:rPr>
                <w:rFonts w:ascii="Cambria" w:eastAsia="Calibri" w:hAnsi="Cambria" w:cs="Times New Roman"/>
              </w:rPr>
              <w:t xml:space="preserve">Marylyn’s lab was </w:t>
            </w:r>
            <w:r w:rsidR="00A768D0">
              <w:rPr>
                <w:rFonts w:ascii="Cambria" w:eastAsia="Calibri" w:hAnsi="Cambria" w:cs="Times New Roman"/>
              </w:rPr>
              <w:t>unable to replicate known findings</w:t>
            </w:r>
            <w:r>
              <w:rPr>
                <w:rFonts w:ascii="Cambria" w:eastAsia="Calibri" w:hAnsi="Cambria" w:cs="Times New Roman"/>
              </w:rPr>
              <w:t xml:space="preserve">. </w:t>
            </w:r>
            <w:r w:rsidR="00FE5C8E">
              <w:rPr>
                <w:rFonts w:ascii="Cambria" w:eastAsia="Calibri" w:hAnsi="Cambria" w:cs="Times New Roman"/>
              </w:rPr>
              <w:t xml:space="preserve">Specifically, some phenotypes were present in only discovery or replication analyses, but not both.  </w:t>
            </w:r>
            <w:r>
              <w:rPr>
                <w:rFonts w:ascii="Cambria" w:eastAsia="Calibri" w:hAnsi="Cambria" w:cs="Times New Roman"/>
              </w:rPr>
              <w:t>The major issue was that regression models were not converging.</w:t>
            </w:r>
          </w:p>
          <w:p w14:paraId="7F61D5B2" w14:textId="77777777" w:rsidR="005A67CD" w:rsidRDefault="00E335B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Variables in the model will have a p-value, but that p-value may not actually be valid. Additionally, some software doesn’t notify you that the model didn’t converge.</w:t>
            </w:r>
          </w:p>
          <w:p w14:paraId="43E94D53" w14:textId="77777777" w:rsidR="00E335BD" w:rsidRDefault="00E335B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Comparisons of this issue between genomic analysis software were shown.</w:t>
            </w:r>
          </w:p>
          <w:p w14:paraId="4D41CB03" w14:textId="2CD231BE" w:rsidR="00A768D0" w:rsidRDefault="00A768D0"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Suggestions to alleviate these issues:</w:t>
            </w:r>
          </w:p>
          <w:p w14:paraId="2059DB75" w14:textId="097E13DE" w:rsidR="00E335BD" w:rsidRDefault="00E335BD" w:rsidP="00AD2054">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 </w:t>
            </w:r>
            <w:r w:rsidR="00A768D0">
              <w:rPr>
                <w:rFonts w:ascii="Cambria" w:eastAsia="Calibri" w:hAnsi="Cambria" w:cs="Times New Roman"/>
              </w:rPr>
              <w:t>A</w:t>
            </w:r>
            <w:r>
              <w:rPr>
                <w:rFonts w:ascii="Cambria" w:eastAsia="Calibri" w:hAnsi="Cambria" w:cs="Times New Roman"/>
              </w:rPr>
              <w:t>djust the models for site, platform, sex, and PCs. Having only cases and controls in some strata leads to non-convergence.</w:t>
            </w:r>
          </w:p>
          <w:p w14:paraId="3244EA3A" w14:textId="5203CF73" w:rsidR="00E335BD" w:rsidRDefault="00E335BD"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Drop any rows from the table where zeros are present</w:t>
            </w:r>
            <w:r w:rsidR="00A768D0">
              <w:rPr>
                <w:rFonts w:ascii="Cambria" w:eastAsia="Calibri" w:hAnsi="Cambria" w:cs="Times New Roman"/>
              </w:rPr>
              <w:t>.</w:t>
            </w:r>
          </w:p>
          <w:p w14:paraId="10AAB75C" w14:textId="773A5AD2" w:rsidR="00E335BD" w:rsidRDefault="00E335BD"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Use firth regression</w:t>
            </w:r>
            <w:r w:rsidR="00A768D0">
              <w:rPr>
                <w:rFonts w:ascii="Cambria" w:eastAsia="Calibri" w:hAnsi="Cambria" w:cs="Times New Roman"/>
              </w:rPr>
              <w:t>.</w:t>
            </w:r>
          </w:p>
          <w:p w14:paraId="4E75DBB7" w14:textId="44CCD529" w:rsidR="00E335BD" w:rsidRDefault="00A768D0"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It is critical</w:t>
            </w:r>
            <w:r w:rsidR="00E335BD">
              <w:rPr>
                <w:rFonts w:ascii="Cambria" w:eastAsia="Calibri" w:hAnsi="Cambria" w:cs="Times New Roman"/>
              </w:rPr>
              <w:t xml:space="preserve"> to carefully look at regression results to confirm convergence while running analyses.</w:t>
            </w:r>
          </w:p>
          <w:p w14:paraId="2B72B9BF" w14:textId="77777777" w:rsidR="00E335BD" w:rsidRPr="003127C2" w:rsidRDefault="00407E35" w:rsidP="003127C2">
            <w:pPr>
              <w:shd w:val="clear" w:color="auto" w:fill="FFFFFF"/>
              <w:spacing w:before="120" w:after="120" w:line="240" w:lineRule="auto"/>
              <w:textAlignment w:val="baseline"/>
              <w:rPr>
                <w:rFonts w:ascii="Cambria" w:eastAsia="Calibri" w:hAnsi="Cambria" w:cs="Times New Roman"/>
              </w:rPr>
            </w:pPr>
            <w:r w:rsidRPr="003127C2">
              <w:rPr>
                <w:rFonts w:ascii="Cambria" w:eastAsia="Calibri" w:hAnsi="Cambria" w:cs="Times New Roman"/>
                <w:u w:val="single"/>
              </w:rPr>
              <w:t>Vanderbilt Site Report</w:t>
            </w:r>
            <w:r w:rsidRPr="003127C2">
              <w:rPr>
                <w:rFonts w:ascii="Cambria" w:eastAsia="Calibri" w:hAnsi="Cambria" w:cs="Times New Roman"/>
              </w:rPr>
              <w:t xml:space="preserve"> – </w:t>
            </w:r>
            <w:r w:rsidRPr="003127C2">
              <w:rPr>
                <w:rFonts w:ascii="Cambria" w:eastAsia="Calibri" w:hAnsi="Cambria" w:cs="Times New Roman"/>
                <w:i/>
              </w:rPr>
              <w:t>Josh Denny &amp; Dan Roden</w:t>
            </w:r>
          </w:p>
          <w:p w14:paraId="755D9845" w14:textId="77777777" w:rsidR="00407E35" w:rsidRDefault="00407E35"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lastRenderedPageBreak/>
              <w:t>Since Sept. 2010, 14,734 Vanderbilt patients have had PREDICT testing. Additionally, the PREDICT provider survey is complete and had a 56% response rate</w:t>
            </w:r>
            <w:r w:rsidR="007665CA">
              <w:rPr>
                <w:rFonts w:ascii="Cambria" w:eastAsia="Calibri" w:hAnsi="Cambria" w:cs="Times New Roman"/>
              </w:rPr>
              <w:t>. Findings: 92% of clinicians favor immediate, active notification when significant drug-genome interaction is present.</w:t>
            </w:r>
          </w:p>
          <w:p w14:paraId="369D738C" w14:textId="77777777" w:rsidR="007665CA" w:rsidRDefault="007665CA"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Vanderbilt’s contribution to eMERGE II Phenotypes was also reviewed. VU led 4 phenotype algorithm validations (ACE-I Cough, MACE-Statins, BPH, and fibroids), and also provided secondary validation for 7 additional phenotypes.</w:t>
            </w:r>
          </w:p>
          <w:p w14:paraId="6C074D36" w14:textId="77777777" w:rsidR="007665CA" w:rsidRDefault="007665CA"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The </w:t>
            </w:r>
            <w:r w:rsidR="009269B5">
              <w:rPr>
                <w:rFonts w:ascii="Cambria" w:eastAsia="Calibri" w:hAnsi="Cambria" w:cs="Times New Roman"/>
              </w:rPr>
              <w:t xml:space="preserve">large scale replication of GWAS association results using </w:t>
            </w:r>
            <w:proofErr w:type="spellStart"/>
            <w:r w:rsidR="009269B5">
              <w:rPr>
                <w:rFonts w:ascii="Cambria" w:eastAsia="Calibri" w:hAnsi="Cambria" w:cs="Times New Roman"/>
              </w:rPr>
              <w:t>PheWAS</w:t>
            </w:r>
            <w:proofErr w:type="spellEnd"/>
            <w:r w:rsidR="009269B5">
              <w:rPr>
                <w:rFonts w:ascii="Cambria" w:eastAsia="Calibri" w:hAnsi="Cambria" w:cs="Times New Roman"/>
              </w:rPr>
              <w:t xml:space="preserve"> was reviewed. 3,000 SNPS were mapped. 751 phenotype associations were tested, 210 were replicated, </w:t>
            </w:r>
            <w:proofErr w:type="gramStart"/>
            <w:r w:rsidR="009269B5">
              <w:rPr>
                <w:rFonts w:ascii="Cambria" w:eastAsia="Calibri" w:hAnsi="Cambria" w:cs="Times New Roman"/>
              </w:rPr>
              <w:t>66</w:t>
            </w:r>
            <w:proofErr w:type="gramEnd"/>
            <w:r w:rsidR="009269B5">
              <w:rPr>
                <w:rFonts w:ascii="Cambria" w:eastAsia="Calibri" w:hAnsi="Cambria" w:cs="Times New Roman"/>
              </w:rPr>
              <w:t>% were adequately powered. Also discovered 63 new associations (mostly w/ skin phenotypes).</w:t>
            </w:r>
          </w:p>
          <w:p w14:paraId="0D334AA5" w14:textId="77777777" w:rsidR="009269B5" w:rsidRDefault="009269B5"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Results of the Neanderthal </w:t>
            </w:r>
            <w:proofErr w:type="spellStart"/>
            <w:r>
              <w:rPr>
                <w:rFonts w:ascii="Cambria" w:eastAsia="Calibri" w:hAnsi="Cambria" w:cs="Times New Roman"/>
              </w:rPr>
              <w:t>PheWAS</w:t>
            </w:r>
            <w:proofErr w:type="spellEnd"/>
            <w:r>
              <w:rPr>
                <w:rFonts w:ascii="Cambria" w:eastAsia="Calibri" w:hAnsi="Cambria" w:cs="Times New Roman"/>
              </w:rPr>
              <w:t xml:space="preserve"> found that 1.5% of the genome of non-African individuals is inherited from admixture with Neanderthals. Neanderthal alleles are identified in </w:t>
            </w:r>
            <w:proofErr w:type="gramStart"/>
            <w:r>
              <w:rPr>
                <w:rFonts w:ascii="Cambria" w:eastAsia="Calibri" w:hAnsi="Cambria" w:cs="Times New Roman"/>
              </w:rPr>
              <w:t>the eMERGE</w:t>
            </w:r>
            <w:proofErr w:type="gramEnd"/>
            <w:r>
              <w:rPr>
                <w:rFonts w:ascii="Cambria" w:eastAsia="Calibri" w:hAnsi="Cambria" w:cs="Times New Roman"/>
              </w:rPr>
              <w:t xml:space="preserve"> imputed set.</w:t>
            </w:r>
          </w:p>
          <w:p w14:paraId="0F5CCF91" w14:textId="77777777" w:rsidR="009269B5" w:rsidRPr="003127C2" w:rsidRDefault="009269B5" w:rsidP="003127C2">
            <w:pPr>
              <w:shd w:val="clear" w:color="auto" w:fill="FFFFFF"/>
              <w:spacing w:before="120" w:after="120" w:line="240" w:lineRule="auto"/>
              <w:textAlignment w:val="baseline"/>
              <w:rPr>
                <w:rFonts w:ascii="Cambria" w:eastAsia="Calibri" w:hAnsi="Cambria" w:cs="Times New Roman"/>
              </w:rPr>
            </w:pPr>
            <w:proofErr w:type="spellStart"/>
            <w:r w:rsidRPr="003127C2">
              <w:rPr>
                <w:rFonts w:ascii="Cambria" w:eastAsia="Calibri" w:hAnsi="Cambria" w:cs="Times New Roman"/>
                <w:u w:val="single"/>
              </w:rPr>
              <w:t>Geisinger</w:t>
            </w:r>
            <w:proofErr w:type="spellEnd"/>
            <w:r w:rsidRPr="003127C2">
              <w:rPr>
                <w:rFonts w:ascii="Cambria" w:eastAsia="Calibri" w:hAnsi="Cambria" w:cs="Times New Roman"/>
                <w:u w:val="single"/>
              </w:rPr>
              <w:t xml:space="preserve"> Site Report</w:t>
            </w:r>
            <w:r w:rsidRPr="003127C2">
              <w:rPr>
                <w:rFonts w:ascii="Cambria" w:eastAsia="Calibri" w:hAnsi="Cambria" w:cs="Times New Roman"/>
              </w:rPr>
              <w:t xml:space="preserve"> – </w:t>
            </w:r>
            <w:r w:rsidRPr="003127C2">
              <w:rPr>
                <w:rFonts w:ascii="Cambria" w:eastAsia="Calibri" w:hAnsi="Cambria" w:cs="Times New Roman"/>
                <w:i/>
              </w:rPr>
              <w:t>David Carey &amp; Marc Williams</w:t>
            </w:r>
          </w:p>
          <w:p w14:paraId="6D9706C7" w14:textId="7AB44A1D" w:rsidR="00FE5C8E" w:rsidRPr="00FE5C8E" w:rsidRDefault="00CC1EFB" w:rsidP="00FE5C8E">
            <w:pPr>
              <w:pStyle w:val="ListParagraph"/>
              <w:numPr>
                <w:ilvl w:val="0"/>
                <w:numId w:val="8"/>
              </w:numPr>
              <w:shd w:val="clear" w:color="auto" w:fill="FFFFFF"/>
              <w:spacing w:before="120" w:after="120" w:line="240" w:lineRule="auto"/>
              <w:textAlignment w:val="baseline"/>
              <w:rPr>
                <w:rFonts w:ascii="Cambria" w:eastAsia="Calibri" w:hAnsi="Cambria" w:cs="Times New Roman"/>
              </w:rPr>
            </w:pPr>
            <w:proofErr w:type="spellStart"/>
            <w:r>
              <w:rPr>
                <w:rFonts w:ascii="Cambria" w:eastAsia="Calibri" w:hAnsi="Cambria" w:cs="Times New Roman"/>
              </w:rPr>
              <w:t>Geisinger</w:t>
            </w:r>
            <w:proofErr w:type="spellEnd"/>
            <w:r>
              <w:rPr>
                <w:rFonts w:ascii="Cambria" w:eastAsia="Calibri" w:hAnsi="Cambria" w:cs="Times New Roman"/>
              </w:rPr>
              <w:t xml:space="preserve"> presented their site report as a ‘lessons learned,’ since their participation in eMERGE contributed to fundamental changes in </w:t>
            </w:r>
            <w:r w:rsidR="000C5563">
              <w:rPr>
                <w:rFonts w:ascii="Cambria" w:eastAsia="Calibri" w:hAnsi="Cambria" w:cs="Times New Roman"/>
              </w:rPr>
              <w:t xml:space="preserve">their initial </w:t>
            </w:r>
            <w:r>
              <w:rPr>
                <w:rFonts w:ascii="Cambria" w:eastAsia="Calibri" w:hAnsi="Cambria" w:cs="Times New Roman"/>
              </w:rPr>
              <w:t>research approach</w:t>
            </w:r>
            <w:r w:rsidR="000C5563">
              <w:rPr>
                <w:rFonts w:ascii="Cambria" w:eastAsia="Calibri" w:hAnsi="Cambria" w:cs="Times New Roman"/>
              </w:rPr>
              <w:t>.</w:t>
            </w:r>
            <w:r w:rsidR="00FE5C8E">
              <w:rPr>
                <w:rFonts w:ascii="Cambria" w:eastAsia="Calibri" w:hAnsi="Cambria" w:cs="Times New Roman"/>
              </w:rPr>
              <w:t xml:space="preserve">  T</w:t>
            </w:r>
            <w:r w:rsidR="00FE5C8E" w:rsidRPr="00FE5C8E">
              <w:rPr>
                <w:rFonts w:ascii="Cambria" w:eastAsia="Calibri" w:hAnsi="Cambria" w:cs="Times New Roman"/>
              </w:rPr>
              <w:t>wo high level recommendat</w:t>
            </w:r>
            <w:r w:rsidR="000C5563">
              <w:rPr>
                <w:rFonts w:ascii="Cambria" w:eastAsia="Calibri" w:hAnsi="Cambria" w:cs="Times New Roman"/>
              </w:rPr>
              <w:t>ions are</w:t>
            </w:r>
            <w:r w:rsidR="00FE5C8E" w:rsidRPr="00FE5C8E">
              <w:rPr>
                <w:rFonts w:ascii="Cambria" w:eastAsia="Calibri" w:hAnsi="Cambria" w:cs="Times New Roman"/>
              </w:rPr>
              <w:t>:</w:t>
            </w:r>
          </w:p>
          <w:p w14:paraId="2C73C7AE" w14:textId="3F3AE068" w:rsidR="00FE5C8E" w:rsidRDefault="00FE5C8E" w:rsidP="00AD2054">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Adopt a concept of an enterprise wide Learning Health System.</w:t>
            </w:r>
          </w:p>
          <w:p w14:paraId="50BFD7F0" w14:textId="718C35DD" w:rsidR="00FE5C8E" w:rsidRDefault="00FE5C8E" w:rsidP="00AD2054">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Embrace </w:t>
            </w:r>
            <w:proofErr w:type="spellStart"/>
            <w:r w:rsidR="00696D59">
              <w:rPr>
                <w:rFonts w:ascii="Cambria" w:eastAsia="Calibri" w:hAnsi="Cambria" w:cs="Times New Roman"/>
              </w:rPr>
              <w:t>engagement</w:t>
            </w:r>
            <w:r>
              <w:rPr>
                <w:rFonts w:ascii="Cambria" w:eastAsia="Calibri" w:hAnsi="Cambria" w:cs="Times New Roman"/>
              </w:rPr>
              <w:t>en</w:t>
            </w:r>
            <w:r w:rsidR="000C5563">
              <w:rPr>
                <w:rFonts w:ascii="Cambria" w:eastAsia="Calibri" w:hAnsi="Cambria" w:cs="Times New Roman"/>
              </w:rPr>
              <w:t>g</w:t>
            </w:r>
            <w:r>
              <w:rPr>
                <w:rFonts w:ascii="Cambria" w:eastAsia="Calibri" w:hAnsi="Cambria" w:cs="Times New Roman"/>
              </w:rPr>
              <w:t>agement</w:t>
            </w:r>
            <w:proofErr w:type="spellEnd"/>
            <w:r>
              <w:rPr>
                <w:rFonts w:ascii="Cambria" w:eastAsia="Calibri" w:hAnsi="Cambria" w:cs="Times New Roman"/>
              </w:rPr>
              <w:t xml:space="preserve"> of and partnership with </w:t>
            </w:r>
            <w:proofErr w:type="spellStart"/>
            <w:r>
              <w:rPr>
                <w:rFonts w:ascii="Cambria" w:eastAsia="Calibri" w:hAnsi="Cambria" w:cs="Times New Roman"/>
              </w:rPr>
              <w:t>Geisinger</w:t>
            </w:r>
            <w:proofErr w:type="spellEnd"/>
            <w:r>
              <w:rPr>
                <w:rFonts w:ascii="Cambria" w:eastAsia="Calibri" w:hAnsi="Cambria" w:cs="Times New Roman"/>
              </w:rPr>
              <w:t xml:space="preserve"> patients.</w:t>
            </w:r>
          </w:p>
          <w:p w14:paraId="6AB1BFF0" w14:textId="37C17BE1" w:rsidR="00CC1EFB" w:rsidRDefault="007B3FBB"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Integrated health leveraged as platform for genomics research. </w:t>
            </w:r>
            <w:r w:rsidR="00BA6A67">
              <w:rPr>
                <w:rFonts w:ascii="Cambria" w:eastAsia="Calibri" w:hAnsi="Cambria" w:cs="Times New Roman"/>
              </w:rPr>
              <w:t>This h</w:t>
            </w:r>
            <w:r>
              <w:rPr>
                <w:rFonts w:ascii="Cambria" w:eastAsia="Calibri" w:hAnsi="Cambria" w:cs="Times New Roman"/>
              </w:rPr>
              <w:t xml:space="preserve">as caused </w:t>
            </w:r>
            <w:proofErr w:type="spellStart"/>
            <w:r w:rsidR="00BA6A67">
              <w:rPr>
                <w:rFonts w:ascii="Cambria" w:eastAsia="Calibri" w:hAnsi="Cambria" w:cs="Times New Roman"/>
              </w:rPr>
              <w:t>Geisinger</w:t>
            </w:r>
            <w:proofErr w:type="spellEnd"/>
            <w:r>
              <w:rPr>
                <w:rFonts w:ascii="Cambria" w:eastAsia="Calibri" w:hAnsi="Cambria" w:cs="Times New Roman"/>
              </w:rPr>
              <w:t xml:space="preserve"> to think more aggressively about how to accelerate the return of information back to patients/providers to improve clinical care.</w:t>
            </w:r>
          </w:p>
          <w:p w14:paraId="2BCCCB70" w14:textId="46A2D294" w:rsidR="007B3FBB" w:rsidRDefault="007B3FBB"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IT governance has changed, reorganization of informatics structure</w:t>
            </w:r>
            <w:r w:rsidR="00BA6A67">
              <w:rPr>
                <w:rFonts w:ascii="Cambria" w:eastAsia="Calibri" w:hAnsi="Cambria" w:cs="Times New Roman"/>
              </w:rPr>
              <w:t xml:space="preserve"> due to eMERGE processes.</w:t>
            </w:r>
          </w:p>
          <w:p w14:paraId="52415831" w14:textId="77777777" w:rsidR="007B3FBB" w:rsidRPr="003127C2" w:rsidRDefault="007B3FBB" w:rsidP="003127C2">
            <w:pPr>
              <w:shd w:val="clear" w:color="auto" w:fill="FFFFFF"/>
              <w:spacing w:before="120" w:after="120" w:line="240" w:lineRule="auto"/>
              <w:textAlignment w:val="baseline"/>
              <w:rPr>
                <w:rFonts w:ascii="Cambria" w:eastAsia="Calibri" w:hAnsi="Cambria" w:cs="Times New Roman"/>
              </w:rPr>
            </w:pPr>
            <w:r w:rsidRPr="003127C2">
              <w:rPr>
                <w:rFonts w:ascii="Cambria" w:eastAsia="Calibri" w:hAnsi="Cambria" w:cs="Times New Roman"/>
                <w:u w:val="single"/>
              </w:rPr>
              <w:t xml:space="preserve">Comprehensive Review of </w:t>
            </w:r>
            <w:proofErr w:type="spellStart"/>
            <w:r w:rsidRPr="003127C2">
              <w:rPr>
                <w:rFonts w:ascii="Cambria" w:eastAsia="Calibri" w:hAnsi="Cambria" w:cs="Times New Roman"/>
                <w:u w:val="single"/>
              </w:rPr>
              <w:t>Infobutton</w:t>
            </w:r>
            <w:proofErr w:type="spellEnd"/>
            <w:r w:rsidRPr="003127C2">
              <w:rPr>
                <w:rFonts w:ascii="Cambria" w:eastAsia="Calibri" w:hAnsi="Cambria" w:cs="Times New Roman"/>
                <w:u w:val="single"/>
              </w:rPr>
              <w:t xml:space="preserve"> Project </w:t>
            </w:r>
            <w:proofErr w:type="spellStart"/>
            <w:r w:rsidRPr="003127C2">
              <w:rPr>
                <w:rFonts w:ascii="Cambria" w:eastAsia="Calibri" w:hAnsi="Cambria" w:cs="Times New Roman"/>
                <w:u w:val="single"/>
              </w:rPr>
              <w:t>Project</w:t>
            </w:r>
            <w:proofErr w:type="spellEnd"/>
            <w:r w:rsidRPr="003127C2">
              <w:rPr>
                <w:rFonts w:ascii="Cambria" w:eastAsia="Calibri" w:hAnsi="Cambria" w:cs="Times New Roman"/>
              </w:rPr>
              <w:t xml:space="preserve"> – </w:t>
            </w:r>
            <w:r w:rsidRPr="003127C2">
              <w:rPr>
                <w:rFonts w:ascii="Cambria" w:eastAsia="Calibri" w:hAnsi="Cambria" w:cs="Times New Roman"/>
                <w:i/>
              </w:rPr>
              <w:t>John Connolly, Casey Overby, &amp; Luke Rasmussen</w:t>
            </w:r>
          </w:p>
          <w:p w14:paraId="7899AFF0" w14:textId="77777777" w:rsidR="007B3FBB" w:rsidRDefault="001F47A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The project aimed to develop new information resources based on eMERGE II and </w:t>
            </w:r>
            <w:proofErr w:type="spellStart"/>
            <w:r>
              <w:rPr>
                <w:rFonts w:ascii="Cambria" w:eastAsia="Calibri" w:hAnsi="Cambria" w:cs="Times New Roman"/>
              </w:rPr>
              <w:t>PGx</w:t>
            </w:r>
            <w:proofErr w:type="spellEnd"/>
            <w:r>
              <w:rPr>
                <w:rFonts w:ascii="Cambria" w:eastAsia="Calibri" w:hAnsi="Cambria" w:cs="Times New Roman"/>
              </w:rPr>
              <w:t xml:space="preserve"> scenarios, as well as implementing </w:t>
            </w:r>
            <w:proofErr w:type="spellStart"/>
            <w:r>
              <w:rPr>
                <w:rFonts w:ascii="Cambria" w:eastAsia="Calibri" w:hAnsi="Cambria" w:cs="Times New Roman"/>
              </w:rPr>
              <w:t>infobuttons</w:t>
            </w:r>
            <w:proofErr w:type="spellEnd"/>
            <w:r>
              <w:rPr>
                <w:rFonts w:ascii="Cambria" w:eastAsia="Calibri" w:hAnsi="Cambria" w:cs="Times New Roman"/>
              </w:rPr>
              <w:t xml:space="preserve"> within EHRs at eMERGE institutions.</w:t>
            </w:r>
          </w:p>
          <w:p w14:paraId="5A84BFE9" w14:textId="77777777" w:rsidR="001F47AD" w:rsidRDefault="001F47A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A simulation study of 22 physicians using 3 prescribing scenarios from UW was provided. The resources were utilized by physicians: lab reviews were accessed 98 times, while the medication order entry context was accessed 74 times.</w:t>
            </w:r>
          </w:p>
          <w:p w14:paraId="31C32DA1" w14:textId="77777777" w:rsidR="001F47AD" w:rsidRDefault="001F47A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proofErr w:type="gramStart"/>
            <w:r>
              <w:rPr>
                <w:rFonts w:ascii="Cambria" w:eastAsia="Calibri" w:hAnsi="Cambria" w:cs="Times New Roman"/>
              </w:rPr>
              <w:t>eMERGE</w:t>
            </w:r>
            <w:proofErr w:type="gramEnd"/>
            <w:r>
              <w:rPr>
                <w:rFonts w:ascii="Cambria" w:eastAsia="Calibri" w:hAnsi="Cambria" w:cs="Times New Roman"/>
              </w:rPr>
              <w:t xml:space="preserve"> sites are considering similar </w:t>
            </w:r>
            <w:proofErr w:type="spellStart"/>
            <w:r>
              <w:rPr>
                <w:rFonts w:ascii="Cambria" w:eastAsia="Calibri" w:hAnsi="Cambria" w:cs="Times New Roman"/>
              </w:rPr>
              <w:t>PGx</w:t>
            </w:r>
            <w:proofErr w:type="spellEnd"/>
            <w:r>
              <w:rPr>
                <w:rFonts w:ascii="Cambria" w:eastAsia="Calibri" w:hAnsi="Cambria" w:cs="Times New Roman"/>
              </w:rPr>
              <w:t xml:space="preserve"> scenarios (</w:t>
            </w:r>
            <w:proofErr w:type="spellStart"/>
            <w:r>
              <w:rPr>
                <w:rFonts w:ascii="Cambria" w:eastAsia="Calibri" w:hAnsi="Cambria" w:cs="Times New Roman"/>
              </w:rPr>
              <w:t>clopidogrel</w:t>
            </w:r>
            <w:proofErr w:type="spellEnd"/>
            <w:r>
              <w:rPr>
                <w:rFonts w:ascii="Cambria" w:eastAsia="Calibri" w:hAnsi="Cambria" w:cs="Times New Roman"/>
              </w:rPr>
              <w:t>, warfarin, simvastatin).</w:t>
            </w:r>
          </w:p>
          <w:p w14:paraId="73D90A0F" w14:textId="77777777" w:rsidR="001F47AD" w:rsidRDefault="001F47A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Practical considerations were reviewed. Major considerations include ‘how content is developed,’ ‘where content is hosted’ (locally hosted content is preferred), ‘a mix of site-specific and general content is required.’</w:t>
            </w:r>
          </w:p>
          <w:p w14:paraId="4568391D" w14:textId="69B5598A" w:rsidR="001F47AD" w:rsidRDefault="001F47AD"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Myresults.org was reviewed. An end-user evaluation is under way</w:t>
            </w:r>
            <w:r w:rsidR="00ED1D51">
              <w:rPr>
                <w:rFonts w:ascii="Cambria" w:eastAsia="Calibri" w:hAnsi="Cambria" w:cs="Times New Roman"/>
              </w:rPr>
              <w:t xml:space="preserve"> to gather perceptions of eMERGE-developed content</w:t>
            </w:r>
            <w:r>
              <w:rPr>
                <w:rFonts w:ascii="Cambria" w:eastAsia="Calibri" w:hAnsi="Cambria" w:cs="Times New Roman"/>
              </w:rPr>
              <w:t>.</w:t>
            </w:r>
            <w:r w:rsidR="00ED1D51">
              <w:rPr>
                <w:rFonts w:ascii="Cambria" w:eastAsia="Calibri" w:hAnsi="Cambria" w:cs="Times New Roman"/>
              </w:rPr>
              <w:t xml:space="preserve"> 18 surveys have been submitted at this point from eMERGE sites and collaborating institutions.</w:t>
            </w:r>
          </w:p>
          <w:p w14:paraId="7DD04CE8" w14:textId="77777777" w:rsidR="00707C49" w:rsidRDefault="00707C49"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The project will continue developing during eMERGE Phase III.</w:t>
            </w:r>
          </w:p>
          <w:p w14:paraId="1BE5A8EB" w14:textId="77777777" w:rsidR="00E4322C" w:rsidRPr="003127C2" w:rsidRDefault="00E4322C" w:rsidP="003127C2">
            <w:pPr>
              <w:shd w:val="clear" w:color="auto" w:fill="FFFFFF"/>
              <w:spacing w:before="120" w:after="120" w:line="240" w:lineRule="auto"/>
              <w:textAlignment w:val="baseline"/>
              <w:rPr>
                <w:rFonts w:ascii="Cambria" w:eastAsia="Calibri" w:hAnsi="Cambria" w:cs="Times New Roman"/>
              </w:rPr>
            </w:pPr>
            <w:r w:rsidRPr="003127C2">
              <w:rPr>
                <w:rFonts w:ascii="Cambria" w:eastAsia="Calibri" w:hAnsi="Cambria" w:cs="Times New Roman"/>
                <w:u w:val="single"/>
              </w:rPr>
              <w:t>Marshfield/</w:t>
            </w:r>
            <w:proofErr w:type="spellStart"/>
            <w:r w:rsidRPr="003127C2">
              <w:rPr>
                <w:rFonts w:ascii="Cambria" w:eastAsia="Calibri" w:hAnsi="Cambria" w:cs="Times New Roman"/>
                <w:u w:val="single"/>
              </w:rPr>
              <w:t>Essentia</w:t>
            </w:r>
            <w:proofErr w:type="spellEnd"/>
            <w:r w:rsidRPr="003127C2">
              <w:rPr>
                <w:rFonts w:ascii="Cambria" w:eastAsia="Calibri" w:hAnsi="Cambria" w:cs="Times New Roman"/>
                <w:u w:val="single"/>
              </w:rPr>
              <w:t>/PSU Site Report</w:t>
            </w:r>
            <w:r w:rsidRPr="003127C2">
              <w:rPr>
                <w:rFonts w:ascii="Cambria" w:eastAsia="Calibri" w:hAnsi="Cambria" w:cs="Times New Roman"/>
              </w:rPr>
              <w:t xml:space="preserve"> – </w:t>
            </w:r>
            <w:r w:rsidRPr="003127C2">
              <w:rPr>
                <w:rFonts w:ascii="Cambria" w:eastAsia="Calibri" w:hAnsi="Cambria" w:cs="Times New Roman"/>
                <w:i/>
              </w:rPr>
              <w:t>Murray Brilliant, Catherine McCarty, &amp; Marylyn Ritchie</w:t>
            </w:r>
          </w:p>
          <w:p w14:paraId="562B21F8" w14:textId="3BCC7F36" w:rsidR="00E4322C" w:rsidRDefault="00C50071"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Site</w:t>
            </w:r>
            <w:r w:rsidR="00E4322C">
              <w:rPr>
                <w:rFonts w:ascii="Cambria" w:eastAsia="Calibri" w:hAnsi="Cambria" w:cs="Times New Roman"/>
              </w:rPr>
              <w:t xml:space="preserve"> phenotype work was presented. </w:t>
            </w:r>
            <w:r w:rsidR="00BA6A67">
              <w:rPr>
                <w:rFonts w:ascii="Cambria" w:eastAsia="Calibri" w:hAnsi="Cambria" w:cs="Times New Roman"/>
              </w:rPr>
              <w:t>Algorithms were</w:t>
            </w:r>
            <w:r w:rsidR="00E4322C">
              <w:rPr>
                <w:rFonts w:ascii="Cambria" w:eastAsia="Calibri" w:hAnsi="Cambria" w:cs="Times New Roman"/>
              </w:rPr>
              <w:t xml:space="preserve"> developed and validated for Ocular Hypertension, Glaucoma, and AMD. They also assisted in the validation of 32 network algorithms (16 being the primary or secondary validator).</w:t>
            </w:r>
          </w:p>
          <w:p w14:paraId="4FC319BC" w14:textId="4375F4E9" w:rsidR="00E4322C" w:rsidRDefault="00E4322C"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A machine learning phenotyping article was published in the</w:t>
            </w:r>
            <w:r w:rsidRPr="00E4322C">
              <w:rPr>
                <w:rFonts w:ascii="Cambria" w:eastAsia="Calibri" w:hAnsi="Cambria" w:cs="Times New Roman"/>
                <w:i/>
              </w:rPr>
              <w:t xml:space="preserve"> Journal of Biomedical Informatics </w:t>
            </w:r>
            <w:r>
              <w:rPr>
                <w:rFonts w:ascii="Cambria" w:eastAsia="Calibri" w:hAnsi="Cambria" w:cs="Times New Roman"/>
              </w:rPr>
              <w:t>(‘Relational Machine Learning for Electronic Health Record-driven Phenotyping’)</w:t>
            </w:r>
          </w:p>
          <w:p w14:paraId="60A0DBAE" w14:textId="2F390F5D" w:rsidR="00E4322C" w:rsidRDefault="00E4322C"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The site leveraged GWAS data available for ~6,000 research subjects</w:t>
            </w:r>
            <w:r w:rsidR="00743B73">
              <w:rPr>
                <w:rFonts w:ascii="Cambria" w:eastAsia="Calibri" w:hAnsi="Cambria" w:cs="Times New Roman"/>
              </w:rPr>
              <w:t xml:space="preserve"> at Marsh</w:t>
            </w:r>
            <w:r w:rsidR="00C50071">
              <w:rPr>
                <w:rFonts w:ascii="Cambria" w:eastAsia="Calibri" w:hAnsi="Cambria" w:cs="Times New Roman"/>
              </w:rPr>
              <w:t>field</w:t>
            </w:r>
            <w:r w:rsidR="00743B73">
              <w:rPr>
                <w:rFonts w:ascii="Cambria" w:eastAsia="Calibri" w:hAnsi="Cambria" w:cs="Times New Roman"/>
              </w:rPr>
              <w:t xml:space="preserve"> and ~23,000 additional subjects across eMERGE to undertake discoveries for ophthalmic conditions and </w:t>
            </w:r>
            <w:proofErr w:type="spellStart"/>
            <w:r w:rsidR="00743B73">
              <w:rPr>
                <w:rFonts w:ascii="Cambria" w:eastAsia="Calibri" w:hAnsi="Cambria" w:cs="Times New Roman"/>
              </w:rPr>
              <w:t>pharmacogenetics</w:t>
            </w:r>
            <w:proofErr w:type="spellEnd"/>
            <w:r w:rsidR="00743B73">
              <w:rPr>
                <w:rFonts w:ascii="Cambria" w:eastAsia="Calibri" w:hAnsi="Cambria" w:cs="Times New Roman"/>
              </w:rPr>
              <w:t>. 10,538 samples were available after QC.</w:t>
            </w:r>
          </w:p>
          <w:p w14:paraId="7C13020C" w14:textId="77777777" w:rsidR="00743B73" w:rsidRDefault="00743B73" w:rsidP="003127C2">
            <w:pPr>
              <w:pStyle w:val="ListParagraph"/>
              <w:numPr>
                <w:ilvl w:val="1"/>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‘Biology-driven Gene-Gene Interaction Analysis of Age-Related Cataract in the eMERGE Network’ was published in </w:t>
            </w:r>
            <w:r w:rsidRPr="00743B73">
              <w:rPr>
                <w:rFonts w:ascii="Cambria" w:eastAsia="Calibri" w:hAnsi="Cambria" w:cs="Times New Roman"/>
                <w:i/>
              </w:rPr>
              <w:t>Genetic Epidemiology</w:t>
            </w:r>
            <w:r>
              <w:rPr>
                <w:rFonts w:ascii="Cambria" w:eastAsia="Calibri" w:hAnsi="Cambria" w:cs="Times New Roman"/>
              </w:rPr>
              <w:t>.</w:t>
            </w:r>
          </w:p>
          <w:p w14:paraId="00428A89" w14:textId="07B8175D" w:rsidR="00743B73" w:rsidRPr="003127C2" w:rsidRDefault="00743B73" w:rsidP="003127C2">
            <w:p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u w:val="single"/>
              </w:rPr>
              <w:t>eMERGE-</w:t>
            </w:r>
            <w:proofErr w:type="spellStart"/>
            <w:r w:rsidRPr="003127C2">
              <w:rPr>
                <w:rFonts w:ascii="Cambria" w:eastAsia="Calibri" w:hAnsi="Cambria" w:cs="Times New Roman"/>
                <w:u w:val="single"/>
              </w:rPr>
              <w:t>PCORnet</w:t>
            </w:r>
            <w:proofErr w:type="spellEnd"/>
            <w:r w:rsidRPr="003127C2">
              <w:rPr>
                <w:rFonts w:ascii="Cambria" w:eastAsia="Calibri" w:hAnsi="Cambria" w:cs="Times New Roman"/>
                <w:u w:val="single"/>
              </w:rPr>
              <w:t xml:space="preserve"> Discussion</w:t>
            </w:r>
            <w:r w:rsidR="003127C2">
              <w:rPr>
                <w:rFonts w:ascii="Cambria" w:eastAsia="Calibri" w:hAnsi="Cambria" w:cs="Times New Roman"/>
              </w:rPr>
              <w:t xml:space="preserve"> - </w:t>
            </w:r>
            <w:r w:rsidR="003127C2" w:rsidRPr="003127C2">
              <w:rPr>
                <w:rFonts w:ascii="Cambria" w:eastAsia="Calibri" w:hAnsi="Cambria" w:cs="Times New Roman"/>
                <w:i/>
              </w:rPr>
              <w:t>Group</w:t>
            </w:r>
          </w:p>
          <w:p w14:paraId="38F74B6D" w14:textId="08741132" w:rsidR="00743B73" w:rsidRDefault="00743B73"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NHGRI </w:t>
            </w:r>
            <w:r w:rsidR="000A37A5">
              <w:rPr>
                <w:rFonts w:ascii="Cambria" w:eastAsia="Calibri" w:hAnsi="Cambria" w:cs="Times New Roman"/>
              </w:rPr>
              <w:t>asked</w:t>
            </w:r>
            <w:r w:rsidR="00BA6A67">
              <w:rPr>
                <w:rFonts w:ascii="Cambria" w:eastAsia="Calibri" w:hAnsi="Cambria" w:cs="Times New Roman"/>
              </w:rPr>
              <w:t xml:space="preserve"> the group to</w:t>
            </w:r>
            <w:r>
              <w:rPr>
                <w:rFonts w:ascii="Cambria" w:eastAsia="Calibri" w:hAnsi="Cambria" w:cs="Times New Roman"/>
              </w:rPr>
              <w:t xml:space="preserve"> identify avenues for collaboration with PCORI.</w:t>
            </w:r>
          </w:p>
          <w:p w14:paraId="0C0C9469" w14:textId="739AA94F" w:rsidR="00743B73" w:rsidRDefault="00BA6A67"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There is r</w:t>
            </w:r>
            <w:r w:rsidR="00743B73">
              <w:rPr>
                <w:rFonts w:ascii="Cambria" w:eastAsia="Calibri" w:hAnsi="Cambria" w:cs="Times New Roman"/>
              </w:rPr>
              <w:t>eal opportunity in leveraging patient-</w:t>
            </w:r>
            <w:r w:rsidR="006709C3">
              <w:rPr>
                <w:rFonts w:ascii="Cambria" w:eastAsia="Calibri" w:hAnsi="Cambria" w:cs="Times New Roman"/>
              </w:rPr>
              <w:t>reported</w:t>
            </w:r>
            <w:r w:rsidR="00743B73">
              <w:rPr>
                <w:rFonts w:ascii="Cambria" w:eastAsia="Calibri" w:hAnsi="Cambria" w:cs="Times New Roman"/>
              </w:rPr>
              <w:t xml:space="preserve"> data</w:t>
            </w:r>
            <w:r w:rsidR="000A37A5">
              <w:rPr>
                <w:rFonts w:ascii="Cambria" w:eastAsia="Calibri" w:hAnsi="Cambria" w:cs="Times New Roman"/>
              </w:rPr>
              <w:t xml:space="preserve"> along with EHR data to improve association analyses and understand population effects</w:t>
            </w:r>
            <w:r w:rsidR="00743B73">
              <w:rPr>
                <w:rFonts w:ascii="Cambria" w:eastAsia="Calibri" w:hAnsi="Cambria" w:cs="Times New Roman"/>
              </w:rPr>
              <w:t xml:space="preserve">. </w:t>
            </w:r>
            <w:r w:rsidR="000A37A5">
              <w:rPr>
                <w:rFonts w:ascii="Cambria" w:eastAsia="Calibri" w:hAnsi="Cambria" w:cs="Times New Roman"/>
              </w:rPr>
              <w:t>Also to use this data combination to study intervention effectiveness.</w:t>
            </w:r>
          </w:p>
          <w:p w14:paraId="5C005A7E" w14:textId="6C50C893" w:rsidR="00743B73" w:rsidRDefault="006709C3"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proofErr w:type="gramStart"/>
            <w:r>
              <w:rPr>
                <w:rFonts w:ascii="Cambria" w:eastAsia="Calibri" w:hAnsi="Cambria" w:cs="Times New Roman"/>
              </w:rPr>
              <w:t>eMERGE</w:t>
            </w:r>
            <w:proofErr w:type="gramEnd"/>
            <w:r>
              <w:rPr>
                <w:rFonts w:ascii="Cambria" w:eastAsia="Calibri" w:hAnsi="Cambria" w:cs="Times New Roman"/>
              </w:rPr>
              <w:t xml:space="preserve"> would </w:t>
            </w:r>
            <w:r w:rsidR="000A37A5">
              <w:rPr>
                <w:rFonts w:ascii="Cambria" w:eastAsia="Calibri" w:hAnsi="Cambria" w:cs="Times New Roman"/>
              </w:rPr>
              <w:t xml:space="preserve">focus on incorporating </w:t>
            </w:r>
            <w:r w:rsidR="00AE656B">
              <w:rPr>
                <w:rFonts w:ascii="Cambria" w:eastAsia="Calibri" w:hAnsi="Cambria" w:cs="Times New Roman"/>
              </w:rPr>
              <w:t>more on patient-</w:t>
            </w:r>
            <w:r>
              <w:rPr>
                <w:rFonts w:ascii="Cambria" w:eastAsia="Calibri" w:hAnsi="Cambria" w:cs="Times New Roman"/>
              </w:rPr>
              <w:t>reported</w:t>
            </w:r>
            <w:r w:rsidR="00AE656B">
              <w:rPr>
                <w:rFonts w:ascii="Cambria" w:eastAsia="Calibri" w:hAnsi="Cambria" w:cs="Times New Roman"/>
              </w:rPr>
              <w:t xml:space="preserve"> data, not so much c</w:t>
            </w:r>
            <w:r w:rsidR="00743B73">
              <w:rPr>
                <w:rFonts w:ascii="Cambria" w:eastAsia="Calibri" w:hAnsi="Cambria" w:cs="Times New Roman"/>
              </w:rPr>
              <w:t>omparative effectiveness analysis.</w:t>
            </w:r>
          </w:p>
          <w:p w14:paraId="5974413B" w14:textId="14C962E0" w:rsidR="00AE656B" w:rsidRDefault="00AE656B"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Comparative analysis is slippery slope. We don’t know enough about whole genome vs. targeted yet to make that kind of comparison. </w:t>
            </w:r>
            <w:r w:rsidR="00BA6A67">
              <w:rPr>
                <w:rFonts w:ascii="Cambria" w:eastAsia="Calibri" w:hAnsi="Cambria" w:cs="Times New Roman"/>
              </w:rPr>
              <w:t>An uninformed trial could damage the field.</w:t>
            </w:r>
          </w:p>
          <w:p w14:paraId="078D8AEA" w14:textId="77777777" w:rsidR="006D0A4C" w:rsidRDefault="00AE656B" w:rsidP="003127C2">
            <w:pPr>
              <w:pStyle w:val="ListParagraph"/>
              <w:numPr>
                <w:ilvl w:val="0"/>
                <w:numId w:val="8"/>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PCORI funds</w:t>
            </w:r>
            <w:r w:rsidR="00BA6A67">
              <w:rPr>
                <w:rFonts w:ascii="Cambria" w:eastAsia="Calibri" w:hAnsi="Cambria" w:cs="Times New Roman"/>
              </w:rPr>
              <w:t xml:space="preserve"> methodology development, so eMERGE could perhaps co-fund a methodology development project</w:t>
            </w:r>
            <w:r>
              <w:rPr>
                <w:rFonts w:ascii="Cambria" w:eastAsia="Calibri" w:hAnsi="Cambria" w:cs="Times New Roman"/>
              </w:rPr>
              <w:t xml:space="preserve"> through PCORI.</w:t>
            </w:r>
          </w:p>
          <w:p w14:paraId="39DC7FFE" w14:textId="5C16E00A" w:rsidR="00A41015" w:rsidRPr="006D0A4C" w:rsidRDefault="00A41015" w:rsidP="006D0A4C">
            <w:pPr>
              <w:shd w:val="clear" w:color="auto" w:fill="FFFFFF"/>
              <w:spacing w:before="120" w:after="120" w:line="240" w:lineRule="auto"/>
              <w:textAlignment w:val="baseline"/>
              <w:rPr>
                <w:rFonts w:ascii="Cambria" w:eastAsia="Calibri" w:hAnsi="Cambria" w:cs="Times New Roman"/>
              </w:rPr>
            </w:pPr>
            <w:r w:rsidRPr="006D0A4C">
              <w:rPr>
                <w:rFonts w:ascii="Cambria" w:eastAsia="Calibri" w:hAnsi="Cambria" w:cs="Times New Roman"/>
                <w:u w:val="single"/>
              </w:rPr>
              <w:t>Central Phenotype Dataset Discussion</w:t>
            </w:r>
            <w:r w:rsidR="003127C2" w:rsidRPr="006D0A4C">
              <w:rPr>
                <w:rFonts w:ascii="Cambria" w:eastAsia="Calibri" w:hAnsi="Cambria" w:cs="Times New Roman"/>
              </w:rPr>
              <w:t xml:space="preserve"> - </w:t>
            </w:r>
            <w:r w:rsidR="003127C2" w:rsidRPr="006D0A4C">
              <w:rPr>
                <w:rFonts w:ascii="Cambria" w:eastAsia="Calibri" w:hAnsi="Cambria" w:cs="Times New Roman"/>
                <w:i/>
              </w:rPr>
              <w:t>Group</w:t>
            </w:r>
          </w:p>
          <w:p w14:paraId="4B925273" w14:textId="0C2BA9D1" w:rsidR="00422E6D" w:rsidRDefault="00422E6D" w:rsidP="00BA6A67">
            <w:pPr>
              <w:pStyle w:val="ListParagraph"/>
              <w:numPr>
                <w:ilvl w:val="0"/>
                <w:numId w:val="8"/>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NHGRI inquired with the group as to whether there was utility in having a phenotype dataset for the Network. A large </w:t>
            </w:r>
            <w:proofErr w:type="spellStart"/>
            <w:r>
              <w:rPr>
                <w:rFonts w:ascii="Cambria" w:eastAsia="Calibri" w:hAnsi="Cambria" w:cs="Times New Roman"/>
              </w:rPr>
              <w:t>dbGaP</w:t>
            </w:r>
            <w:proofErr w:type="spellEnd"/>
            <w:r>
              <w:rPr>
                <w:rFonts w:ascii="Cambria" w:eastAsia="Calibri" w:hAnsi="Cambria" w:cs="Times New Roman"/>
              </w:rPr>
              <w:t xml:space="preserve"> set including the main study is already available</w:t>
            </w:r>
            <w:r w:rsidR="00BA6A67">
              <w:rPr>
                <w:rFonts w:ascii="Cambria" w:eastAsia="Calibri" w:hAnsi="Cambria" w:cs="Times New Roman"/>
              </w:rPr>
              <w:t>, but only includes</w:t>
            </w:r>
            <w:r>
              <w:rPr>
                <w:rFonts w:ascii="Cambria" w:eastAsia="Calibri" w:hAnsi="Cambria" w:cs="Times New Roman"/>
              </w:rPr>
              <w:t xml:space="preserve"> case/control status. The phenotype association study data would likely be needed as well, but it’s being submitted in a secondary r</w:t>
            </w:r>
            <w:r w:rsidR="003127C2">
              <w:rPr>
                <w:rFonts w:ascii="Cambria" w:eastAsia="Calibri" w:hAnsi="Cambria" w:cs="Times New Roman"/>
              </w:rPr>
              <w:t>ound, and kept separately.</w:t>
            </w:r>
          </w:p>
          <w:p w14:paraId="4916170C" w14:textId="77777777" w:rsidR="00422E6D" w:rsidRDefault="003127C2" w:rsidP="00BA6A67">
            <w:pPr>
              <w:pStyle w:val="ListParagraph"/>
              <w:numPr>
                <w:ilvl w:val="0"/>
                <w:numId w:val="8"/>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CC will draft a</w:t>
            </w:r>
            <w:r w:rsidR="00422E6D">
              <w:rPr>
                <w:rFonts w:ascii="Cambria" w:eastAsia="Calibri" w:hAnsi="Cambria" w:cs="Times New Roman"/>
              </w:rPr>
              <w:t xml:space="preserve"> </w:t>
            </w:r>
            <w:r>
              <w:rPr>
                <w:rFonts w:ascii="Cambria" w:eastAsia="Calibri" w:hAnsi="Cambria" w:cs="Times New Roman"/>
              </w:rPr>
              <w:t xml:space="preserve">dataset </w:t>
            </w:r>
            <w:r w:rsidR="00422E6D">
              <w:rPr>
                <w:rFonts w:ascii="Cambria" w:eastAsia="Calibri" w:hAnsi="Cambria" w:cs="Times New Roman"/>
              </w:rPr>
              <w:t xml:space="preserve">proposal to </w:t>
            </w:r>
            <w:r>
              <w:rPr>
                <w:rFonts w:ascii="Cambria" w:eastAsia="Calibri" w:hAnsi="Cambria" w:cs="Times New Roman"/>
              </w:rPr>
              <w:t xml:space="preserve">circulate to </w:t>
            </w:r>
            <w:r w:rsidR="00422E6D">
              <w:rPr>
                <w:rFonts w:ascii="Cambria" w:eastAsia="Calibri" w:hAnsi="Cambria" w:cs="Times New Roman"/>
              </w:rPr>
              <w:t>PIs</w:t>
            </w:r>
            <w:r>
              <w:rPr>
                <w:rFonts w:ascii="Cambria" w:eastAsia="Calibri" w:hAnsi="Cambria" w:cs="Times New Roman"/>
              </w:rPr>
              <w:t xml:space="preserve"> for feedback.</w:t>
            </w:r>
          </w:p>
          <w:p w14:paraId="5333B5AD" w14:textId="7BC9285E" w:rsidR="003127C2" w:rsidRPr="003127C2" w:rsidRDefault="003127C2" w:rsidP="003127C2">
            <w:pPr>
              <w:shd w:val="clear" w:color="auto" w:fill="FFFFFF"/>
              <w:spacing w:before="120" w:after="120" w:line="240" w:lineRule="auto"/>
              <w:textAlignment w:val="baseline"/>
              <w:rPr>
                <w:rFonts w:ascii="Cambria" w:eastAsia="Calibri" w:hAnsi="Cambria" w:cs="Times New Roman"/>
                <w:b/>
              </w:rPr>
            </w:pPr>
            <w:r w:rsidRPr="003127C2">
              <w:rPr>
                <w:rFonts w:ascii="Cambria" w:eastAsia="Calibri" w:hAnsi="Cambria" w:cs="Times New Roman"/>
                <w:b/>
              </w:rPr>
              <w:t>ACTION ITEM: The CC will draft a central phenotype dataset proposal to circulate to PIs.</w:t>
            </w:r>
          </w:p>
        </w:tc>
      </w:tr>
      <w:tr w:rsidR="00B25B6C" w:rsidRPr="00B25B6C" w14:paraId="3D326321" w14:textId="77777777" w:rsidTr="00B25B6C">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B2A1C7"/>
            <w:tcMar>
              <w:top w:w="58" w:type="dxa"/>
              <w:left w:w="86" w:type="dxa"/>
              <w:bottom w:w="58" w:type="dxa"/>
              <w:right w:w="86" w:type="dxa"/>
            </w:tcMar>
            <w:vAlign w:val="center"/>
          </w:tcPr>
          <w:p w14:paraId="45FAAFAD" w14:textId="459B90E9" w:rsidR="00B25B6C" w:rsidRPr="00B25B6C" w:rsidRDefault="00743B73" w:rsidP="00743B73">
            <w:pPr>
              <w:spacing w:before="120" w:after="120" w:line="240" w:lineRule="auto"/>
              <w:rPr>
                <w:rFonts w:ascii="Cambria" w:eastAsia="Calibri" w:hAnsi="Cambria" w:cs="Times New Roman"/>
                <w:b/>
                <w:bCs/>
              </w:rPr>
            </w:pPr>
            <w:r>
              <w:rPr>
                <w:rFonts w:ascii="Cambria" w:eastAsia="Calibri" w:hAnsi="Cambria" w:cs="Times New Roman"/>
                <w:b/>
                <w:bCs/>
              </w:rPr>
              <w:lastRenderedPageBreak/>
              <w:t>Day 2: Half-day Session</w:t>
            </w:r>
          </w:p>
        </w:tc>
      </w:tr>
      <w:tr w:rsidR="00B25B6C" w:rsidRPr="00B25B6C" w14:paraId="32FE7E95" w14:textId="77777777" w:rsidTr="008A205B">
        <w:trPr>
          <w:trHeight w:val="246"/>
        </w:trPr>
        <w:tc>
          <w:tcPr>
            <w:tcW w:w="11179" w:type="dxa"/>
            <w:tcBorders>
              <w:top w:val="single" w:sz="8" w:space="0" w:color="auto"/>
              <w:left w:val="single" w:sz="8" w:space="0" w:color="auto"/>
              <w:bottom w:val="single" w:sz="8" w:space="0" w:color="auto"/>
              <w:right w:val="single" w:sz="8" w:space="0" w:color="auto"/>
            </w:tcBorders>
            <w:shd w:val="clear" w:color="auto" w:fill="auto"/>
            <w:tcMar>
              <w:top w:w="58" w:type="dxa"/>
              <w:left w:w="86" w:type="dxa"/>
              <w:bottom w:w="58" w:type="dxa"/>
              <w:right w:w="86" w:type="dxa"/>
            </w:tcMar>
            <w:vAlign w:val="center"/>
          </w:tcPr>
          <w:p w14:paraId="52D31798" w14:textId="3FB66739" w:rsidR="003127C2" w:rsidRPr="0089769B" w:rsidRDefault="003127C2" w:rsidP="003127C2">
            <w:p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u w:val="single"/>
                <w:bdr w:val="none" w:sz="0" w:space="0" w:color="auto" w:frame="1"/>
              </w:rPr>
              <w:t>Return of Results Update</w:t>
            </w:r>
            <w:r w:rsidRPr="00B25B6C">
              <w:rPr>
                <w:rFonts w:ascii="Cambria" w:eastAsia="Calibri" w:hAnsi="Cambria" w:cs="Times New Roman"/>
              </w:rPr>
              <w:t> </w:t>
            </w:r>
            <w:r>
              <w:rPr>
                <w:rFonts w:ascii="Cambria" w:eastAsia="Calibri" w:hAnsi="Cambria" w:cs="Times New Roman"/>
              </w:rPr>
              <w:t>–</w:t>
            </w:r>
            <w:r w:rsidRPr="00B25B6C">
              <w:rPr>
                <w:rFonts w:ascii="Cambria" w:eastAsia="Calibri" w:hAnsi="Cambria" w:cs="Times New Roman"/>
              </w:rPr>
              <w:t xml:space="preserve"> </w:t>
            </w:r>
            <w:r>
              <w:rPr>
                <w:rFonts w:ascii="Cambria" w:eastAsia="Calibri" w:hAnsi="Cambria" w:cs="Times New Roman"/>
                <w:i/>
              </w:rPr>
              <w:t>Gail Jarvik &amp; Iftikhar Kullo</w:t>
            </w:r>
          </w:p>
          <w:p w14:paraId="073D06A0" w14:textId="19334FC2" w:rsidR="003127C2" w:rsidRPr="00D50330"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bdr w:val="none" w:sz="0" w:space="0" w:color="auto" w:frame="1"/>
              </w:rPr>
              <w:t xml:space="preserve">The workgroup cites their work on GRS/variants for complex disease risk, phenotypic correlates of </w:t>
            </w:r>
            <w:r w:rsidR="00A768D0">
              <w:rPr>
                <w:rFonts w:ascii="Cambria" w:eastAsia="Calibri" w:hAnsi="Cambria" w:cs="Times New Roman"/>
                <w:bdr w:val="none" w:sz="0" w:space="0" w:color="auto" w:frame="1"/>
              </w:rPr>
              <w:t>Variants</w:t>
            </w:r>
            <w:r w:rsidR="00A679F7">
              <w:rPr>
                <w:rFonts w:ascii="Cambria" w:eastAsia="Calibri" w:hAnsi="Cambria" w:cs="Times New Roman"/>
                <w:bdr w:val="none" w:sz="0" w:space="0" w:color="auto" w:frame="1"/>
              </w:rPr>
              <w:t xml:space="preserve"> of </w:t>
            </w:r>
            <w:r>
              <w:rPr>
                <w:rFonts w:ascii="Cambria" w:eastAsia="Calibri" w:hAnsi="Cambria" w:cs="Times New Roman"/>
                <w:bdr w:val="none" w:sz="0" w:space="0" w:color="auto" w:frame="1"/>
              </w:rPr>
              <w:t>U</w:t>
            </w:r>
            <w:r w:rsidR="00A679F7">
              <w:rPr>
                <w:rFonts w:ascii="Cambria" w:eastAsia="Calibri" w:hAnsi="Cambria" w:cs="Times New Roman"/>
                <w:bdr w:val="none" w:sz="0" w:space="0" w:color="auto" w:frame="1"/>
              </w:rPr>
              <w:t xml:space="preserve">nknown </w:t>
            </w:r>
            <w:r>
              <w:rPr>
                <w:rFonts w:ascii="Cambria" w:eastAsia="Calibri" w:hAnsi="Cambria" w:cs="Times New Roman"/>
                <w:bdr w:val="none" w:sz="0" w:space="0" w:color="auto" w:frame="1"/>
              </w:rPr>
              <w:t>S</w:t>
            </w:r>
            <w:r w:rsidR="00A679F7">
              <w:rPr>
                <w:rFonts w:ascii="Cambria" w:eastAsia="Calibri" w:hAnsi="Cambria" w:cs="Times New Roman"/>
                <w:bdr w:val="none" w:sz="0" w:space="0" w:color="auto" w:frame="1"/>
              </w:rPr>
              <w:t>ignifican</w:t>
            </w:r>
            <w:r w:rsidR="00A768D0">
              <w:rPr>
                <w:rFonts w:ascii="Cambria" w:eastAsia="Calibri" w:hAnsi="Cambria" w:cs="Times New Roman"/>
                <w:bdr w:val="none" w:sz="0" w:space="0" w:color="auto" w:frame="1"/>
              </w:rPr>
              <w:t>ce</w:t>
            </w:r>
            <w:r>
              <w:rPr>
                <w:rFonts w:ascii="Cambria" w:eastAsia="Calibri" w:hAnsi="Cambria" w:cs="Times New Roman"/>
                <w:bdr w:val="none" w:sz="0" w:space="0" w:color="auto" w:frame="1"/>
              </w:rPr>
              <w:t xml:space="preserve">, HFE variants, pathogenicity, penetrance, and </w:t>
            </w:r>
            <w:proofErr w:type="spellStart"/>
            <w:r>
              <w:rPr>
                <w:rFonts w:ascii="Cambria" w:eastAsia="Calibri" w:hAnsi="Cambria" w:cs="Times New Roman"/>
                <w:bdr w:val="none" w:sz="0" w:space="0" w:color="auto" w:frame="1"/>
              </w:rPr>
              <w:t>actionability</w:t>
            </w:r>
            <w:proofErr w:type="spellEnd"/>
            <w:r>
              <w:rPr>
                <w:rFonts w:ascii="Cambria" w:eastAsia="Calibri" w:hAnsi="Cambria" w:cs="Times New Roman"/>
                <w:bdr w:val="none" w:sz="0" w:space="0" w:color="auto" w:frame="1"/>
              </w:rPr>
              <w:t xml:space="preserve"> as accomplishments. Additionally, return of results linkage to CDS, interactions &amp; collaborations with other groups (CERC, CSER, AIG), along with 13 eMERGE </w:t>
            </w:r>
            <w:proofErr w:type="spellStart"/>
            <w:r>
              <w:rPr>
                <w:rFonts w:ascii="Cambria" w:eastAsia="Calibri" w:hAnsi="Cambria" w:cs="Times New Roman"/>
                <w:bdr w:val="none" w:sz="0" w:space="0" w:color="auto" w:frame="1"/>
              </w:rPr>
              <w:t>RoR</w:t>
            </w:r>
            <w:proofErr w:type="spellEnd"/>
            <w:r>
              <w:rPr>
                <w:rFonts w:ascii="Cambria" w:eastAsia="Calibri" w:hAnsi="Cambria" w:cs="Times New Roman"/>
                <w:bdr w:val="none" w:sz="0" w:space="0" w:color="auto" w:frame="1"/>
              </w:rPr>
              <w:t xml:space="preserve"> abstracts presented at ASHG in 2014 and the CSER collaboration paper reflect the group’s productivity. </w:t>
            </w:r>
          </w:p>
          <w:p w14:paraId="4B33EAE3" w14:textId="77777777" w:rsidR="003127C2" w:rsidRPr="00A264C1"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bdr w:val="none" w:sz="0" w:space="0" w:color="auto" w:frame="1"/>
              </w:rPr>
              <w:t xml:space="preserve">Reflecting eMERGE II’s emphasis on implementation, the flagship genomic medicine projects, ranging from genetic risk scores, SNPs, WGS, and to </w:t>
            </w:r>
            <w:proofErr w:type="spellStart"/>
            <w:r>
              <w:rPr>
                <w:rFonts w:ascii="Cambria" w:eastAsia="Calibri" w:hAnsi="Cambria" w:cs="Times New Roman"/>
                <w:bdr w:val="none" w:sz="0" w:space="0" w:color="auto" w:frame="1"/>
              </w:rPr>
              <w:t>PGx</w:t>
            </w:r>
            <w:proofErr w:type="spellEnd"/>
            <w:r>
              <w:rPr>
                <w:rFonts w:ascii="Cambria" w:eastAsia="Calibri" w:hAnsi="Cambria" w:cs="Times New Roman"/>
                <w:bdr w:val="none" w:sz="0" w:space="0" w:color="auto" w:frame="1"/>
              </w:rPr>
              <w:t xml:space="preserve"> have proved successful.</w:t>
            </w:r>
          </w:p>
          <w:p w14:paraId="21C6DA3D" w14:textId="77777777" w:rsidR="003127C2" w:rsidRPr="00322581"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bdr w:val="none" w:sz="0" w:space="0" w:color="auto" w:frame="1"/>
              </w:rPr>
              <w:t>The process of returning actionable variants is not trivial. Both MyResults.org portal and the recently created return of results web resource have allowed for standardized collection across sites. CDS at point of care has also led to collaborations within eMERGE through discussions and tools.</w:t>
            </w:r>
          </w:p>
          <w:p w14:paraId="64AF0C7B" w14:textId="77777777" w:rsidR="003127C2"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The workgroup actively discussed the FDA regulation of genomic tests. Many eMERGE members endorsed comments submitted by Barbara Evans and Gail Jarvik.</w:t>
            </w:r>
          </w:p>
          <w:p w14:paraId="2A7EBEF9" w14:textId="77777777" w:rsidR="003127C2"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In closing out eMERGE II, the workgroup has discussed two Network papers: 1. Site specific response to the high penetrance response and 2. Return of </w:t>
            </w:r>
            <w:proofErr w:type="spellStart"/>
            <w:r>
              <w:rPr>
                <w:rFonts w:ascii="Cambria" w:eastAsia="Calibri" w:hAnsi="Cambria" w:cs="Times New Roman"/>
              </w:rPr>
              <w:t>PGx</w:t>
            </w:r>
            <w:proofErr w:type="spellEnd"/>
            <w:r>
              <w:rPr>
                <w:rFonts w:ascii="Cambria" w:eastAsia="Calibri" w:hAnsi="Cambria" w:cs="Times New Roman"/>
              </w:rPr>
              <w:t xml:space="preserve"> variants across the Network. The workgroup also plans to complete Network wide projects (HFE penetrance, </w:t>
            </w:r>
            <w:proofErr w:type="spellStart"/>
            <w:r>
              <w:rPr>
                <w:rFonts w:ascii="Cambria" w:eastAsia="Calibri" w:hAnsi="Cambria" w:cs="Times New Roman"/>
              </w:rPr>
              <w:t>RoR</w:t>
            </w:r>
            <w:proofErr w:type="spellEnd"/>
            <w:r>
              <w:rPr>
                <w:rFonts w:ascii="Cambria" w:eastAsia="Calibri" w:hAnsi="Cambria" w:cs="Times New Roman"/>
              </w:rPr>
              <w:t xml:space="preserve"> in eMERGE </w:t>
            </w:r>
            <w:proofErr w:type="spellStart"/>
            <w:r>
              <w:rPr>
                <w:rFonts w:ascii="Cambria" w:eastAsia="Calibri" w:hAnsi="Cambria" w:cs="Times New Roman"/>
              </w:rPr>
              <w:t>PGx</w:t>
            </w:r>
            <w:proofErr w:type="spellEnd"/>
            <w:r>
              <w:rPr>
                <w:rFonts w:ascii="Cambria" w:eastAsia="Calibri" w:hAnsi="Cambria" w:cs="Times New Roman"/>
              </w:rPr>
              <w:t xml:space="preserve">), leverage the EHR for variant annotation, link EHR-based </w:t>
            </w:r>
            <w:proofErr w:type="spellStart"/>
            <w:r>
              <w:rPr>
                <w:rFonts w:ascii="Cambria" w:eastAsia="Calibri" w:hAnsi="Cambria" w:cs="Times New Roman"/>
              </w:rPr>
              <w:t>RoR</w:t>
            </w:r>
            <w:proofErr w:type="spellEnd"/>
            <w:r>
              <w:rPr>
                <w:rFonts w:ascii="Cambria" w:eastAsia="Calibri" w:hAnsi="Cambria" w:cs="Times New Roman"/>
              </w:rPr>
              <w:t xml:space="preserve"> to CDS, assist </w:t>
            </w:r>
            <w:proofErr w:type="spellStart"/>
            <w:r>
              <w:rPr>
                <w:rFonts w:ascii="Cambria" w:eastAsia="Calibri" w:hAnsi="Cambria" w:cs="Times New Roman"/>
              </w:rPr>
              <w:t>ClinVar</w:t>
            </w:r>
            <w:proofErr w:type="spellEnd"/>
            <w:r>
              <w:rPr>
                <w:rFonts w:ascii="Cambria" w:eastAsia="Calibri" w:hAnsi="Cambria" w:cs="Times New Roman"/>
              </w:rPr>
              <w:t xml:space="preserve"> pathogenicity submissions, follow and respond to FDA regulation of genomic testing, and continue collaborations across NHGRI and other genomic programs, including interactions with CSER, INGNITE, and CLINGEN.</w:t>
            </w:r>
          </w:p>
          <w:p w14:paraId="5B712CB3" w14:textId="484C1968" w:rsidR="003127C2" w:rsidRPr="00BA6A67" w:rsidRDefault="003127C2" w:rsidP="003127C2">
            <w:pPr>
              <w:shd w:val="clear" w:color="auto" w:fill="FFFFFF"/>
              <w:spacing w:before="120" w:after="120" w:line="240" w:lineRule="auto"/>
              <w:textAlignment w:val="baseline"/>
              <w:rPr>
                <w:rFonts w:ascii="Cambria" w:eastAsia="Calibri" w:hAnsi="Cambria" w:cs="Times New Roman"/>
                <w:b/>
              </w:rPr>
            </w:pPr>
            <w:r w:rsidRPr="00BA6A67">
              <w:rPr>
                <w:rFonts w:ascii="Cambria" w:eastAsia="Calibri" w:hAnsi="Cambria" w:cs="Times New Roman"/>
                <w:b/>
              </w:rPr>
              <w:t xml:space="preserve">ACTION ITEM: </w:t>
            </w:r>
            <w:r w:rsidR="00A679F7">
              <w:rPr>
                <w:rFonts w:ascii="Cambria" w:eastAsia="Calibri" w:hAnsi="Cambria" w:cs="Times New Roman"/>
                <w:b/>
              </w:rPr>
              <w:t>Members</w:t>
            </w:r>
            <w:r w:rsidRPr="00BA6A67">
              <w:rPr>
                <w:rFonts w:ascii="Cambria" w:eastAsia="Calibri" w:hAnsi="Cambria" w:cs="Times New Roman"/>
                <w:b/>
              </w:rPr>
              <w:t xml:space="preserve"> interested in leading the two proposed Network proposed </w:t>
            </w:r>
            <w:proofErr w:type="spellStart"/>
            <w:r w:rsidRPr="00BA6A67">
              <w:rPr>
                <w:rFonts w:ascii="Cambria" w:eastAsia="Calibri" w:hAnsi="Cambria" w:cs="Times New Roman"/>
                <w:b/>
              </w:rPr>
              <w:t>RoR</w:t>
            </w:r>
            <w:proofErr w:type="spellEnd"/>
            <w:r w:rsidRPr="00BA6A67">
              <w:rPr>
                <w:rFonts w:ascii="Cambria" w:eastAsia="Calibri" w:hAnsi="Cambria" w:cs="Times New Roman"/>
                <w:b/>
              </w:rPr>
              <w:t xml:space="preserve"> papers should contact Gail Jarvik &amp; Iftikhar Kullo. </w:t>
            </w:r>
          </w:p>
          <w:p w14:paraId="1FCCAB7E" w14:textId="77777777" w:rsidR="003127C2" w:rsidRPr="0089769B" w:rsidRDefault="003127C2" w:rsidP="003127C2">
            <w:p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u w:val="single"/>
                <w:bdr w:val="none" w:sz="0" w:space="0" w:color="auto" w:frame="1"/>
              </w:rPr>
              <w:t>Northwestern Site Update</w:t>
            </w:r>
            <w:r w:rsidRPr="00B25B6C">
              <w:rPr>
                <w:rFonts w:ascii="Cambria" w:eastAsia="Calibri" w:hAnsi="Cambria" w:cs="Times New Roman"/>
              </w:rPr>
              <w:t> </w:t>
            </w:r>
            <w:r>
              <w:rPr>
                <w:rFonts w:ascii="Cambria" w:eastAsia="Calibri" w:hAnsi="Cambria" w:cs="Times New Roman"/>
              </w:rPr>
              <w:t>–</w:t>
            </w:r>
            <w:r w:rsidRPr="00B25B6C">
              <w:rPr>
                <w:rFonts w:ascii="Cambria" w:eastAsia="Calibri" w:hAnsi="Cambria" w:cs="Times New Roman"/>
              </w:rPr>
              <w:t xml:space="preserve"> </w:t>
            </w:r>
            <w:r>
              <w:rPr>
                <w:rFonts w:ascii="Cambria" w:eastAsia="Calibri" w:hAnsi="Cambria" w:cs="Times New Roman"/>
                <w:i/>
              </w:rPr>
              <w:t>Rex Chisholm &amp; Maureen Smith</w:t>
            </w:r>
          </w:p>
          <w:p w14:paraId="09DBB9CC" w14:textId="77777777" w:rsidR="003127C2" w:rsidRDefault="003127C2" w:rsidP="00BA6A67">
            <w:pPr>
              <w:numPr>
                <w:ilvl w:val="0"/>
                <w:numId w:val="5"/>
              </w:numPr>
              <w:shd w:val="clear" w:color="auto" w:fill="FFFFFF"/>
              <w:spacing w:after="0" w:line="240" w:lineRule="auto"/>
              <w:textAlignment w:val="baseline"/>
              <w:rPr>
                <w:rFonts w:ascii="Cambria" w:eastAsia="Calibri" w:hAnsi="Cambria" w:cs="Times New Roman"/>
              </w:rPr>
            </w:pPr>
            <w:proofErr w:type="spellStart"/>
            <w:r>
              <w:rPr>
                <w:rFonts w:ascii="Cambria" w:eastAsia="Calibri" w:hAnsi="Cambria" w:cs="Times New Roman"/>
              </w:rPr>
              <w:t>Northwestern’s</w:t>
            </w:r>
            <w:proofErr w:type="spellEnd"/>
            <w:r>
              <w:rPr>
                <w:rFonts w:ascii="Cambria" w:eastAsia="Calibri" w:hAnsi="Cambria" w:cs="Times New Roman"/>
              </w:rPr>
              <w:t xml:space="preserve"> phenotype analysis focused on a lower GI case &amp; control study flow, focusing on cases with colon polyps, diverticulitis, or diverticulosis. A natural language processing pipeline was developed and allowed generation of clinical quality metrics.</w:t>
            </w:r>
          </w:p>
          <w:p w14:paraId="4D73835A" w14:textId="77777777" w:rsidR="003127C2"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A chart review validation tool was created that allows data capture in a structured way, which eases the creation of training and validation data sets. Two other eMERGE sites are also using this tool and the related KNIME workflow.</w:t>
            </w:r>
          </w:p>
          <w:p w14:paraId="6382EF08" w14:textId="77777777" w:rsidR="003127C2"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sidRPr="001408DB">
              <w:rPr>
                <w:rFonts w:ascii="Cambria" w:eastAsia="Calibri" w:hAnsi="Cambria" w:cs="Times New Roman"/>
              </w:rPr>
              <w:t>A GWAS of diverticulosis showed near genome wide significance, using nearly 5,000 European American cases. A GWAS comparing African American diverticulosis v. diverticulitis was completed and shows an odds ratio of .36, which NU will follow up. NU colon polyp research found a 94% PPV for cases, 98% PPV for controls, looking at over 10,000 colonoscopies across 6 eMERGE sites. NU tried</w:t>
            </w:r>
            <w:r>
              <w:rPr>
                <w:rFonts w:ascii="Cambria" w:eastAsia="Calibri" w:hAnsi="Cambria" w:cs="Times New Roman"/>
              </w:rPr>
              <w:t xml:space="preserve"> to find</w:t>
            </w:r>
            <w:r w:rsidRPr="001408DB">
              <w:rPr>
                <w:rFonts w:ascii="Cambria" w:eastAsia="Calibri" w:hAnsi="Cambria" w:cs="Times New Roman"/>
              </w:rPr>
              <w:t xml:space="preserve"> “gold” and “silver” standard </w:t>
            </w:r>
            <w:proofErr w:type="spellStart"/>
            <w:r w:rsidRPr="001408DB">
              <w:rPr>
                <w:rFonts w:ascii="Cambria" w:eastAsia="Calibri" w:hAnsi="Cambria" w:cs="Times New Roman"/>
              </w:rPr>
              <w:t>caMRSA</w:t>
            </w:r>
            <w:proofErr w:type="spellEnd"/>
            <w:r w:rsidRPr="001408DB">
              <w:rPr>
                <w:rFonts w:ascii="Cambria" w:eastAsia="Calibri" w:hAnsi="Cambria" w:cs="Times New Roman"/>
              </w:rPr>
              <w:t xml:space="preserve"> definitions in the EHR, but</w:t>
            </w:r>
            <w:r>
              <w:rPr>
                <w:rFonts w:ascii="Cambria" w:eastAsia="Calibri" w:hAnsi="Cambria" w:cs="Times New Roman"/>
              </w:rPr>
              <w:t xml:space="preserve"> such proved difficult. The numbers were small, but the GWAS finding shows significant hits in the HLA region.</w:t>
            </w:r>
          </w:p>
          <w:p w14:paraId="3118EFDB" w14:textId="77777777" w:rsidR="003127C2" w:rsidRDefault="003127C2" w:rsidP="00BA6A67">
            <w:pPr>
              <w:numPr>
                <w:ilvl w:val="0"/>
                <w:numId w:val="5"/>
              </w:numPr>
              <w:shd w:val="clear" w:color="auto" w:fill="FFFFFF"/>
              <w:spacing w:after="0" w:line="240" w:lineRule="auto"/>
              <w:textAlignment w:val="baseline"/>
              <w:rPr>
                <w:rFonts w:ascii="Cambria" w:eastAsia="Calibri" w:hAnsi="Cambria" w:cs="Times New Roman"/>
              </w:rPr>
            </w:pPr>
            <w:proofErr w:type="spellStart"/>
            <w:r>
              <w:rPr>
                <w:rFonts w:ascii="Cambria" w:eastAsia="Calibri" w:hAnsi="Cambria" w:cs="Times New Roman"/>
              </w:rPr>
              <w:t>Fluomics</w:t>
            </w:r>
            <w:proofErr w:type="spellEnd"/>
            <w:r>
              <w:rPr>
                <w:rFonts w:ascii="Cambria" w:eastAsia="Calibri" w:hAnsi="Cambria" w:cs="Times New Roman"/>
              </w:rPr>
              <w:t xml:space="preserve"> project looks to return exomes to the eMERGE sites. The next step is sequence the remaining samples.</w:t>
            </w:r>
          </w:p>
          <w:p w14:paraId="24B67841" w14:textId="77777777" w:rsidR="003127C2"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sidRPr="00ED4BF2">
              <w:rPr>
                <w:rFonts w:ascii="Cambria" w:eastAsia="Calibri" w:hAnsi="Cambria" w:cs="Times New Roman"/>
              </w:rPr>
              <w:t xml:space="preserve">NU physicians decided they wanted all results and NU has worked closely with the physicians through an advisory committee. A patient advisory committee was also created to ease communication between the patient and physician. Genetic results are implemented into the EHR through an Ancillary Genomic System and there is a patient portal as well, so both groups are interacting with the data. </w:t>
            </w:r>
          </w:p>
          <w:p w14:paraId="07302B56" w14:textId="77777777" w:rsidR="003127C2" w:rsidRPr="00473072"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 xml:space="preserve">Return of Results: Genomic Medicine Project: 29 NU patients have received results (7 carriers – 6 HH, 1 PT) and all the results are in the EHR with BPA firing. They then compared CLIA results with GWAS for 19 participants and found a discordance for 2 participants who are heterozygous for PT mutation. </w:t>
            </w:r>
            <w:proofErr w:type="spellStart"/>
            <w:r w:rsidRPr="00473072">
              <w:rPr>
                <w:rFonts w:ascii="Cambria" w:eastAsia="Calibri" w:hAnsi="Cambria" w:cs="Times New Roman"/>
              </w:rPr>
              <w:t>PGx</w:t>
            </w:r>
            <w:proofErr w:type="spellEnd"/>
            <w:r w:rsidRPr="00473072">
              <w:rPr>
                <w:rFonts w:ascii="Cambria" w:eastAsia="Calibri" w:hAnsi="Cambria" w:cs="Times New Roman"/>
              </w:rPr>
              <w:t xml:space="preserve">: 750 NU patients enrolled, pre &amp; post studies were sent to all the patients, and so far, 450 patients received results. Results will continue to be returned over the next 5 weeks. </w:t>
            </w:r>
          </w:p>
          <w:p w14:paraId="5DFB2DED" w14:textId="2A778DB0" w:rsidR="003127C2" w:rsidRPr="00ED4BF2" w:rsidRDefault="003127C2" w:rsidP="00BA6A67">
            <w:pPr>
              <w:numPr>
                <w:ilvl w:val="0"/>
                <w:numId w:val="5"/>
              </w:numPr>
              <w:shd w:val="clear" w:color="auto" w:fill="FFFFFF"/>
              <w:spacing w:after="0" w:line="240" w:lineRule="auto"/>
              <w:textAlignment w:val="baseline"/>
              <w:rPr>
                <w:rFonts w:ascii="Cambria" w:eastAsia="Calibri" w:hAnsi="Cambria" w:cs="Times New Roman"/>
              </w:rPr>
            </w:pPr>
            <w:r>
              <w:rPr>
                <w:rFonts w:ascii="Cambria" w:eastAsia="Calibri" w:hAnsi="Cambria" w:cs="Times New Roman"/>
              </w:rPr>
              <w:t>A shortened consent v. standard length consent study showed no statistical differences in objective or subjective comprehension.</w:t>
            </w:r>
          </w:p>
          <w:p w14:paraId="081DB2F8" w14:textId="77777777" w:rsidR="003127C2" w:rsidRDefault="003127C2" w:rsidP="003127C2">
            <w:p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u w:val="single"/>
                <w:bdr w:val="none" w:sz="0" w:space="0" w:color="auto" w:frame="1"/>
              </w:rPr>
              <w:t>Homozygous Deletions in eMERGE</w:t>
            </w:r>
            <w:r w:rsidRPr="00B25B6C">
              <w:rPr>
                <w:rFonts w:ascii="Cambria" w:eastAsia="Calibri" w:hAnsi="Cambria" w:cs="Times New Roman"/>
              </w:rPr>
              <w:t> </w:t>
            </w:r>
            <w:r>
              <w:rPr>
                <w:rFonts w:ascii="Cambria" w:eastAsia="Calibri" w:hAnsi="Cambria" w:cs="Times New Roman"/>
              </w:rPr>
              <w:t>–</w:t>
            </w:r>
            <w:r>
              <w:rPr>
                <w:rFonts w:ascii="Cambria" w:eastAsia="Calibri" w:hAnsi="Cambria" w:cs="Times New Roman"/>
                <w:i/>
              </w:rPr>
              <w:t xml:space="preserve"> Joseph </w:t>
            </w:r>
            <w:proofErr w:type="spellStart"/>
            <w:r>
              <w:rPr>
                <w:rFonts w:ascii="Cambria" w:eastAsia="Calibri" w:hAnsi="Cambria" w:cs="Times New Roman"/>
                <w:i/>
              </w:rPr>
              <w:t>Glessner</w:t>
            </w:r>
            <w:proofErr w:type="spellEnd"/>
          </w:p>
          <w:p w14:paraId="76678DB6" w14:textId="4FA95927" w:rsidR="003127C2" w:rsidRDefault="003127C2" w:rsidP="003127C2">
            <w:pPr>
              <w:numPr>
                <w:ilvl w:val="0"/>
                <w:numId w:val="5"/>
              </w:numPr>
              <w:shd w:val="clear" w:color="auto" w:fill="FFFFFF"/>
              <w:spacing w:before="120" w:after="120" w:line="240" w:lineRule="auto"/>
              <w:textAlignment w:val="baseline"/>
              <w:rPr>
                <w:rFonts w:ascii="Cambria" w:eastAsia="Calibri" w:hAnsi="Cambria" w:cs="Times New Roman"/>
              </w:rPr>
            </w:pPr>
            <w:r w:rsidRPr="00140E8D">
              <w:rPr>
                <w:rFonts w:ascii="Cambria" w:eastAsia="Calibri" w:hAnsi="Cambria" w:cs="Times New Roman"/>
              </w:rPr>
              <w:t xml:space="preserve">A pipeline was established for </w:t>
            </w:r>
            <w:r w:rsidR="00A679F7">
              <w:rPr>
                <w:rFonts w:ascii="Cambria" w:eastAsia="Calibri" w:hAnsi="Cambria" w:cs="Times New Roman"/>
              </w:rPr>
              <w:t>copy number variant (</w:t>
            </w:r>
            <w:r w:rsidRPr="00140E8D">
              <w:rPr>
                <w:rFonts w:ascii="Cambria" w:eastAsia="Calibri" w:hAnsi="Cambria" w:cs="Times New Roman"/>
              </w:rPr>
              <w:t>CNV</w:t>
            </w:r>
            <w:r w:rsidR="00A679F7">
              <w:rPr>
                <w:rFonts w:ascii="Cambria" w:eastAsia="Calibri" w:hAnsi="Cambria" w:cs="Times New Roman"/>
              </w:rPr>
              <w:t>)</w:t>
            </w:r>
            <w:r w:rsidRPr="00140E8D">
              <w:rPr>
                <w:rFonts w:ascii="Cambria" w:eastAsia="Calibri" w:hAnsi="Cambria" w:cs="Times New Roman"/>
              </w:rPr>
              <w:t xml:space="preserve"> </w:t>
            </w:r>
            <w:r w:rsidR="00A679F7">
              <w:rPr>
                <w:rFonts w:ascii="Cambria" w:eastAsia="Calibri" w:hAnsi="Cambria" w:cs="Times New Roman"/>
              </w:rPr>
              <w:t>c</w:t>
            </w:r>
            <w:r w:rsidRPr="00140E8D">
              <w:rPr>
                <w:rFonts w:ascii="Cambria" w:eastAsia="Calibri" w:hAnsi="Cambria" w:cs="Times New Roman"/>
              </w:rPr>
              <w:t xml:space="preserve">alling, </w:t>
            </w:r>
            <w:r w:rsidR="00A679F7">
              <w:rPr>
                <w:rFonts w:ascii="Cambria" w:eastAsia="Calibri" w:hAnsi="Cambria" w:cs="Times New Roman"/>
              </w:rPr>
              <w:t>s</w:t>
            </w:r>
            <w:r w:rsidRPr="00140E8D">
              <w:rPr>
                <w:rFonts w:ascii="Cambria" w:eastAsia="Calibri" w:hAnsi="Cambria" w:cs="Times New Roman"/>
              </w:rPr>
              <w:t xml:space="preserve">ample QC, </w:t>
            </w:r>
            <w:r w:rsidR="00A679F7">
              <w:rPr>
                <w:rFonts w:ascii="Cambria" w:eastAsia="Calibri" w:hAnsi="Cambria" w:cs="Times New Roman"/>
              </w:rPr>
              <w:t>a</w:t>
            </w:r>
            <w:r w:rsidRPr="00140E8D">
              <w:rPr>
                <w:rFonts w:ascii="Cambria" w:eastAsia="Calibri" w:hAnsi="Cambria" w:cs="Times New Roman"/>
              </w:rPr>
              <w:t>ssociation</w:t>
            </w:r>
            <w:r w:rsidR="00A679F7">
              <w:rPr>
                <w:rFonts w:ascii="Cambria" w:eastAsia="Calibri" w:hAnsi="Cambria" w:cs="Times New Roman"/>
              </w:rPr>
              <w:t xml:space="preserve"> analysis</w:t>
            </w:r>
            <w:r w:rsidRPr="00140E8D">
              <w:rPr>
                <w:rFonts w:ascii="Cambria" w:eastAsia="Calibri" w:hAnsi="Cambria" w:cs="Times New Roman"/>
              </w:rPr>
              <w:t xml:space="preserve">, and </w:t>
            </w:r>
            <w:r w:rsidR="00A679F7">
              <w:rPr>
                <w:rFonts w:ascii="Cambria" w:eastAsia="Calibri" w:hAnsi="Cambria" w:cs="Times New Roman"/>
              </w:rPr>
              <w:t>f</w:t>
            </w:r>
            <w:r w:rsidRPr="00140E8D">
              <w:rPr>
                <w:rFonts w:ascii="Cambria" w:eastAsia="Calibri" w:hAnsi="Cambria" w:cs="Times New Roman"/>
              </w:rPr>
              <w:t>urther CNVR QC.</w:t>
            </w:r>
          </w:p>
          <w:p w14:paraId="7DB4731A" w14:textId="7D5E0207" w:rsidR="003127C2" w:rsidRPr="00140E8D" w:rsidRDefault="00A943E7" w:rsidP="003127C2">
            <w:pPr>
              <w:numPr>
                <w:ilvl w:val="0"/>
                <w:numId w:val="5"/>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C</w:t>
            </w:r>
            <w:r w:rsidR="003127C2" w:rsidRPr="0032712F">
              <w:rPr>
                <w:rFonts w:ascii="Cambria" w:eastAsia="Calibri" w:hAnsi="Cambria" w:cs="Times New Roman"/>
              </w:rPr>
              <w:t xml:space="preserve">NV calls were identified by </w:t>
            </w:r>
            <w:proofErr w:type="spellStart"/>
            <w:r w:rsidR="003127C2" w:rsidRPr="0032712F">
              <w:rPr>
                <w:rFonts w:ascii="Cambria" w:eastAsia="Calibri" w:hAnsi="Cambria" w:cs="Times New Roman"/>
              </w:rPr>
              <w:t>PennCNV</w:t>
            </w:r>
            <w:proofErr w:type="spellEnd"/>
            <w:r w:rsidR="003127C2" w:rsidRPr="0032712F">
              <w:rPr>
                <w:rFonts w:ascii="Cambria" w:eastAsia="Calibri" w:hAnsi="Cambria" w:cs="Times New Roman"/>
              </w:rPr>
              <w:t xml:space="preserve">, which implements a hidden Markov model algorithm. Associations between CNVs and diseases/traits were identified by </w:t>
            </w:r>
            <w:proofErr w:type="spellStart"/>
            <w:r w:rsidR="003127C2" w:rsidRPr="0032712F">
              <w:rPr>
                <w:rFonts w:ascii="Cambria" w:eastAsia="Calibri" w:hAnsi="Cambria" w:cs="Times New Roman"/>
              </w:rPr>
              <w:t>ParseCNV</w:t>
            </w:r>
            <w:proofErr w:type="spellEnd"/>
            <w:r w:rsidR="003127C2" w:rsidRPr="0032712F">
              <w:rPr>
                <w:rFonts w:ascii="Cambria" w:eastAsia="Calibri" w:hAnsi="Cambria" w:cs="Times New Roman"/>
              </w:rPr>
              <w:t xml:space="preserve"> and PLINK. </w:t>
            </w:r>
          </w:p>
          <w:p w14:paraId="0EB0B38B" w14:textId="77777777" w:rsidR="003127C2" w:rsidRPr="0032712F" w:rsidRDefault="003127C2" w:rsidP="003127C2">
            <w:pPr>
              <w:numPr>
                <w:ilvl w:val="0"/>
                <w:numId w:val="5"/>
              </w:numPr>
              <w:shd w:val="clear" w:color="auto" w:fill="FFFFFF"/>
              <w:spacing w:before="120" w:after="120" w:line="240" w:lineRule="auto"/>
              <w:textAlignment w:val="baseline"/>
              <w:rPr>
                <w:rFonts w:ascii="Cambria" w:eastAsia="Calibri" w:hAnsi="Cambria" w:cs="Times New Roman"/>
              </w:rPr>
            </w:pPr>
            <w:r w:rsidRPr="0032712F">
              <w:rPr>
                <w:rFonts w:ascii="Cambria" w:eastAsia="Calibri" w:hAnsi="Cambria" w:cs="Times New Roman"/>
              </w:rPr>
              <w:t>A total of 560 homozygous deletion regions were identified, which may affect the gene structure. Of those, 146 were found in multiple individuals and 57 were significantly enriched for a broad category of phenotypes including autoimmune, cancers, cardiovascular, healthy and neurological diseases.</w:t>
            </w:r>
          </w:p>
          <w:p w14:paraId="7D2D9705" w14:textId="2ECE1FE2" w:rsidR="003127C2" w:rsidRPr="00A679F7" w:rsidRDefault="003127C2" w:rsidP="00A679F7">
            <w:pPr>
              <w:numPr>
                <w:ilvl w:val="0"/>
                <w:numId w:val="5"/>
              </w:numPr>
              <w:shd w:val="clear" w:color="auto" w:fill="FFFFFF"/>
              <w:spacing w:before="120" w:after="120" w:line="240" w:lineRule="auto"/>
              <w:textAlignment w:val="baseline"/>
              <w:rPr>
                <w:rFonts w:ascii="Cambria" w:eastAsia="Calibri" w:hAnsi="Cambria" w:cs="Times New Roman"/>
              </w:rPr>
            </w:pPr>
            <w:r w:rsidRPr="0032712F">
              <w:rPr>
                <w:rFonts w:ascii="Cambria" w:eastAsia="Calibri" w:hAnsi="Cambria" w:cs="Times New Roman"/>
              </w:rPr>
              <w:t xml:space="preserve">Harvey Weinberg Equilibrium and large CNV filtering are crucial extra quality controls for this data. </w:t>
            </w:r>
            <w:r w:rsidRPr="00A679F7">
              <w:rPr>
                <w:rFonts w:ascii="Cambria" w:eastAsia="Calibri" w:hAnsi="Cambria" w:cs="Times New Roman"/>
              </w:rPr>
              <w:t xml:space="preserve">Discussion after the presentation suggested using age as a co-variant. </w:t>
            </w:r>
          </w:p>
          <w:p w14:paraId="59078763" w14:textId="77777777" w:rsidR="003127C2" w:rsidRDefault="003127C2" w:rsidP="003127C2">
            <w:p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u w:val="single"/>
                <w:bdr w:val="none" w:sz="0" w:space="0" w:color="auto" w:frame="1"/>
              </w:rPr>
              <w:t>Mount Sinai Site Report</w:t>
            </w:r>
            <w:r w:rsidRPr="00B25B6C">
              <w:rPr>
                <w:rFonts w:ascii="Cambria" w:eastAsia="Calibri" w:hAnsi="Cambria" w:cs="Times New Roman"/>
              </w:rPr>
              <w:t> </w:t>
            </w:r>
            <w:r>
              <w:rPr>
                <w:rFonts w:ascii="Cambria" w:eastAsia="Calibri" w:hAnsi="Cambria" w:cs="Times New Roman"/>
              </w:rPr>
              <w:t>–</w:t>
            </w:r>
            <w:r>
              <w:rPr>
                <w:rFonts w:ascii="Cambria" w:eastAsia="Calibri" w:hAnsi="Cambria" w:cs="Times New Roman"/>
                <w:i/>
              </w:rPr>
              <w:t xml:space="preserve"> Erwin Bottinger</w:t>
            </w:r>
          </w:p>
          <w:p w14:paraId="10E1C273" w14:textId="34A9FE77" w:rsidR="003127C2" w:rsidRPr="007B26F8" w:rsidRDefault="003127C2" w:rsidP="003127C2">
            <w:pPr>
              <w:pStyle w:val="ListParagraph"/>
              <w:numPr>
                <w:ilvl w:val="0"/>
                <w:numId w:val="9"/>
              </w:numPr>
              <w:shd w:val="clear" w:color="auto" w:fill="FFFFFF"/>
              <w:spacing w:before="120" w:after="120" w:line="240" w:lineRule="auto"/>
              <w:textAlignment w:val="baseline"/>
              <w:rPr>
                <w:rFonts w:ascii="Cambria" w:eastAsia="Calibri" w:hAnsi="Cambria" w:cs="Times New Roman"/>
                <w:i/>
              </w:rPr>
            </w:pPr>
            <w:proofErr w:type="spellStart"/>
            <w:r>
              <w:rPr>
                <w:rFonts w:ascii="Cambria" w:eastAsia="Calibri" w:hAnsi="Cambria" w:cs="Times New Roman"/>
              </w:rPr>
              <w:t>BioMe</w:t>
            </w:r>
            <w:proofErr w:type="spellEnd"/>
            <w:r>
              <w:rPr>
                <w:rFonts w:ascii="Cambria" w:eastAsia="Calibri" w:hAnsi="Cambria" w:cs="Times New Roman"/>
              </w:rPr>
              <w:t xml:space="preserve">, Mount Sinai’s </w:t>
            </w:r>
            <w:proofErr w:type="spellStart"/>
            <w:r>
              <w:rPr>
                <w:rFonts w:ascii="Cambria" w:eastAsia="Calibri" w:hAnsi="Cambria" w:cs="Times New Roman"/>
              </w:rPr>
              <w:t>biobank</w:t>
            </w:r>
            <w:proofErr w:type="spellEnd"/>
            <w:r>
              <w:rPr>
                <w:rFonts w:ascii="Cambria" w:eastAsia="Calibri" w:hAnsi="Cambria" w:cs="Times New Roman"/>
              </w:rPr>
              <w:t xml:space="preserve">, is ancestrally diverse. Notably, 40% of the white population is Ashkenazi Jewish, and the majority of Hispanic population is Caribbean. </w:t>
            </w:r>
            <w:proofErr w:type="spellStart"/>
            <w:r>
              <w:rPr>
                <w:rFonts w:ascii="Cambria" w:eastAsia="Calibri" w:hAnsi="Cambria" w:cs="Times New Roman"/>
              </w:rPr>
              <w:t>BioMe</w:t>
            </w:r>
            <w:proofErr w:type="spellEnd"/>
            <w:r>
              <w:rPr>
                <w:rFonts w:ascii="Cambria" w:eastAsia="Calibri" w:hAnsi="Cambria" w:cs="Times New Roman"/>
              </w:rPr>
              <w:t xml:space="preserve"> has allowed participation in nearly all major genetic consortia.  </w:t>
            </w:r>
            <w:r w:rsidRPr="007B26F8">
              <w:rPr>
                <w:rFonts w:ascii="Cambria" w:eastAsia="Calibri" w:hAnsi="Cambria" w:cs="Times New Roman"/>
              </w:rPr>
              <w:t xml:space="preserve">Ashkenazi Jews in the </w:t>
            </w:r>
            <w:proofErr w:type="spellStart"/>
            <w:r w:rsidRPr="007B26F8">
              <w:rPr>
                <w:rFonts w:ascii="Cambria" w:eastAsia="Calibri" w:hAnsi="Cambria" w:cs="Times New Roman"/>
              </w:rPr>
              <w:t>biobank</w:t>
            </w:r>
            <w:proofErr w:type="spellEnd"/>
            <w:r w:rsidRPr="007B26F8">
              <w:rPr>
                <w:rFonts w:ascii="Cambria" w:eastAsia="Calibri" w:hAnsi="Cambria" w:cs="Times New Roman"/>
              </w:rPr>
              <w:t xml:space="preserve"> have the highest level of genome sharing, at 3%. </w:t>
            </w:r>
            <w:r w:rsidR="00A679F7">
              <w:rPr>
                <w:rFonts w:ascii="Cambria" w:eastAsia="Calibri" w:hAnsi="Cambria" w:cs="Times New Roman"/>
              </w:rPr>
              <w:t>Three</w:t>
            </w:r>
            <w:r w:rsidRPr="007B26F8">
              <w:rPr>
                <w:rFonts w:ascii="Cambria" w:eastAsia="Calibri" w:hAnsi="Cambria" w:cs="Times New Roman"/>
              </w:rPr>
              <w:t xml:space="preserve"> different rare variants have been linked with the EHR.</w:t>
            </w:r>
          </w:p>
          <w:p w14:paraId="3FED7551" w14:textId="77777777" w:rsidR="003127C2" w:rsidRPr="007B26F8" w:rsidRDefault="003127C2" w:rsidP="003127C2">
            <w:pPr>
              <w:pStyle w:val="ListParagraph"/>
              <w:numPr>
                <w:ilvl w:val="0"/>
                <w:numId w:val="9"/>
              </w:num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rPr>
              <w:t>CLIPMERGE platform interacts with EMR bio-directional and in real time, providing CDS to the physicians.</w:t>
            </w:r>
          </w:p>
          <w:p w14:paraId="13BA7F77" w14:textId="77777777" w:rsidR="003127C2" w:rsidRPr="007B26F8" w:rsidRDefault="003127C2" w:rsidP="003127C2">
            <w:pPr>
              <w:pStyle w:val="ListParagraph"/>
              <w:numPr>
                <w:ilvl w:val="0"/>
                <w:numId w:val="9"/>
              </w:num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rPr>
              <w:t xml:space="preserve">Mount Sinai has contributed over 40,000 cases and controls to eMERGE phenotype data. Mount Sinai phenotypes focused on kidney and liver (Columbia) diseases. </w:t>
            </w:r>
          </w:p>
          <w:p w14:paraId="74B8C64E" w14:textId="77777777" w:rsidR="003127C2" w:rsidRPr="004239D6" w:rsidRDefault="003127C2" w:rsidP="003127C2">
            <w:pPr>
              <w:pStyle w:val="ListParagraph"/>
              <w:numPr>
                <w:ilvl w:val="0"/>
                <w:numId w:val="9"/>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CKD: validated by Columbia and Marshfield. Combined reduced kidney function &amp; CKD yielded over 20,000 instances. Analysis is underway using a population control instead of the standard case control. The development and validation of the CKD algorithm won the 2014 AMIA distinguished paper award. </w:t>
            </w:r>
            <w:r w:rsidRPr="004239D6">
              <w:rPr>
                <w:rFonts w:ascii="Cambria" w:eastAsia="Calibri" w:hAnsi="Cambria" w:cs="Times New Roman"/>
              </w:rPr>
              <w:t>AKI: preparing algorithm development paper, but unable to do genetic analyses.</w:t>
            </w:r>
          </w:p>
          <w:p w14:paraId="6F9C8283" w14:textId="77777777" w:rsidR="003127C2" w:rsidRDefault="003127C2" w:rsidP="003127C2">
            <w:pPr>
              <w:pStyle w:val="ListParagraph"/>
              <w:numPr>
                <w:ilvl w:val="0"/>
                <w:numId w:val="9"/>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Mount Sinai has developed machine learning tools for advanced phenotyping to cluster longitudinal kidney data. They have also incorporated temporal EHR data in predictive models for risk stratification of renal function.</w:t>
            </w:r>
          </w:p>
          <w:p w14:paraId="6247D63F" w14:textId="77777777" w:rsidR="003127C2" w:rsidRDefault="003127C2" w:rsidP="003127C2">
            <w:pPr>
              <w:pStyle w:val="ListParagraph"/>
              <w:numPr>
                <w:ilvl w:val="0"/>
                <w:numId w:val="9"/>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Return of Results: Genomic Medicine Projects: 3,700 patients enrolled in longitudinal protocols</w:t>
            </w:r>
            <w:r w:rsidRPr="0032712F">
              <w:rPr>
                <w:rFonts w:ascii="Cambria" w:eastAsia="Calibri" w:hAnsi="Cambria" w:cs="Times New Roman"/>
              </w:rPr>
              <w:t xml:space="preserve"> </w:t>
            </w:r>
            <w:r>
              <w:rPr>
                <w:rFonts w:ascii="Cambria" w:eastAsia="Calibri" w:hAnsi="Cambria" w:cs="Times New Roman"/>
              </w:rPr>
              <w:t xml:space="preserve">(including 663 eMERGE </w:t>
            </w:r>
            <w:proofErr w:type="spellStart"/>
            <w:r>
              <w:rPr>
                <w:rFonts w:ascii="Cambria" w:eastAsia="Calibri" w:hAnsi="Cambria" w:cs="Times New Roman"/>
              </w:rPr>
              <w:t>PGx</w:t>
            </w:r>
            <w:proofErr w:type="spellEnd"/>
            <w:r>
              <w:rPr>
                <w:rFonts w:ascii="Cambria" w:eastAsia="Calibri" w:hAnsi="Cambria" w:cs="Times New Roman"/>
              </w:rPr>
              <w:t xml:space="preserve">). 512 total providers are enrolled, educated, and surveyed. GUARDD: 579 enrolled so far (out of 2,050 goal). GUARDD CDS activity is approaching 1,000 alerts. </w:t>
            </w:r>
            <w:proofErr w:type="spellStart"/>
            <w:r>
              <w:rPr>
                <w:rFonts w:ascii="Cambria" w:eastAsia="Calibri" w:hAnsi="Cambria" w:cs="Times New Roman"/>
              </w:rPr>
              <w:t>PGx</w:t>
            </w:r>
            <w:proofErr w:type="spellEnd"/>
            <w:r>
              <w:rPr>
                <w:rFonts w:ascii="Cambria" w:eastAsia="Calibri" w:hAnsi="Cambria" w:cs="Times New Roman"/>
              </w:rPr>
              <w:t xml:space="preserve">: Close to 900 sequenced, 660 returned results, study is completed as of November 2015. There is a 74.4% acceptance rate of </w:t>
            </w:r>
            <w:proofErr w:type="spellStart"/>
            <w:r>
              <w:rPr>
                <w:rFonts w:ascii="Cambria" w:eastAsia="Calibri" w:hAnsi="Cambria" w:cs="Times New Roman"/>
              </w:rPr>
              <w:t>PGx</w:t>
            </w:r>
            <w:proofErr w:type="spellEnd"/>
            <w:r>
              <w:rPr>
                <w:rFonts w:ascii="Cambria" w:eastAsia="Calibri" w:hAnsi="Cambria" w:cs="Times New Roman"/>
              </w:rPr>
              <w:t xml:space="preserve"> projects at Mount Sinai. Incidental findings from </w:t>
            </w:r>
            <w:proofErr w:type="spellStart"/>
            <w:r>
              <w:rPr>
                <w:rFonts w:ascii="Cambria" w:eastAsia="Calibri" w:hAnsi="Cambria" w:cs="Times New Roman"/>
              </w:rPr>
              <w:t>PGRNSeq</w:t>
            </w:r>
            <w:proofErr w:type="spellEnd"/>
            <w:r>
              <w:rPr>
                <w:rFonts w:ascii="Cambria" w:eastAsia="Calibri" w:hAnsi="Cambria" w:cs="Times New Roman"/>
              </w:rPr>
              <w:t xml:space="preserve">: Out of 663 individuals, 4 were found with known or likely pathogenic variants in ACMG genes. </w:t>
            </w:r>
          </w:p>
          <w:p w14:paraId="78F3160F" w14:textId="77777777" w:rsidR="003127C2" w:rsidRDefault="003127C2" w:rsidP="003127C2">
            <w:pPr>
              <w:pStyle w:val="ListParagraph"/>
              <w:numPr>
                <w:ilvl w:val="0"/>
                <w:numId w:val="9"/>
              </w:numPr>
              <w:shd w:val="clear" w:color="auto" w:fill="FFFFFF"/>
              <w:spacing w:before="120" w:after="120" w:line="240" w:lineRule="auto"/>
              <w:textAlignment w:val="baseline"/>
              <w:rPr>
                <w:rFonts w:ascii="Cambria" w:eastAsia="Calibri" w:hAnsi="Cambria" w:cs="Times New Roman"/>
              </w:rPr>
            </w:pPr>
            <w:r>
              <w:rPr>
                <w:rFonts w:ascii="Cambria" w:eastAsia="Calibri" w:hAnsi="Cambria" w:cs="Times New Roman"/>
              </w:rPr>
              <w:t xml:space="preserve">Mount Sinai looks to continue their community and provider engagement through the building of large cohorts. They will continue genotyping sequencing Illumina MEGA array for all </w:t>
            </w:r>
            <w:proofErr w:type="spellStart"/>
            <w:r>
              <w:rPr>
                <w:rFonts w:ascii="Cambria" w:eastAsia="Calibri" w:hAnsi="Cambria" w:cs="Times New Roman"/>
              </w:rPr>
              <w:t>BioMe</w:t>
            </w:r>
            <w:proofErr w:type="spellEnd"/>
            <w:r>
              <w:rPr>
                <w:rFonts w:ascii="Cambria" w:eastAsia="Calibri" w:hAnsi="Cambria" w:cs="Times New Roman"/>
              </w:rPr>
              <w:t xml:space="preserve"> participants and look to whole genome sequence approximately 5,000 participants with two partners. The genomic medicine research in primary care and medical subspecialties will also continue.</w:t>
            </w:r>
          </w:p>
          <w:p w14:paraId="20A24239" w14:textId="77777777" w:rsidR="003127C2" w:rsidRDefault="003127C2" w:rsidP="003127C2">
            <w:p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u w:val="single"/>
                <w:bdr w:val="none" w:sz="0" w:space="0" w:color="auto" w:frame="1"/>
              </w:rPr>
              <w:t>Evolving Ancestry: The Shift in Individual Ancestry Composition over Time</w:t>
            </w:r>
            <w:r>
              <w:rPr>
                <w:rFonts w:ascii="Cambria" w:eastAsia="Calibri" w:hAnsi="Cambria" w:cs="Times New Roman"/>
                <w:bdr w:val="none" w:sz="0" w:space="0" w:color="auto" w:frame="1"/>
              </w:rPr>
              <w:t xml:space="preserve"> </w:t>
            </w:r>
            <w:r>
              <w:rPr>
                <w:rFonts w:ascii="Cambria" w:eastAsia="Calibri" w:hAnsi="Cambria" w:cs="Times New Roman"/>
              </w:rPr>
              <w:t>–</w:t>
            </w:r>
            <w:r>
              <w:rPr>
                <w:rFonts w:ascii="Cambria" w:eastAsia="Calibri" w:hAnsi="Cambria" w:cs="Times New Roman"/>
                <w:i/>
              </w:rPr>
              <w:t xml:space="preserve"> Tracy McGregor </w:t>
            </w:r>
          </w:p>
          <w:p w14:paraId="0BD35974" w14:textId="77777777" w:rsidR="003127C2" w:rsidRPr="001E46BD" w:rsidRDefault="003127C2" w:rsidP="003127C2">
            <w:pPr>
              <w:pStyle w:val="ListParagraph"/>
              <w:numPr>
                <w:ilvl w:val="0"/>
                <w:numId w:val="11"/>
              </w:numPr>
              <w:shd w:val="clear" w:color="auto" w:fill="FFFFFF"/>
              <w:spacing w:before="120" w:after="120" w:line="240" w:lineRule="auto"/>
              <w:ind w:left="360"/>
              <w:textAlignment w:val="baseline"/>
              <w:rPr>
                <w:rFonts w:ascii="Cambria" w:eastAsia="Calibri" w:hAnsi="Cambria" w:cs="Times New Roman"/>
                <w:i/>
              </w:rPr>
            </w:pPr>
            <w:r w:rsidRPr="001E46BD">
              <w:rPr>
                <w:rFonts w:ascii="Cambria" w:eastAsia="Calibri" w:hAnsi="Cambria" w:cs="Times New Roman"/>
              </w:rPr>
              <w:t xml:space="preserve">The group evaluated ancestry informative markers and estimated proportions of racial ancestry with categorical race in a cohort of approximately 35,000 from </w:t>
            </w:r>
            <w:proofErr w:type="spellStart"/>
            <w:r w:rsidRPr="001E46BD">
              <w:rPr>
                <w:rFonts w:ascii="Cambria" w:eastAsia="Calibri" w:hAnsi="Cambria" w:cs="Times New Roman"/>
              </w:rPr>
              <w:t>BioVU</w:t>
            </w:r>
            <w:proofErr w:type="spellEnd"/>
            <w:r w:rsidRPr="001E46BD">
              <w:rPr>
                <w:rFonts w:ascii="Cambria" w:eastAsia="Calibri" w:hAnsi="Cambria" w:cs="Times New Roman"/>
              </w:rPr>
              <w:t xml:space="preserve">, as recorded in the electronic health record. </w:t>
            </w:r>
          </w:p>
          <w:p w14:paraId="461B7B53" w14:textId="77777777" w:rsidR="003127C2" w:rsidRDefault="003127C2" w:rsidP="003127C2">
            <w:pPr>
              <w:pStyle w:val="ListParagraph"/>
              <w:numPr>
                <w:ilvl w:val="0"/>
                <w:numId w:val="10"/>
              </w:numPr>
              <w:shd w:val="clear" w:color="auto" w:fill="FFFFFF"/>
              <w:spacing w:before="120" w:after="120" w:line="240" w:lineRule="auto"/>
              <w:ind w:left="360"/>
              <w:textAlignment w:val="baseline"/>
              <w:rPr>
                <w:rFonts w:ascii="Cambria" w:eastAsia="Calibri" w:hAnsi="Cambria" w:cs="Times New Roman"/>
              </w:rPr>
            </w:pPr>
            <w:r>
              <w:rPr>
                <w:rFonts w:ascii="Cambria" w:eastAsia="Calibri" w:hAnsi="Cambria" w:cs="Times New Roman"/>
              </w:rPr>
              <w:t>In individuals born from 1905 – 2010, there is increasing admixture in the Hispanic-Latino, Asian, and White populations. Older Black populations were more admixed and now the population is slowly admixing again.</w:t>
            </w:r>
          </w:p>
          <w:p w14:paraId="2757043C" w14:textId="77777777" w:rsidR="003127C2" w:rsidRDefault="003127C2" w:rsidP="003127C2">
            <w:pPr>
              <w:pStyle w:val="ListParagraph"/>
              <w:numPr>
                <w:ilvl w:val="0"/>
                <w:numId w:val="10"/>
              </w:numPr>
              <w:shd w:val="clear" w:color="auto" w:fill="FFFFFF"/>
              <w:spacing w:before="120" w:after="120" w:line="240" w:lineRule="auto"/>
              <w:ind w:left="360"/>
              <w:textAlignment w:val="baseline"/>
              <w:rPr>
                <w:rFonts w:ascii="Cambria" w:eastAsia="Calibri" w:hAnsi="Cambria" w:cs="Times New Roman"/>
              </w:rPr>
            </w:pPr>
            <w:r w:rsidRPr="00CF6D63">
              <w:rPr>
                <w:rFonts w:ascii="Cambria" w:eastAsia="Calibri" w:hAnsi="Cambria" w:cs="Times New Roman"/>
              </w:rPr>
              <w:t xml:space="preserve">Individuals identified as White in the electronic health record have become more genetically admixed over time. The mean fractions of European ancestry have decreased from over 98% for all cohorts by decade of birth through the 1980’s to 95.7% and 90.0% for the cohorts born in the 2000’s and 2010’s, respectively. </w:t>
            </w:r>
          </w:p>
          <w:p w14:paraId="504A268C" w14:textId="77777777" w:rsidR="003127C2" w:rsidRDefault="003127C2" w:rsidP="003127C2">
            <w:pPr>
              <w:pStyle w:val="ListParagraph"/>
              <w:numPr>
                <w:ilvl w:val="0"/>
                <w:numId w:val="10"/>
              </w:numPr>
              <w:shd w:val="clear" w:color="auto" w:fill="FFFFFF"/>
              <w:spacing w:before="120" w:after="120" w:line="240" w:lineRule="auto"/>
              <w:ind w:left="360"/>
              <w:textAlignment w:val="baseline"/>
              <w:rPr>
                <w:rFonts w:ascii="Cambria" w:eastAsia="Calibri" w:hAnsi="Cambria" w:cs="Times New Roman"/>
              </w:rPr>
            </w:pPr>
            <w:r>
              <w:rPr>
                <w:rFonts w:ascii="Cambria" w:eastAsia="Calibri" w:hAnsi="Cambria" w:cs="Times New Roman"/>
              </w:rPr>
              <w:t>D</w:t>
            </w:r>
            <w:r w:rsidRPr="001E46BD">
              <w:rPr>
                <w:rFonts w:ascii="Cambria" w:eastAsia="Calibri" w:hAnsi="Cambria" w:cs="Times New Roman"/>
              </w:rPr>
              <w:t xml:space="preserve">ata indicate that younger cohorts of individuals exhibit higher levels of heterogeneity than older cohorts, particularly within those identified as White. There was also increasing heterozygosity over time, with more rapid increases in younger subjects, implying increasing rates of migration of alleles between racial groups over time. </w:t>
            </w:r>
          </w:p>
          <w:p w14:paraId="47B59DE7" w14:textId="77777777" w:rsidR="003127C2" w:rsidRPr="007F2D9D" w:rsidRDefault="003127C2" w:rsidP="003127C2">
            <w:p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u w:val="single"/>
                <w:bdr w:val="none" w:sz="0" w:space="0" w:color="auto" w:frame="1"/>
              </w:rPr>
              <w:t>Genomics Workgroup Update</w:t>
            </w:r>
            <w:r>
              <w:rPr>
                <w:rFonts w:ascii="Cambria" w:eastAsia="Calibri" w:hAnsi="Cambria" w:cs="Times New Roman"/>
                <w:bdr w:val="none" w:sz="0" w:space="0" w:color="auto" w:frame="1"/>
              </w:rPr>
              <w:t xml:space="preserve"> </w:t>
            </w:r>
            <w:r>
              <w:rPr>
                <w:rFonts w:ascii="Cambria" w:eastAsia="Calibri" w:hAnsi="Cambria" w:cs="Times New Roman"/>
              </w:rPr>
              <w:t>–</w:t>
            </w:r>
            <w:r>
              <w:rPr>
                <w:rFonts w:ascii="Cambria" w:eastAsia="Calibri" w:hAnsi="Cambria" w:cs="Times New Roman"/>
                <w:i/>
              </w:rPr>
              <w:t xml:space="preserve"> David Crosslin &amp; Patrick Sleiman </w:t>
            </w:r>
          </w:p>
          <w:p w14:paraId="1D7786FA" w14:textId="77777777" w:rsidR="003127C2" w:rsidRPr="003127C2" w:rsidRDefault="003127C2" w:rsidP="003127C2">
            <w:pPr>
              <w:pStyle w:val="ListParagraph"/>
              <w:numPr>
                <w:ilvl w:val="0"/>
                <w:numId w:val="16"/>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 xml:space="preserve">The special issue of </w:t>
            </w:r>
            <w:r w:rsidRPr="003127C2">
              <w:rPr>
                <w:rFonts w:ascii="Cambria" w:eastAsia="Calibri" w:hAnsi="Cambria" w:cs="Times New Roman"/>
                <w:i/>
              </w:rPr>
              <w:t>Frontiers in Genetics</w:t>
            </w:r>
            <w:r w:rsidRPr="003127C2">
              <w:rPr>
                <w:rFonts w:ascii="Cambria" w:eastAsia="Calibri" w:hAnsi="Cambria" w:cs="Times New Roman"/>
              </w:rPr>
              <w:t xml:space="preserve"> now has over 42,000 views. </w:t>
            </w:r>
          </w:p>
          <w:p w14:paraId="0D81F96B" w14:textId="77777777" w:rsidR="003127C2" w:rsidRPr="003127C2" w:rsidRDefault="003127C2" w:rsidP="003127C2">
            <w:pPr>
              <w:pStyle w:val="ListParagraph"/>
              <w:numPr>
                <w:ilvl w:val="0"/>
                <w:numId w:val="16"/>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 xml:space="preserve">The workgroup ongoing structural variation discovery projects include: RBC indices (Mayo), Global burden (Penn State), </w:t>
            </w:r>
            <w:proofErr w:type="spellStart"/>
            <w:r w:rsidRPr="003127C2">
              <w:rPr>
                <w:rFonts w:ascii="Cambria" w:eastAsia="Calibri" w:hAnsi="Cambria" w:cs="Times New Roman"/>
              </w:rPr>
              <w:t>PheWAS</w:t>
            </w:r>
            <w:proofErr w:type="spellEnd"/>
            <w:r w:rsidRPr="003127C2">
              <w:rPr>
                <w:rFonts w:ascii="Cambria" w:eastAsia="Calibri" w:hAnsi="Cambria" w:cs="Times New Roman"/>
              </w:rPr>
              <w:t xml:space="preserve"> (VU</w:t>
            </w:r>
            <w:proofErr w:type="gramStart"/>
            <w:r w:rsidRPr="003127C2">
              <w:rPr>
                <w:rFonts w:ascii="Cambria" w:eastAsia="Calibri" w:hAnsi="Cambria" w:cs="Times New Roman"/>
              </w:rPr>
              <w:t>,GH</w:t>
            </w:r>
            <w:proofErr w:type="gramEnd"/>
            <w:r w:rsidRPr="003127C2">
              <w:rPr>
                <w:rFonts w:ascii="Cambria" w:eastAsia="Calibri" w:hAnsi="Cambria" w:cs="Times New Roman"/>
              </w:rPr>
              <w:t xml:space="preserve">/UW), </w:t>
            </w:r>
            <w:proofErr w:type="spellStart"/>
            <w:r w:rsidRPr="003127C2">
              <w:rPr>
                <w:rFonts w:ascii="Cambria" w:eastAsia="Calibri" w:hAnsi="Cambria" w:cs="Times New Roman"/>
              </w:rPr>
              <w:t>PheWAS</w:t>
            </w:r>
            <w:proofErr w:type="spellEnd"/>
            <w:r w:rsidRPr="003127C2">
              <w:rPr>
                <w:rFonts w:ascii="Cambria" w:eastAsia="Calibri" w:hAnsi="Cambria" w:cs="Times New Roman"/>
              </w:rPr>
              <w:t xml:space="preserve"> Pediatrics (CCHMC/BCH), WBC and differential (GH/UW), and Homozygous deletions (CHOP).</w:t>
            </w:r>
          </w:p>
          <w:p w14:paraId="4E4A341E" w14:textId="77777777" w:rsidR="003127C2" w:rsidRPr="003127C2" w:rsidRDefault="003127C2" w:rsidP="003127C2">
            <w:pPr>
              <w:pStyle w:val="ListParagraph"/>
              <w:numPr>
                <w:ilvl w:val="0"/>
                <w:numId w:val="16"/>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 xml:space="preserve">The following GWAS are completed: BMI-Obesity, Autism, </w:t>
            </w:r>
            <w:proofErr w:type="spellStart"/>
            <w:r w:rsidRPr="003127C2">
              <w:rPr>
                <w:rFonts w:ascii="Cambria" w:eastAsia="Calibri" w:hAnsi="Cambria" w:cs="Times New Roman"/>
              </w:rPr>
              <w:t>Billrubin</w:t>
            </w:r>
            <w:proofErr w:type="spellEnd"/>
            <w:r w:rsidRPr="003127C2">
              <w:rPr>
                <w:rFonts w:ascii="Cambria" w:eastAsia="Calibri" w:hAnsi="Cambria" w:cs="Times New Roman"/>
              </w:rPr>
              <w:t xml:space="preserve">-LFT, Asthma, GERD, Atopic Dermatitis, Extreme Obesity, Ocular HTN, AMD, Glaucoma, VTE, </w:t>
            </w:r>
            <w:proofErr w:type="spellStart"/>
            <w:r w:rsidRPr="003127C2">
              <w:rPr>
                <w:rFonts w:ascii="Cambria" w:eastAsia="Calibri" w:hAnsi="Cambria" w:cs="Times New Roman"/>
              </w:rPr>
              <w:t>Apolipoprotein</w:t>
            </w:r>
            <w:proofErr w:type="spellEnd"/>
            <w:r w:rsidRPr="003127C2">
              <w:rPr>
                <w:rFonts w:ascii="Cambria" w:eastAsia="Calibri" w:hAnsi="Cambria" w:cs="Times New Roman"/>
              </w:rPr>
              <w:t xml:space="preserve"> L1 and HTN, Diabetic Hypertensive CKD, Diverticular disease, Shingles, ACE-I Cough, Statins for MACE</w:t>
            </w:r>
          </w:p>
          <w:p w14:paraId="0FBE5039" w14:textId="77777777" w:rsidR="003127C2" w:rsidRPr="003127C2" w:rsidRDefault="003127C2" w:rsidP="003127C2">
            <w:pPr>
              <w:pStyle w:val="ListParagraph"/>
              <w:numPr>
                <w:ilvl w:val="0"/>
                <w:numId w:val="16"/>
              </w:numPr>
              <w:shd w:val="clear" w:color="auto" w:fill="FFFFFF"/>
              <w:spacing w:before="120" w:after="120" w:line="240" w:lineRule="auto"/>
              <w:textAlignment w:val="baseline"/>
              <w:rPr>
                <w:rFonts w:ascii="Cambria" w:eastAsia="Calibri" w:hAnsi="Cambria" w:cs="Times New Roman"/>
              </w:rPr>
            </w:pPr>
            <w:r w:rsidRPr="003127C2">
              <w:rPr>
                <w:rFonts w:ascii="Cambria" w:eastAsia="Calibri" w:hAnsi="Cambria" w:cs="Times New Roman"/>
              </w:rPr>
              <w:t xml:space="preserve">The workgroup is still trying to establish a concept sheet with ENCODE collaboration. The workgroup is also collaborating with Exome Chip project, which includes </w:t>
            </w:r>
            <w:proofErr w:type="spellStart"/>
            <w:r w:rsidRPr="003127C2">
              <w:rPr>
                <w:rFonts w:ascii="Cambria" w:eastAsia="Calibri" w:hAnsi="Cambria" w:cs="Times New Roman"/>
              </w:rPr>
              <w:t>Geisinger</w:t>
            </w:r>
            <w:proofErr w:type="spellEnd"/>
            <w:r w:rsidRPr="003127C2">
              <w:rPr>
                <w:rFonts w:ascii="Cambria" w:eastAsia="Calibri" w:hAnsi="Cambria" w:cs="Times New Roman"/>
              </w:rPr>
              <w:t xml:space="preserve">, Mayo, and Group Health. </w:t>
            </w:r>
          </w:p>
          <w:p w14:paraId="13184EB6" w14:textId="77777777" w:rsidR="003127C2" w:rsidRPr="003127C2" w:rsidRDefault="003127C2" w:rsidP="003127C2">
            <w:pPr>
              <w:pStyle w:val="ListParagraph"/>
              <w:numPr>
                <w:ilvl w:val="0"/>
                <w:numId w:val="16"/>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 xml:space="preserve">The workgroup is changing their focus from discovery to implementation as it looks to eMERGE III. </w:t>
            </w:r>
          </w:p>
          <w:p w14:paraId="269051D8" w14:textId="77777777" w:rsidR="003127C2" w:rsidRDefault="003127C2" w:rsidP="003127C2">
            <w:p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u w:val="single"/>
                <w:bdr w:val="none" w:sz="0" w:space="0" w:color="auto" w:frame="1"/>
              </w:rPr>
              <w:t>CHOP Site Report</w:t>
            </w:r>
            <w:r>
              <w:rPr>
                <w:rFonts w:ascii="Cambria" w:eastAsia="Calibri" w:hAnsi="Cambria" w:cs="Times New Roman"/>
                <w:bdr w:val="none" w:sz="0" w:space="0" w:color="auto" w:frame="1"/>
              </w:rPr>
              <w:t xml:space="preserve"> </w:t>
            </w:r>
            <w:r>
              <w:rPr>
                <w:rFonts w:ascii="Cambria" w:eastAsia="Calibri" w:hAnsi="Cambria" w:cs="Times New Roman"/>
              </w:rPr>
              <w:t>–</w:t>
            </w:r>
            <w:r>
              <w:rPr>
                <w:rFonts w:ascii="Cambria" w:eastAsia="Calibri" w:hAnsi="Cambria" w:cs="Times New Roman"/>
                <w:i/>
              </w:rPr>
              <w:t xml:space="preserve"> Hakon Hakonarson</w:t>
            </w:r>
          </w:p>
          <w:p w14:paraId="09A08804" w14:textId="7893DB24" w:rsidR="003127C2" w:rsidRPr="00DA2BD1" w:rsidRDefault="003127C2" w:rsidP="003127C2">
            <w:pPr>
              <w:pStyle w:val="ListParagraph"/>
              <w:numPr>
                <w:ilvl w:val="0"/>
                <w:numId w:val="12"/>
              </w:num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rPr>
              <w:t xml:space="preserve">All major pediatric and adult diseases are represented in the </w:t>
            </w:r>
            <w:r w:rsidR="00A943E7">
              <w:rPr>
                <w:rFonts w:ascii="Cambria" w:eastAsia="Calibri" w:hAnsi="Cambria" w:cs="Times New Roman"/>
              </w:rPr>
              <w:t xml:space="preserve">Center for Applied Genomics (CAG) </w:t>
            </w:r>
            <w:proofErr w:type="spellStart"/>
            <w:r>
              <w:rPr>
                <w:rFonts w:ascii="Cambria" w:eastAsia="Calibri" w:hAnsi="Cambria" w:cs="Times New Roman"/>
              </w:rPr>
              <w:t>biobank</w:t>
            </w:r>
            <w:proofErr w:type="spellEnd"/>
            <w:r>
              <w:rPr>
                <w:rFonts w:ascii="Cambria" w:eastAsia="Calibri" w:hAnsi="Cambria" w:cs="Times New Roman"/>
              </w:rPr>
              <w:t>, including rare diseases; there are more than 70,000 children and 12,000+ adults. All participants consent to prospective genetic analyses. Children are re-consented when 18 years (&gt;90% success).</w:t>
            </w:r>
          </w:p>
          <w:p w14:paraId="6E8EABEF" w14:textId="77777777" w:rsidR="003127C2" w:rsidRPr="0028747E" w:rsidRDefault="003127C2" w:rsidP="003127C2">
            <w:pPr>
              <w:pStyle w:val="ListParagraph"/>
              <w:numPr>
                <w:ilvl w:val="0"/>
                <w:numId w:val="12"/>
              </w:num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rPr>
              <w:t>Five phenotype algorithms were led at CHOP and CHOP has participated in multiple validations. Asthma severity was validated and near ready for publication.</w:t>
            </w:r>
          </w:p>
          <w:p w14:paraId="7266EFA6" w14:textId="77777777" w:rsidR="003127C2" w:rsidRPr="0028747E" w:rsidRDefault="003127C2" w:rsidP="003127C2">
            <w:pPr>
              <w:pStyle w:val="ListParagraph"/>
              <w:numPr>
                <w:ilvl w:val="0"/>
                <w:numId w:val="12"/>
              </w:num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rPr>
              <w:t xml:space="preserve">1,606 total </w:t>
            </w:r>
            <w:proofErr w:type="spellStart"/>
            <w:r>
              <w:rPr>
                <w:rFonts w:ascii="Cambria" w:eastAsia="Calibri" w:hAnsi="Cambria" w:cs="Times New Roman"/>
              </w:rPr>
              <w:t>PheWAS</w:t>
            </w:r>
            <w:proofErr w:type="spellEnd"/>
            <w:r>
              <w:rPr>
                <w:rFonts w:ascii="Cambria" w:eastAsia="Calibri" w:hAnsi="Cambria" w:cs="Times New Roman"/>
              </w:rPr>
              <w:t xml:space="preserve"> codes were translated in the phenotype table. Demographically, the numbers are comparable between European Americans and African Americans, with several years of follow up. </w:t>
            </w:r>
          </w:p>
          <w:p w14:paraId="7204AF02" w14:textId="653123D6" w:rsidR="003127C2" w:rsidRPr="0028747E" w:rsidRDefault="003127C2" w:rsidP="003127C2">
            <w:pPr>
              <w:pStyle w:val="ListParagraph"/>
              <w:numPr>
                <w:ilvl w:val="0"/>
                <w:numId w:val="12"/>
              </w:numPr>
              <w:shd w:val="clear" w:color="auto" w:fill="FFFFFF"/>
              <w:spacing w:before="120" w:after="120" w:line="240" w:lineRule="auto"/>
              <w:textAlignment w:val="baseline"/>
              <w:rPr>
                <w:rFonts w:ascii="Cambria" w:eastAsia="Calibri" w:hAnsi="Cambria" w:cs="Times New Roman"/>
                <w:i/>
              </w:rPr>
            </w:pPr>
            <w:proofErr w:type="spellStart"/>
            <w:r>
              <w:rPr>
                <w:rFonts w:ascii="Cambria" w:eastAsia="Calibri" w:hAnsi="Cambria" w:cs="Times New Roman"/>
              </w:rPr>
              <w:t>PheWAS</w:t>
            </w:r>
            <w:proofErr w:type="spellEnd"/>
            <w:r>
              <w:rPr>
                <w:rFonts w:ascii="Cambria" w:eastAsia="Calibri" w:hAnsi="Cambria" w:cs="Times New Roman"/>
              </w:rPr>
              <w:t xml:space="preserve"> on rs6967330: cases were defined as subjects with multiple hospitalizations for asthma exacerbations within 6 months between ages of 2–6. </w:t>
            </w:r>
            <w:proofErr w:type="gramStart"/>
            <w:r>
              <w:rPr>
                <w:rFonts w:ascii="Cambria" w:eastAsia="Calibri" w:hAnsi="Cambria" w:cs="Times New Roman"/>
              </w:rPr>
              <w:t>rs6967330</w:t>
            </w:r>
            <w:proofErr w:type="gramEnd"/>
            <w:r>
              <w:rPr>
                <w:rFonts w:ascii="Cambria" w:eastAsia="Calibri" w:hAnsi="Cambria" w:cs="Times New Roman"/>
              </w:rPr>
              <w:t xml:space="preserve"> encodes an amino acid change in the CDHR3 protein. A recent study showed that the disease associated with a variant of the CDHR3 protein enhanced infection rates of rhinovirus C, which leads to asthma exacerbation. </w:t>
            </w:r>
          </w:p>
          <w:p w14:paraId="38BADBBC" w14:textId="77777777" w:rsidR="003127C2" w:rsidRPr="00247695" w:rsidRDefault="003127C2" w:rsidP="003127C2">
            <w:pPr>
              <w:pStyle w:val="ListParagraph"/>
              <w:numPr>
                <w:ilvl w:val="0"/>
                <w:numId w:val="12"/>
              </w:num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rPr>
              <w:t>Two genome wide significant loci were found in Asthma. There is a genome wide signal in African Americans with GERD, and CHOP is still pursuing this replication. Four genes replicated from the pediatric Atopic dermatitis dataset. Three SNPs reached genome wide significance in ADHD and have been replicated.</w:t>
            </w:r>
          </w:p>
          <w:p w14:paraId="738C8672" w14:textId="77777777" w:rsidR="003127C2" w:rsidRPr="003127C2" w:rsidRDefault="003127C2" w:rsidP="003127C2">
            <w:pPr>
              <w:pStyle w:val="ListParagraph"/>
              <w:numPr>
                <w:ilvl w:val="0"/>
                <w:numId w:val="12"/>
              </w:numPr>
              <w:shd w:val="clear" w:color="auto" w:fill="FFFFFF"/>
              <w:spacing w:before="120" w:after="120" w:line="240" w:lineRule="auto"/>
              <w:textAlignment w:val="baseline"/>
              <w:rPr>
                <w:rFonts w:ascii="Cambria" w:eastAsia="Calibri" w:hAnsi="Cambria" w:cs="Times New Roman"/>
                <w:i/>
              </w:rPr>
            </w:pPr>
            <w:proofErr w:type="spellStart"/>
            <w:r w:rsidRPr="003127C2">
              <w:rPr>
                <w:rFonts w:ascii="Cambria" w:eastAsia="Calibri" w:hAnsi="Cambria" w:cs="Times New Roman"/>
              </w:rPr>
              <w:t>PGx</w:t>
            </w:r>
            <w:proofErr w:type="spellEnd"/>
            <w:r w:rsidRPr="003127C2">
              <w:rPr>
                <w:rFonts w:ascii="Cambria" w:eastAsia="Calibri" w:hAnsi="Cambria" w:cs="Times New Roman"/>
              </w:rPr>
              <w:t xml:space="preserve">: recruitment is completed with 1,650 children from CAG’s biorepository with well-documented drug related severe adverse events and EHR-based drug response profiles. Significant p-values were found in both analyses of African Americans and European Americans comparing severe asthma v. not severe. </w:t>
            </w:r>
          </w:p>
          <w:p w14:paraId="710ECABB" w14:textId="77777777" w:rsidR="003127C2" w:rsidRPr="009B278E" w:rsidRDefault="003127C2" w:rsidP="003127C2">
            <w:pPr>
              <w:pStyle w:val="ListParagraph"/>
              <w:numPr>
                <w:ilvl w:val="0"/>
                <w:numId w:val="12"/>
              </w:numPr>
              <w:shd w:val="clear" w:color="auto" w:fill="FFFFFF"/>
              <w:spacing w:before="120" w:after="120" w:line="240" w:lineRule="auto"/>
              <w:textAlignment w:val="baseline"/>
              <w:rPr>
                <w:rFonts w:ascii="Cambria" w:eastAsia="Calibri" w:hAnsi="Cambria" w:cs="Times New Roman"/>
                <w:i/>
              </w:rPr>
            </w:pPr>
            <w:r>
              <w:rPr>
                <w:rFonts w:ascii="Cambria" w:eastAsia="Calibri" w:hAnsi="Cambria" w:cs="Times New Roman"/>
              </w:rPr>
              <w:t>Return of Results: 440 results were returned as of 6/26 and a projected 1,500 will be returned by 8/1/2015.</w:t>
            </w:r>
            <w:r w:rsidRPr="009B278E">
              <w:rPr>
                <w:rFonts w:ascii="Cambria" w:eastAsia="Calibri" w:hAnsi="Cambria" w:cs="Times New Roman"/>
              </w:rPr>
              <w:t xml:space="preserve"> </w:t>
            </w:r>
            <w:r>
              <w:rPr>
                <w:rFonts w:ascii="Cambria" w:eastAsia="Calibri" w:hAnsi="Cambria" w:cs="Times New Roman"/>
              </w:rPr>
              <w:t xml:space="preserve">Myresults.org was integrated into the EHR. </w:t>
            </w:r>
          </w:p>
          <w:p w14:paraId="5F8469EF" w14:textId="4A44716D" w:rsidR="003127C2" w:rsidRPr="008F0AA0" w:rsidRDefault="003127C2" w:rsidP="003127C2">
            <w:pPr>
              <w:shd w:val="clear" w:color="auto" w:fill="FFFFFF"/>
              <w:spacing w:before="120" w:after="120"/>
              <w:textAlignment w:val="baseline"/>
              <w:rPr>
                <w:rFonts w:ascii="Cambria" w:eastAsia="Calibri" w:hAnsi="Cambria"/>
                <w:i/>
              </w:rPr>
            </w:pPr>
            <w:r w:rsidRPr="009B278E">
              <w:rPr>
                <w:rFonts w:ascii="Cambria" w:eastAsia="Calibri" w:hAnsi="Cambria" w:cs="Times New Roman"/>
                <w:u w:val="single"/>
                <w:bdr w:val="none" w:sz="0" w:space="0" w:color="auto" w:frame="1"/>
              </w:rPr>
              <w:t xml:space="preserve">Early-onset, severe forms of ‘essential’ hypertension and major cardiovascular complications of hypertension are associated with </w:t>
            </w:r>
            <w:proofErr w:type="spellStart"/>
            <w:r w:rsidRPr="009B278E">
              <w:rPr>
                <w:rFonts w:ascii="Cambria" w:eastAsia="Calibri" w:hAnsi="Cambria" w:cs="Times New Roman"/>
                <w:u w:val="single"/>
                <w:bdr w:val="none" w:sz="0" w:space="0" w:color="auto" w:frame="1"/>
              </w:rPr>
              <w:t>Apolipoprotein</w:t>
            </w:r>
            <w:proofErr w:type="spellEnd"/>
            <w:r w:rsidRPr="009B278E">
              <w:rPr>
                <w:rFonts w:ascii="Cambria" w:eastAsia="Calibri" w:hAnsi="Cambria" w:cs="Times New Roman"/>
                <w:u w:val="single"/>
                <w:bdr w:val="none" w:sz="0" w:space="0" w:color="auto" w:frame="1"/>
              </w:rPr>
              <w:t xml:space="preserve"> L1 (APOL1) renal risk alleles in African Americans</w:t>
            </w:r>
            <w:r>
              <w:rPr>
                <w:rFonts w:ascii="Cambria" w:eastAsia="Calibri" w:hAnsi="Cambria" w:cs="Times New Roman"/>
              </w:rPr>
              <w:t xml:space="preserve"> - </w:t>
            </w:r>
            <w:r w:rsidRPr="008F0AA0">
              <w:rPr>
                <w:rFonts w:ascii="Cambria" w:eastAsia="Calibri" w:hAnsi="Cambria"/>
                <w:i/>
              </w:rPr>
              <w:t xml:space="preserve">Girish N </w:t>
            </w:r>
            <w:proofErr w:type="spellStart"/>
            <w:r w:rsidRPr="008F0AA0">
              <w:rPr>
                <w:rFonts w:ascii="Cambria" w:eastAsia="Calibri" w:hAnsi="Cambria"/>
                <w:i/>
              </w:rPr>
              <w:t>Na</w:t>
            </w:r>
            <w:r>
              <w:rPr>
                <w:rFonts w:ascii="Cambria" w:eastAsia="Calibri" w:hAnsi="Cambria"/>
                <w:i/>
              </w:rPr>
              <w:t>dkarni</w:t>
            </w:r>
            <w:proofErr w:type="spellEnd"/>
            <w:r>
              <w:rPr>
                <w:rFonts w:ascii="Cambria" w:eastAsia="Calibri" w:hAnsi="Cambria"/>
                <w:i/>
              </w:rPr>
              <w:t xml:space="preserve"> &amp;</w:t>
            </w:r>
            <w:r w:rsidRPr="008F0AA0">
              <w:rPr>
                <w:rFonts w:ascii="Cambria" w:eastAsia="Calibri" w:hAnsi="Cambria"/>
                <w:i/>
              </w:rPr>
              <w:t xml:space="preserve"> Geneviève Galarneau</w:t>
            </w:r>
          </w:p>
          <w:p w14:paraId="669A01E7" w14:textId="77777777" w:rsidR="003127C2" w:rsidRPr="003127C2" w:rsidRDefault="003127C2" w:rsidP="003127C2">
            <w:pPr>
              <w:pStyle w:val="ListParagraph"/>
              <w:numPr>
                <w:ilvl w:val="0"/>
                <w:numId w:val="15"/>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 xml:space="preserve">APOL1 gene variants associate with increased ranges of blood pressure (both systolic and diastolic) in younger African Americans (under age 40) independent of estimated glomerular filtration rate. </w:t>
            </w:r>
          </w:p>
          <w:p w14:paraId="46B7DDCD" w14:textId="77777777" w:rsidR="003127C2" w:rsidRPr="003127C2" w:rsidRDefault="003127C2" w:rsidP="003127C2">
            <w:pPr>
              <w:pStyle w:val="ListParagraph"/>
              <w:numPr>
                <w:ilvl w:val="0"/>
                <w:numId w:val="15"/>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 xml:space="preserve">The combined cohort of 9,203 participants across eMERGE led to 1345/14.6% with </w:t>
            </w:r>
            <w:r w:rsidRPr="003127C2">
              <w:rPr>
                <w:rFonts w:ascii="Cambria" w:eastAsia="Calibri" w:hAnsi="Cambria" w:cs="Times New Roman"/>
                <w:i/>
                <w:iCs/>
              </w:rPr>
              <w:t>APOL1</w:t>
            </w:r>
            <w:r w:rsidRPr="003127C2">
              <w:rPr>
                <w:rFonts w:ascii="Cambria" w:eastAsia="Calibri" w:hAnsi="Cambria" w:cs="Times New Roman"/>
              </w:rPr>
              <w:t xml:space="preserve"> risk status.</w:t>
            </w:r>
          </w:p>
          <w:p w14:paraId="5557A478" w14:textId="77777777" w:rsidR="003127C2" w:rsidRPr="003127C2" w:rsidRDefault="003127C2" w:rsidP="003127C2">
            <w:pPr>
              <w:pStyle w:val="ListParagraph"/>
              <w:numPr>
                <w:ilvl w:val="0"/>
                <w:numId w:val="15"/>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 xml:space="preserve">APOL1 risk allele is associated with 2.4 Years earlier diagnosis of hypertension. Higher blood pressures were found in 20-39 years. </w:t>
            </w:r>
          </w:p>
          <w:p w14:paraId="1CD96953" w14:textId="77777777" w:rsidR="003127C2" w:rsidRPr="003127C2" w:rsidRDefault="003127C2" w:rsidP="003127C2">
            <w:pPr>
              <w:pStyle w:val="ListParagraph"/>
              <w:numPr>
                <w:ilvl w:val="0"/>
                <w:numId w:val="15"/>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2 APOL1 risk alleles were also associated with a higher rate of left ventricular hypertrophy and hemorrhagic stroke, complications of hypertension. After preforming a logistic regression that adjusted for age, sex and BMI, there were significant odds ratios of 1.52 and 2.66 respectively.</w:t>
            </w:r>
          </w:p>
          <w:p w14:paraId="5EF8024F" w14:textId="5BAA6001" w:rsidR="003127C2" w:rsidRPr="003127C2" w:rsidRDefault="003127C2" w:rsidP="003127C2">
            <w:pPr>
              <w:pStyle w:val="ListParagraph"/>
              <w:numPr>
                <w:ilvl w:val="0"/>
                <w:numId w:val="15"/>
              </w:numPr>
              <w:shd w:val="clear" w:color="auto" w:fill="FFFFFF"/>
              <w:spacing w:before="120" w:after="120" w:line="240" w:lineRule="auto"/>
              <w:textAlignment w:val="baseline"/>
              <w:rPr>
                <w:rFonts w:ascii="Cambria" w:eastAsia="Calibri" w:hAnsi="Cambria" w:cs="Times New Roman"/>
                <w:i/>
              </w:rPr>
            </w:pPr>
            <w:r w:rsidRPr="003127C2">
              <w:rPr>
                <w:rFonts w:ascii="Cambria" w:eastAsia="Calibri" w:hAnsi="Cambria" w:cs="Times New Roman"/>
              </w:rPr>
              <w:t xml:space="preserve">The results may warrant a paradigm shift from a kidney-intrinsic to systemic vascular </w:t>
            </w:r>
            <w:proofErr w:type="spellStart"/>
            <w:r w:rsidRPr="003127C2">
              <w:rPr>
                <w:rFonts w:ascii="Cambria" w:eastAsia="Calibri" w:hAnsi="Cambria" w:cs="Times New Roman"/>
              </w:rPr>
              <w:t>pathomechanism</w:t>
            </w:r>
            <w:proofErr w:type="spellEnd"/>
            <w:r w:rsidRPr="003127C2">
              <w:rPr>
                <w:rFonts w:ascii="Cambria" w:eastAsia="Calibri" w:hAnsi="Cambria" w:cs="Times New Roman"/>
              </w:rPr>
              <w:t xml:space="preserve">(s) for APOL1 risk alleles. The results may also have considerable public health implications for BP screening in young AA carrying APOL1 risk alleles.  </w:t>
            </w:r>
          </w:p>
          <w:p w14:paraId="6B7D8AAE" w14:textId="77777777" w:rsidR="003127C2" w:rsidRDefault="003127C2" w:rsidP="003127C2">
            <w:pPr>
              <w:shd w:val="clear" w:color="auto" w:fill="FFFFFF"/>
              <w:spacing w:before="120" w:after="120"/>
              <w:textAlignment w:val="baseline"/>
              <w:rPr>
                <w:rFonts w:ascii="Cambria" w:eastAsia="Calibri" w:hAnsi="Cambria"/>
                <w:i/>
              </w:rPr>
            </w:pPr>
            <w:r>
              <w:rPr>
                <w:rFonts w:ascii="Cambria" w:eastAsia="Calibri" w:hAnsi="Cambria" w:cs="Times New Roman"/>
                <w:u w:val="single"/>
                <w:bdr w:val="none" w:sz="0" w:space="0" w:color="auto" w:frame="1"/>
              </w:rPr>
              <w:t>Mayo Site Update</w:t>
            </w:r>
            <w:r>
              <w:rPr>
                <w:rFonts w:ascii="Cambria" w:eastAsia="Calibri" w:hAnsi="Cambria" w:cs="Times New Roman"/>
              </w:rPr>
              <w:t xml:space="preserve"> – </w:t>
            </w:r>
            <w:r>
              <w:rPr>
                <w:rFonts w:ascii="Cambria" w:eastAsia="Calibri" w:hAnsi="Cambria"/>
                <w:i/>
              </w:rPr>
              <w:t>Iftikhar Kullo</w:t>
            </w:r>
          </w:p>
          <w:p w14:paraId="4A3E2A53" w14:textId="77777777" w:rsidR="003127C2" w:rsidRPr="009E35B9" w:rsidRDefault="003127C2" w:rsidP="003127C2">
            <w:pPr>
              <w:pStyle w:val="ListParagraph"/>
              <w:numPr>
                <w:ilvl w:val="0"/>
                <w:numId w:val="13"/>
              </w:numPr>
              <w:shd w:val="clear" w:color="auto" w:fill="FFFFFF"/>
              <w:spacing w:before="120" w:after="120"/>
              <w:textAlignment w:val="baseline"/>
              <w:rPr>
                <w:rFonts w:ascii="Cambria" w:eastAsia="Calibri" w:hAnsi="Cambria" w:cs="Times New Roman"/>
              </w:rPr>
            </w:pPr>
            <w:r>
              <w:rPr>
                <w:rFonts w:ascii="Cambria" w:eastAsia="Calibri" w:hAnsi="Cambria"/>
              </w:rPr>
              <w:t>Mayo has implemented eight phenotypes and lists the following as phenotype highlights: h</w:t>
            </w:r>
            <w:r w:rsidRPr="008B3EB7">
              <w:rPr>
                <w:rFonts w:ascii="Cambria" w:eastAsia="Calibri" w:hAnsi="Cambria"/>
              </w:rPr>
              <w:t>armonize</w:t>
            </w:r>
            <w:r>
              <w:rPr>
                <w:rFonts w:ascii="Cambria" w:eastAsia="Calibri" w:hAnsi="Cambria"/>
              </w:rPr>
              <w:t>d</w:t>
            </w:r>
            <w:r w:rsidRPr="008B3EB7">
              <w:rPr>
                <w:rFonts w:ascii="Cambria" w:eastAsia="Calibri" w:hAnsi="Cambria"/>
              </w:rPr>
              <w:t xml:space="preserve"> phenotype data dictionaries across the consortium</w:t>
            </w:r>
            <w:r>
              <w:rPr>
                <w:rFonts w:ascii="Cambria" w:eastAsia="Calibri" w:hAnsi="Cambria"/>
              </w:rPr>
              <w:t xml:space="preserve">, aligned eMERGE with </w:t>
            </w:r>
            <w:proofErr w:type="spellStart"/>
            <w:r>
              <w:rPr>
                <w:rFonts w:ascii="Cambria" w:eastAsia="Calibri" w:hAnsi="Cambria"/>
              </w:rPr>
              <w:t>PhenX</w:t>
            </w:r>
            <w:proofErr w:type="spellEnd"/>
            <w:r>
              <w:rPr>
                <w:rFonts w:ascii="Cambria" w:eastAsia="Calibri" w:hAnsi="Cambria"/>
              </w:rPr>
              <w:t xml:space="preserve">, and developed the </w:t>
            </w:r>
            <w:proofErr w:type="spellStart"/>
            <w:r>
              <w:rPr>
                <w:rFonts w:ascii="Cambria" w:eastAsia="Calibri" w:hAnsi="Cambria"/>
              </w:rPr>
              <w:t>eleMAP</w:t>
            </w:r>
            <w:proofErr w:type="spellEnd"/>
            <w:r>
              <w:rPr>
                <w:rFonts w:ascii="Cambria" w:eastAsia="Calibri" w:hAnsi="Cambria"/>
              </w:rPr>
              <w:t xml:space="preserve"> tool, o</w:t>
            </w:r>
            <w:r w:rsidRPr="009E35B9">
              <w:rPr>
                <w:rFonts w:ascii="Cambria" w:eastAsia="Calibri" w:hAnsi="Cambria"/>
              </w:rPr>
              <w:t xml:space="preserve">pen-source NLP resource </w:t>
            </w:r>
            <w:proofErr w:type="spellStart"/>
            <w:r w:rsidRPr="009E35B9">
              <w:rPr>
                <w:rFonts w:ascii="Cambria" w:eastAsia="Calibri" w:hAnsi="Cambria"/>
              </w:rPr>
              <w:t>cTAKES</w:t>
            </w:r>
            <w:proofErr w:type="spellEnd"/>
            <w:r>
              <w:rPr>
                <w:rFonts w:ascii="Cambria" w:eastAsia="Calibri" w:hAnsi="Cambria"/>
              </w:rPr>
              <w:t xml:space="preserve">, and </w:t>
            </w:r>
            <w:proofErr w:type="spellStart"/>
            <w:r>
              <w:rPr>
                <w:rFonts w:ascii="Cambria" w:eastAsia="Calibri" w:hAnsi="Cambria"/>
              </w:rPr>
              <w:t>PhEMA</w:t>
            </w:r>
            <w:proofErr w:type="spellEnd"/>
            <w:r>
              <w:rPr>
                <w:rFonts w:ascii="Cambria" w:eastAsia="Calibri" w:hAnsi="Cambria"/>
              </w:rPr>
              <w:t>.</w:t>
            </w:r>
          </w:p>
          <w:p w14:paraId="4DEA8865" w14:textId="7E968AB8" w:rsidR="003127C2" w:rsidRDefault="003127C2" w:rsidP="003127C2">
            <w:pPr>
              <w:pStyle w:val="ListParagraph"/>
              <w:numPr>
                <w:ilvl w:val="0"/>
                <w:numId w:val="13"/>
              </w:numPr>
              <w:shd w:val="clear" w:color="auto" w:fill="FFFFFF"/>
              <w:spacing w:before="120" w:after="120"/>
              <w:textAlignment w:val="baseline"/>
              <w:rPr>
                <w:rFonts w:ascii="Cambria" w:eastAsia="Calibri" w:hAnsi="Cambria" w:cs="Times New Roman"/>
              </w:rPr>
            </w:pPr>
            <w:r>
              <w:rPr>
                <w:rFonts w:ascii="Cambria" w:eastAsia="Calibri" w:hAnsi="Cambria" w:cs="Times New Roman"/>
              </w:rPr>
              <w:t xml:space="preserve">Genomics: </w:t>
            </w:r>
            <w:r w:rsidR="00A768D0">
              <w:rPr>
                <w:rFonts w:ascii="Cambria" w:eastAsia="Calibri" w:hAnsi="Cambria" w:cs="Times New Roman"/>
              </w:rPr>
              <w:t>P</w:t>
            </w:r>
            <w:r w:rsidR="00E208A4">
              <w:rPr>
                <w:rFonts w:ascii="Cambria" w:eastAsia="Calibri" w:hAnsi="Cambria" w:cs="Times New Roman"/>
              </w:rPr>
              <w:t xml:space="preserve">erformed </w:t>
            </w:r>
            <w:r>
              <w:rPr>
                <w:rFonts w:ascii="Cambria" w:eastAsia="Calibri" w:hAnsi="Cambria" w:cs="Times New Roman"/>
              </w:rPr>
              <w:t xml:space="preserve">the QC for the network wide high-density genotype dataset for </w:t>
            </w:r>
            <w:proofErr w:type="spellStart"/>
            <w:r>
              <w:rPr>
                <w:rFonts w:ascii="Cambria" w:eastAsia="Calibri" w:hAnsi="Cambria" w:cs="Times New Roman"/>
              </w:rPr>
              <w:t>dbGaP</w:t>
            </w:r>
            <w:proofErr w:type="spellEnd"/>
            <w:r>
              <w:rPr>
                <w:rFonts w:ascii="Cambria" w:eastAsia="Calibri" w:hAnsi="Cambria" w:cs="Times New Roman"/>
              </w:rPr>
              <w:t xml:space="preserve"> submission, completing the GWAS of VTE, HF, and CRF, activity in genetic risk score research, structural and null variant projects, </w:t>
            </w:r>
            <w:proofErr w:type="spellStart"/>
            <w:r>
              <w:rPr>
                <w:rFonts w:ascii="Cambria" w:eastAsia="Calibri" w:hAnsi="Cambria" w:cs="Times New Roman"/>
              </w:rPr>
              <w:t>PheWAS</w:t>
            </w:r>
            <w:proofErr w:type="spellEnd"/>
            <w:r>
              <w:rPr>
                <w:rFonts w:ascii="Cambria" w:eastAsia="Calibri" w:hAnsi="Cambria" w:cs="Times New Roman"/>
              </w:rPr>
              <w:t xml:space="preserve"> projects, and the ENCODE collaboration. Mayo looks to replicate findings in the African American VTE cohort, CF, and HF. </w:t>
            </w:r>
          </w:p>
          <w:p w14:paraId="397F6727" w14:textId="77777777" w:rsidR="003127C2" w:rsidRDefault="003127C2" w:rsidP="003127C2">
            <w:pPr>
              <w:pStyle w:val="ListParagraph"/>
              <w:numPr>
                <w:ilvl w:val="0"/>
                <w:numId w:val="13"/>
              </w:numPr>
              <w:shd w:val="clear" w:color="auto" w:fill="FFFFFF"/>
              <w:spacing w:before="120" w:after="120"/>
              <w:textAlignment w:val="baseline"/>
              <w:rPr>
                <w:rFonts w:ascii="Cambria" w:eastAsia="Calibri" w:hAnsi="Cambria" w:cs="Times New Roman"/>
              </w:rPr>
            </w:pPr>
            <w:r>
              <w:rPr>
                <w:rFonts w:ascii="Cambria" w:eastAsia="Calibri" w:hAnsi="Cambria" w:cs="Times New Roman"/>
              </w:rPr>
              <w:t xml:space="preserve">Return of Results: Mayo’s primary return of results work focused on the MIGENES clinical trial. The site was also involved in MyResults.org, the </w:t>
            </w:r>
            <w:proofErr w:type="spellStart"/>
            <w:r>
              <w:rPr>
                <w:rFonts w:ascii="Cambria" w:eastAsia="Calibri" w:hAnsi="Cambria" w:cs="Times New Roman"/>
              </w:rPr>
              <w:t>RoR</w:t>
            </w:r>
            <w:proofErr w:type="spellEnd"/>
            <w:r>
              <w:rPr>
                <w:rFonts w:ascii="Cambria" w:eastAsia="Calibri" w:hAnsi="Cambria" w:cs="Times New Roman"/>
              </w:rPr>
              <w:t xml:space="preserve"> instruments repository, manuscripts describing </w:t>
            </w:r>
            <w:proofErr w:type="spellStart"/>
            <w:r>
              <w:rPr>
                <w:rFonts w:ascii="Cambria" w:eastAsia="Calibri" w:hAnsi="Cambria" w:cs="Times New Roman"/>
              </w:rPr>
              <w:t>RoR</w:t>
            </w:r>
            <w:proofErr w:type="spellEnd"/>
            <w:r>
              <w:rPr>
                <w:rFonts w:ascii="Cambria" w:eastAsia="Calibri" w:hAnsi="Cambria" w:cs="Times New Roman"/>
              </w:rPr>
              <w:t xml:space="preserve"> activities in the Network, the </w:t>
            </w:r>
            <w:proofErr w:type="spellStart"/>
            <w:r>
              <w:rPr>
                <w:rFonts w:ascii="Cambria" w:eastAsia="Calibri" w:hAnsi="Cambria" w:cs="Times New Roman"/>
              </w:rPr>
              <w:t>PGx</w:t>
            </w:r>
            <w:proofErr w:type="spellEnd"/>
            <w:r>
              <w:rPr>
                <w:rFonts w:ascii="Cambria" w:eastAsia="Calibri" w:hAnsi="Cambria" w:cs="Times New Roman"/>
              </w:rPr>
              <w:t xml:space="preserve"> consent form, the </w:t>
            </w:r>
            <w:proofErr w:type="spellStart"/>
            <w:r>
              <w:rPr>
                <w:rFonts w:ascii="Cambria" w:eastAsia="Calibri" w:hAnsi="Cambria" w:cs="Times New Roman"/>
              </w:rPr>
              <w:t>RoR</w:t>
            </w:r>
            <w:proofErr w:type="spellEnd"/>
            <w:r>
              <w:rPr>
                <w:rFonts w:ascii="Cambria" w:eastAsia="Calibri" w:hAnsi="Cambria" w:cs="Times New Roman"/>
              </w:rPr>
              <w:t xml:space="preserve"> template for </w:t>
            </w:r>
            <w:proofErr w:type="spellStart"/>
            <w:r>
              <w:rPr>
                <w:rFonts w:ascii="Cambria" w:eastAsia="Calibri" w:hAnsi="Cambria" w:cs="Times New Roman"/>
              </w:rPr>
              <w:t>PGx</w:t>
            </w:r>
            <w:proofErr w:type="spellEnd"/>
            <w:r>
              <w:rPr>
                <w:rFonts w:ascii="Cambria" w:eastAsia="Calibri" w:hAnsi="Cambria" w:cs="Times New Roman"/>
              </w:rPr>
              <w:t xml:space="preserve"> actionable events, and larger contributions to Network wide projects, such as HFE. </w:t>
            </w:r>
          </w:p>
          <w:p w14:paraId="67A5228D" w14:textId="77777777" w:rsidR="003127C2" w:rsidRDefault="003127C2" w:rsidP="003127C2">
            <w:pPr>
              <w:pStyle w:val="ListParagraph"/>
              <w:numPr>
                <w:ilvl w:val="0"/>
                <w:numId w:val="13"/>
              </w:numPr>
              <w:shd w:val="clear" w:color="auto" w:fill="FFFFFF"/>
              <w:spacing w:before="120" w:after="120"/>
              <w:textAlignment w:val="baseline"/>
              <w:rPr>
                <w:rFonts w:ascii="Cambria" w:eastAsia="Calibri" w:hAnsi="Cambria" w:cs="Times New Roman"/>
              </w:rPr>
            </w:pPr>
            <w:r>
              <w:rPr>
                <w:rFonts w:ascii="Cambria" w:eastAsia="Calibri" w:hAnsi="Cambria" w:cs="Times New Roman"/>
              </w:rPr>
              <w:t>The MIGENES trial illustrates the feasibility of incorporating genomic risk information for common disease into the EHR. A risk report was placed in the EHR and a decision aid tool was also embedded into the EHR. Disclosing of CHD led to lower LDL cholesterol levels and increased information seeking and sharing amongst the physicians and patients.</w:t>
            </w:r>
          </w:p>
          <w:p w14:paraId="452B5DD4" w14:textId="77777777" w:rsidR="003127C2" w:rsidRDefault="003127C2" w:rsidP="003127C2">
            <w:pPr>
              <w:pStyle w:val="ListParagraph"/>
              <w:numPr>
                <w:ilvl w:val="0"/>
                <w:numId w:val="13"/>
              </w:numPr>
              <w:shd w:val="clear" w:color="auto" w:fill="FFFFFF"/>
              <w:spacing w:before="120" w:after="120"/>
              <w:textAlignment w:val="baseline"/>
              <w:rPr>
                <w:rFonts w:ascii="Cambria" w:eastAsia="Calibri" w:hAnsi="Cambria" w:cs="Times New Roman"/>
              </w:rPr>
            </w:pPr>
            <w:r>
              <w:rPr>
                <w:rFonts w:ascii="Cambria" w:eastAsia="Calibri" w:hAnsi="Cambria" w:cs="Times New Roman"/>
              </w:rPr>
              <w:t xml:space="preserve">Mayo has participated in several CERC and CERC Survey committees, including co-chairing the IRB committee in CERC Survey. </w:t>
            </w:r>
            <w:proofErr w:type="gramStart"/>
            <w:r w:rsidRPr="005D0CC1">
              <w:rPr>
                <w:rFonts w:ascii="Cambria" w:eastAsia="Calibri" w:hAnsi="Cambria" w:cs="Times New Roman"/>
              </w:rPr>
              <w:t>eMERGE</w:t>
            </w:r>
            <w:proofErr w:type="gramEnd"/>
            <w:r w:rsidRPr="005D0CC1">
              <w:rPr>
                <w:rFonts w:ascii="Cambria" w:eastAsia="Calibri" w:hAnsi="Cambria" w:cs="Times New Roman"/>
              </w:rPr>
              <w:t xml:space="preserve"> members at Mayo have also led the patient and</w:t>
            </w:r>
            <w:r>
              <w:rPr>
                <w:rFonts w:ascii="Cambria" w:eastAsia="Calibri" w:hAnsi="Cambria" w:cs="Times New Roman"/>
              </w:rPr>
              <w:t xml:space="preserve"> provider </w:t>
            </w:r>
            <w:proofErr w:type="spellStart"/>
            <w:r>
              <w:rPr>
                <w:rFonts w:ascii="Cambria" w:eastAsia="Calibri" w:hAnsi="Cambria" w:cs="Times New Roman"/>
              </w:rPr>
              <w:t>PGx</w:t>
            </w:r>
            <w:proofErr w:type="spellEnd"/>
            <w:r>
              <w:rPr>
                <w:rFonts w:ascii="Cambria" w:eastAsia="Calibri" w:hAnsi="Cambria" w:cs="Times New Roman"/>
              </w:rPr>
              <w:t xml:space="preserve"> education surveys and participated in CERC/CSER and CERC/</w:t>
            </w:r>
            <w:proofErr w:type="spellStart"/>
            <w:r>
              <w:rPr>
                <w:rFonts w:ascii="Cambria" w:eastAsia="Calibri" w:hAnsi="Cambria" w:cs="Times New Roman"/>
              </w:rPr>
              <w:t>RoR</w:t>
            </w:r>
            <w:proofErr w:type="spellEnd"/>
            <w:r>
              <w:rPr>
                <w:rFonts w:ascii="Cambria" w:eastAsia="Calibri" w:hAnsi="Cambria" w:cs="Times New Roman"/>
              </w:rPr>
              <w:t xml:space="preserve"> papers.</w:t>
            </w:r>
          </w:p>
          <w:p w14:paraId="2BBB695B" w14:textId="77777777" w:rsidR="003127C2" w:rsidRDefault="003127C2" w:rsidP="003127C2">
            <w:pPr>
              <w:pStyle w:val="ListParagraph"/>
              <w:numPr>
                <w:ilvl w:val="0"/>
                <w:numId w:val="13"/>
              </w:numPr>
              <w:shd w:val="clear" w:color="auto" w:fill="FFFFFF"/>
              <w:spacing w:before="120" w:after="120"/>
              <w:textAlignment w:val="baseline"/>
              <w:rPr>
                <w:rFonts w:ascii="Cambria" w:eastAsia="Calibri" w:hAnsi="Cambria" w:cs="Times New Roman"/>
              </w:rPr>
            </w:pPr>
            <w:r>
              <w:rPr>
                <w:rFonts w:ascii="Cambria" w:eastAsia="Calibri" w:hAnsi="Cambria" w:cs="Times New Roman"/>
              </w:rPr>
              <w:t xml:space="preserve">EHRI: Mayo shared their EHR-based genomic decision aid to facilitate shared decision making after the disclosure of CHD. They contributed to the development of the </w:t>
            </w:r>
            <w:proofErr w:type="spellStart"/>
            <w:r>
              <w:rPr>
                <w:rFonts w:ascii="Cambria" w:eastAsia="Calibri" w:hAnsi="Cambria" w:cs="Times New Roman"/>
              </w:rPr>
              <w:t>InfoButton</w:t>
            </w:r>
            <w:proofErr w:type="spellEnd"/>
            <w:r>
              <w:rPr>
                <w:rFonts w:ascii="Cambria" w:eastAsia="Calibri" w:hAnsi="Cambria" w:cs="Times New Roman"/>
              </w:rPr>
              <w:t xml:space="preserve"> resource for </w:t>
            </w:r>
            <w:proofErr w:type="spellStart"/>
            <w:r>
              <w:rPr>
                <w:rFonts w:ascii="Cambria" w:eastAsia="Calibri" w:hAnsi="Cambria" w:cs="Times New Roman"/>
              </w:rPr>
              <w:t>PGx</w:t>
            </w:r>
            <w:proofErr w:type="spellEnd"/>
            <w:r>
              <w:rPr>
                <w:rFonts w:ascii="Cambria" w:eastAsia="Calibri" w:hAnsi="Cambria" w:cs="Times New Roman"/>
              </w:rPr>
              <w:t xml:space="preserve"> CDS and shared their CDS logic for simvastatin, </w:t>
            </w:r>
            <w:proofErr w:type="spellStart"/>
            <w:r>
              <w:rPr>
                <w:rFonts w:ascii="Cambria" w:eastAsia="Calibri" w:hAnsi="Cambria" w:cs="Times New Roman"/>
              </w:rPr>
              <w:t>clopidogrel</w:t>
            </w:r>
            <w:proofErr w:type="spellEnd"/>
            <w:r>
              <w:rPr>
                <w:rFonts w:ascii="Cambria" w:eastAsia="Calibri" w:hAnsi="Cambria" w:cs="Times New Roman"/>
              </w:rPr>
              <w:t xml:space="preserve">, and warfarin. </w:t>
            </w:r>
          </w:p>
          <w:p w14:paraId="4FC58BA5" w14:textId="77777777" w:rsidR="003127C2" w:rsidRDefault="003127C2" w:rsidP="003127C2">
            <w:pPr>
              <w:pStyle w:val="ListParagraph"/>
              <w:numPr>
                <w:ilvl w:val="0"/>
                <w:numId w:val="13"/>
              </w:numPr>
              <w:shd w:val="clear" w:color="auto" w:fill="FFFFFF"/>
              <w:spacing w:before="120" w:after="120"/>
              <w:textAlignment w:val="baseline"/>
              <w:rPr>
                <w:rFonts w:ascii="Cambria" w:eastAsia="Calibri" w:hAnsi="Cambria" w:cs="Times New Roman"/>
              </w:rPr>
            </w:pPr>
            <w:proofErr w:type="spellStart"/>
            <w:r>
              <w:rPr>
                <w:rFonts w:ascii="Cambria" w:eastAsia="Calibri" w:hAnsi="Cambria" w:cs="Times New Roman"/>
              </w:rPr>
              <w:t>PGx</w:t>
            </w:r>
            <w:proofErr w:type="spellEnd"/>
            <w:r>
              <w:rPr>
                <w:rFonts w:ascii="Cambria" w:eastAsia="Calibri" w:hAnsi="Cambria" w:cs="Times New Roman"/>
              </w:rPr>
              <w:t xml:space="preserve">: Mayo had rapid and efficient recruitment, their </w:t>
            </w:r>
            <w:proofErr w:type="spellStart"/>
            <w:r>
              <w:rPr>
                <w:rFonts w:ascii="Cambria" w:eastAsia="Calibri" w:hAnsi="Cambria" w:cs="Times New Roman"/>
              </w:rPr>
              <w:t>PGx</w:t>
            </w:r>
            <w:proofErr w:type="spellEnd"/>
            <w:r>
              <w:rPr>
                <w:rFonts w:ascii="Cambria" w:eastAsia="Calibri" w:hAnsi="Cambria" w:cs="Times New Roman"/>
              </w:rPr>
              <w:t xml:space="preserve"> consent form was widely adopted, and they sequenced 84 </w:t>
            </w:r>
            <w:proofErr w:type="spellStart"/>
            <w:r>
              <w:rPr>
                <w:rFonts w:ascii="Cambria" w:eastAsia="Calibri" w:hAnsi="Cambria" w:cs="Times New Roman"/>
              </w:rPr>
              <w:t>pharmacogenes</w:t>
            </w:r>
            <w:proofErr w:type="spellEnd"/>
            <w:r>
              <w:rPr>
                <w:rFonts w:ascii="Cambria" w:eastAsia="Calibri" w:hAnsi="Cambria" w:cs="Times New Roman"/>
              </w:rPr>
              <w:t xml:space="preserve"> in addition to conventional genotyping for CYP2D6 which enabled direct deposit of variants in the EHR with linkage to CDS. Mayo received a 10K project expansion. </w:t>
            </w:r>
          </w:p>
          <w:p w14:paraId="688B0CA2" w14:textId="77777777" w:rsidR="003127C2" w:rsidRPr="005D0CC1" w:rsidRDefault="003127C2" w:rsidP="003127C2">
            <w:pPr>
              <w:pStyle w:val="ListParagraph"/>
              <w:numPr>
                <w:ilvl w:val="0"/>
                <w:numId w:val="13"/>
              </w:numPr>
              <w:shd w:val="clear" w:color="auto" w:fill="FFFFFF"/>
              <w:spacing w:before="120" w:after="120"/>
              <w:textAlignment w:val="baseline"/>
              <w:rPr>
                <w:rFonts w:ascii="Cambria" w:eastAsia="Calibri" w:hAnsi="Cambria" w:cs="Times New Roman"/>
              </w:rPr>
            </w:pPr>
            <w:r>
              <w:rPr>
                <w:rFonts w:ascii="Cambria" w:eastAsia="Calibri" w:hAnsi="Cambria" w:cs="Times New Roman"/>
              </w:rPr>
              <w:t xml:space="preserve">CDS: From January 2013 – May 2015, 3,353 drug order alerts fired. The CDS is linked to education at Mayo in a service called </w:t>
            </w:r>
            <w:proofErr w:type="spellStart"/>
            <w:r>
              <w:rPr>
                <w:rFonts w:ascii="Cambria" w:eastAsia="Calibri" w:hAnsi="Cambria" w:cs="Times New Roman"/>
              </w:rPr>
              <w:t>AskMayoExpert</w:t>
            </w:r>
            <w:proofErr w:type="spellEnd"/>
            <w:r>
              <w:rPr>
                <w:rFonts w:ascii="Cambria" w:eastAsia="Calibri" w:hAnsi="Cambria" w:cs="Times New Roman"/>
              </w:rPr>
              <w:t>.</w:t>
            </w:r>
          </w:p>
          <w:p w14:paraId="39709EEF" w14:textId="77777777" w:rsidR="003127C2" w:rsidRDefault="003127C2" w:rsidP="003127C2">
            <w:pPr>
              <w:shd w:val="clear" w:color="auto" w:fill="FFFFFF"/>
              <w:spacing w:before="120" w:after="120"/>
              <w:textAlignment w:val="baseline"/>
              <w:rPr>
                <w:rFonts w:ascii="Cambria" w:eastAsia="Calibri" w:hAnsi="Cambria"/>
                <w:i/>
              </w:rPr>
            </w:pPr>
            <w:r>
              <w:rPr>
                <w:rFonts w:ascii="Cambria" w:eastAsia="Calibri" w:hAnsi="Cambria" w:cs="Times New Roman"/>
                <w:u w:val="single"/>
                <w:bdr w:val="none" w:sz="0" w:space="0" w:color="auto" w:frame="1"/>
              </w:rPr>
              <w:t>Closing Remarks</w:t>
            </w:r>
            <w:r>
              <w:rPr>
                <w:rFonts w:ascii="Cambria" w:eastAsia="Calibri" w:hAnsi="Cambria" w:cs="Times New Roman"/>
              </w:rPr>
              <w:t xml:space="preserve"> – </w:t>
            </w:r>
            <w:r>
              <w:rPr>
                <w:rFonts w:ascii="Cambria" w:eastAsia="Calibri" w:hAnsi="Cambria"/>
                <w:i/>
              </w:rPr>
              <w:t>Rex Chisholm</w:t>
            </w:r>
          </w:p>
          <w:p w14:paraId="308E08DF" w14:textId="77777777" w:rsidR="003127C2" w:rsidRDefault="003127C2" w:rsidP="003127C2">
            <w:pPr>
              <w:pStyle w:val="ListParagraph"/>
              <w:numPr>
                <w:ilvl w:val="0"/>
                <w:numId w:val="14"/>
              </w:numPr>
              <w:shd w:val="clear" w:color="auto" w:fill="FFFFFF"/>
              <w:spacing w:before="120" w:after="120"/>
              <w:textAlignment w:val="baseline"/>
              <w:rPr>
                <w:rFonts w:ascii="Cambria" w:eastAsia="Calibri" w:hAnsi="Cambria"/>
              </w:rPr>
            </w:pPr>
            <w:r>
              <w:rPr>
                <w:rFonts w:ascii="Cambria" w:eastAsia="Calibri" w:hAnsi="Cambria"/>
              </w:rPr>
              <w:t xml:space="preserve">Thanks to the Mount Sinai group and eMERGE Coordinating Center for their organizing efforts. </w:t>
            </w:r>
          </w:p>
          <w:p w14:paraId="5111CD51" w14:textId="29AB2F8B" w:rsidR="00B25B6C" w:rsidRPr="003127C2" w:rsidRDefault="003127C2" w:rsidP="003127C2">
            <w:pPr>
              <w:pStyle w:val="ListParagraph"/>
              <w:numPr>
                <w:ilvl w:val="0"/>
                <w:numId w:val="14"/>
              </w:numPr>
              <w:shd w:val="clear" w:color="auto" w:fill="FFFFFF"/>
              <w:spacing w:before="120" w:after="120"/>
              <w:textAlignment w:val="baseline"/>
              <w:rPr>
                <w:rFonts w:ascii="Cambria" w:eastAsia="Calibri" w:hAnsi="Cambria"/>
              </w:rPr>
            </w:pPr>
            <w:r>
              <w:rPr>
                <w:rFonts w:ascii="Cambria" w:eastAsia="Calibri" w:hAnsi="Cambria"/>
              </w:rPr>
              <w:t>The work heard at the Steering Committee meeting reflects the amount of work and collegiality of eMERGE II.</w:t>
            </w:r>
          </w:p>
        </w:tc>
      </w:tr>
      <w:tr w:rsidR="00B25B6C" w:rsidRPr="00B25B6C" w14:paraId="4DE59A2C" w14:textId="77777777" w:rsidTr="008A205B">
        <w:trPr>
          <w:trHeight w:val="642"/>
        </w:trPr>
        <w:tc>
          <w:tcPr>
            <w:tcW w:w="11179" w:type="dxa"/>
            <w:tcBorders>
              <w:top w:val="single" w:sz="8" w:space="0" w:color="auto"/>
              <w:left w:val="single" w:sz="8" w:space="0" w:color="auto"/>
              <w:bottom w:val="single" w:sz="8" w:space="0" w:color="auto"/>
              <w:right w:val="single" w:sz="8" w:space="0" w:color="auto"/>
            </w:tcBorders>
            <w:tcMar>
              <w:top w:w="58" w:type="dxa"/>
              <w:left w:w="86" w:type="dxa"/>
              <w:bottom w:w="58" w:type="dxa"/>
              <w:right w:w="86" w:type="dxa"/>
            </w:tcMar>
            <w:vAlign w:val="center"/>
          </w:tcPr>
          <w:p w14:paraId="684AF205" w14:textId="77777777" w:rsidR="00B25B6C" w:rsidRPr="00B25B6C" w:rsidRDefault="00B25B6C" w:rsidP="00B25B6C">
            <w:pPr>
              <w:spacing w:before="120" w:after="120" w:line="240" w:lineRule="auto"/>
              <w:rPr>
                <w:rFonts w:ascii="Cambria" w:eastAsia="Calibri" w:hAnsi="Cambria" w:cs="Times New Roman"/>
                <w:b/>
                <w:bCs/>
              </w:rPr>
            </w:pPr>
            <w:r w:rsidRPr="00B25B6C">
              <w:rPr>
                <w:rFonts w:ascii="Cambria" w:eastAsia="Calibri" w:hAnsi="Cambria" w:cs="Times New Roman"/>
                <w:b/>
                <w:bCs/>
              </w:rPr>
              <w:t>Summary of Action Items:</w:t>
            </w:r>
          </w:p>
          <w:p w14:paraId="06F21B0F" w14:textId="77777777" w:rsidR="00652070" w:rsidRPr="006D0A4C" w:rsidRDefault="006D0A4C" w:rsidP="004229F4">
            <w:pPr>
              <w:numPr>
                <w:ilvl w:val="0"/>
                <w:numId w:val="4"/>
              </w:numPr>
              <w:spacing w:before="120" w:after="120" w:line="240" w:lineRule="auto"/>
              <w:rPr>
                <w:rFonts w:ascii="Cambria" w:eastAsia="Calibri" w:hAnsi="Cambria" w:cs="Times New Roman"/>
              </w:rPr>
            </w:pPr>
            <w:bookmarkStart w:id="0" w:name="_GoBack"/>
            <w:bookmarkEnd w:id="0"/>
            <w:r w:rsidRPr="006D0A4C">
              <w:rPr>
                <w:rFonts w:ascii="Cambria" w:eastAsia="Calibri" w:hAnsi="Cambria" w:cs="Times New Roman"/>
              </w:rPr>
              <w:t>The CC will draft a central phenotype dataset proposal to circulate to PIs.</w:t>
            </w:r>
          </w:p>
          <w:p w14:paraId="39AD7170" w14:textId="007DC573" w:rsidR="006D0A4C" w:rsidRPr="004229F4" w:rsidRDefault="006D0A4C" w:rsidP="004229F4">
            <w:pPr>
              <w:numPr>
                <w:ilvl w:val="0"/>
                <w:numId w:val="4"/>
              </w:numPr>
              <w:spacing w:before="120" w:after="120" w:line="240" w:lineRule="auto"/>
              <w:rPr>
                <w:rFonts w:ascii="Cambria" w:eastAsia="Calibri" w:hAnsi="Cambria" w:cs="Times New Roman"/>
              </w:rPr>
            </w:pPr>
            <w:r w:rsidRPr="006D0A4C">
              <w:rPr>
                <w:rFonts w:ascii="Cambria" w:eastAsia="Calibri" w:hAnsi="Cambria" w:cs="Times New Roman"/>
              </w:rPr>
              <w:t xml:space="preserve">Junior faculty interested in leading the two proposed Network proposed </w:t>
            </w:r>
            <w:proofErr w:type="spellStart"/>
            <w:r w:rsidRPr="006D0A4C">
              <w:rPr>
                <w:rFonts w:ascii="Cambria" w:eastAsia="Calibri" w:hAnsi="Cambria" w:cs="Times New Roman"/>
              </w:rPr>
              <w:t>RoR</w:t>
            </w:r>
            <w:proofErr w:type="spellEnd"/>
            <w:r w:rsidRPr="006D0A4C">
              <w:rPr>
                <w:rFonts w:ascii="Cambria" w:eastAsia="Calibri" w:hAnsi="Cambria" w:cs="Times New Roman"/>
              </w:rPr>
              <w:t xml:space="preserve"> papers should contact Gail Jarvik &amp; Iftikhar Kullo.</w:t>
            </w:r>
          </w:p>
        </w:tc>
      </w:tr>
      <w:tr w:rsidR="00B25B6C" w:rsidRPr="00B25B6C" w14:paraId="66172607" w14:textId="77777777" w:rsidTr="008A205B">
        <w:trPr>
          <w:trHeight w:val="291"/>
        </w:trPr>
        <w:tc>
          <w:tcPr>
            <w:tcW w:w="11179" w:type="dxa"/>
            <w:tcBorders>
              <w:top w:val="single" w:sz="8" w:space="0" w:color="auto"/>
              <w:left w:val="single" w:sz="8" w:space="0" w:color="auto"/>
              <w:bottom w:val="double" w:sz="4" w:space="0" w:color="auto"/>
              <w:right w:val="single" w:sz="8" w:space="0" w:color="auto"/>
            </w:tcBorders>
            <w:tcMar>
              <w:top w:w="58" w:type="dxa"/>
              <w:left w:w="86" w:type="dxa"/>
              <w:bottom w:w="58" w:type="dxa"/>
              <w:right w:w="86" w:type="dxa"/>
            </w:tcMar>
            <w:vAlign w:val="center"/>
          </w:tcPr>
          <w:p w14:paraId="7C586492" w14:textId="340451D1" w:rsidR="00B25B6C" w:rsidRPr="00B25B6C" w:rsidRDefault="00B25B6C" w:rsidP="00740E62">
            <w:pPr>
              <w:spacing w:before="120" w:after="120" w:line="240" w:lineRule="auto"/>
              <w:jc w:val="center"/>
              <w:rPr>
                <w:rFonts w:ascii="Cambria" w:eastAsia="Calibri" w:hAnsi="Cambria" w:cs="Times New Roman"/>
                <w:sz w:val="26"/>
                <w:szCs w:val="26"/>
              </w:rPr>
            </w:pPr>
            <w:r w:rsidRPr="00B25B6C">
              <w:rPr>
                <w:rFonts w:ascii="Cambria" w:eastAsia="Calibri" w:hAnsi="Cambria" w:cs="Times New Roman"/>
                <w:b/>
                <w:bCs/>
                <w:sz w:val="28"/>
                <w:szCs w:val="26"/>
              </w:rPr>
              <w:t xml:space="preserve">Next Meeting: </w:t>
            </w:r>
            <w:r w:rsidR="006D0A4C">
              <w:rPr>
                <w:rFonts w:ascii="Cambria" w:eastAsia="Calibri" w:hAnsi="Cambria" w:cs="Times New Roman"/>
                <w:b/>
                <w:bCs/>
                <w:sz w:val="28"/>
                <w:szCs w:val="26"/>
              </w:rPr>
              <w:t>September 17-18</w:t>
            </w:r>
            <w:r w:rsidR="006D0A4C" w:rsidRPr="006D0A4C">
              <w:rPr>
                <w:rFonts w:ascii="Cambria" w:eastAsia="Calibri" w:hAnsi="Cambria" w:cs="Times New Roman"/>
                <w:b/>
                <w:bCs/>
                <w:sz w:val="28"/>
                <w:szCs w:val="26"/>
                <w:vertAlign w:val="superscript"/>
              </w:rPr>
              <w:t>th</w:t>
            </w:r>
            <w:r w:rsidR="006D0A4C">
              <w:rPr>
                <w:rFonts w:ascii="Cambria" w:eastAsia="Calibri" w:hAnsi="Cambria" w:cs="Times New Roman"/>
                <w:b/>
                <w:bCs/>
                <w:sz w:val="28"/>
                <w:szCs w:val="26"/>
              </w:rPr>
              <w:t>, 2015; Bethesda, MD</w:t>
            </w:r>
          </w:p>
        </w:tc>
      </w:tr>
      <w:tr w:rsidR="00B25B6C" w:rsidRPr="00B25B6C" w14:paraId="1DC828C0" w14:textId="77777777" w:rsidTr="008A205B">
        <w:trPr>
          <w:trHeight w:val="902"/>
        </w:trPr>
        <w:tc>
          <w:tcPr>
            <w:tcW w:w="11179" w:type="dxa"/>
            <w:tcBorders>
              <w:top w:val="double" w:sz="4" w:space="0" w:color="auto"/>
              <w:bottom w:val="single" w:sz="8" w:space="0" w:color="auto"/>
            </w:tcBorders>
            <w:tcMar>
              <w:top w:w="58" w:type="dxa"/>
              <w:left w:w="86" w:type="dxa"/>
              <w:bottom w:w="58" w:type="dxa"/>
              <w:right w:w="86" w:type="dxa"/>
            </w:tcMar>
            <w:vAlign w:val="center"/>
          </w:tcPr>
          <w:p w14:paraId="211AD773" w14:textId="77777777" w:rsidR="00B25B6C" w:rsidRPr="00B25B6C" w:rsidRDefault="00B25B6C" w:rsidP="00B25B6C">
            <w:pPr>
              <w:spacing w:after="0" w:line="276" w:lineRule="auto"/>
              <w:jc w:val="right"/>
              <w:rPr>
                <w:rFonts w:ascii="Cambria" w:eastAsia="Calibri" w:hAnsi="Cambria" w:cs="Times New Roman"/>
                <w:b/>
                <w:bCs/>
                <w:sz w:val="28"/>
                <w:szCs w:val="28"/>
              </w:rPr>
            </w:pPr>
            <w:r w:rsidRPr="00B25B6C">
              <w:rPr>
                <w:rFonts w:ascii="Cambria" w:eastAsia="Calibri" w:hAnsi="Cambria" w:cs="Times New Roman"/>
                <w:noProof/>
                <w:color w:val="0000FF"/>
                <w:sz w:val="26"/>
                <w:szCs w:val="26"/>
              </w:rPr>
              <w:drawing>
                <wp:inline distT="0" distB="0" distL="0" distR="0" wp14:anchorId="24E7F069" wp14:editId="70FEB965">
                  <wp:extent cx="535940" cy="520065"/>
                  <wp:effectExtent l="0" t="0" r="0" b="0"/>
                  <wp:docPr id="2" name="Picture 2" descr="C:\Users\magnifl\Desktop\for agenda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nifl\Desktop\for agend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 cy="520065"/>
                          </a:xfrm>
                          <a:prstGeom prst="rect">
                            <a:avLst/>
                          </a:prstGeom>
                          <a:noFill/>
                          <a:ln>
                            <a:noFill/>
                          </a:ln>
                        </pic:spPr>
                      </pic:pic>
                    </a:graphicData>
                  </a:graphic>
                </wp:inline>
              </w:drawing>
            </w:r>
            <w:r w:rsidRPr="00B25B6C">
              <w:rPr>
                <w:rFonts w:ascii="Cambria" w:eastAsia="Calibri" w:hAnsi="Cambria" w:cs="Times New Roman"/>
                <w:noProof/>
                <w:color w:val="0000FF"/>
                <w:sz w:val="26"/>
                <w:szCs w:val="26"/>
              </w:rPr>
              <w:drawing>
                <wp:inline distT="0" distB="0" distL="0" distR="0" wp14:anchorId="771B3BF1" wp14:editId="6AD78E40">
                  <wp:extent cx="535940" cy="520065"/>
                  <wp:effectExtent l="0" t="0" r="0" b="0"/>
                  <wp:docPr id="3" name="Picture 3" descr="U:\zoter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oter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 cy="520065"/>
                          </a:xfrm>
                          <a:prstGeom prst="rect">
                            <a:avLst/>
                          </a:prstGeom>
                          <a:noFill/>
                          <a:ln>
                            <a:noFill/>
                          </a:ln>
                        </pic:spPr>
                      </pic:pic>
                    </a:graphicData>
                  </a:graphic>
                </wp:inline>
              </w:drawing>
            </w:r>
            <w:r w:rsidRPr="00B25B6C">
              <w:rPr>
                <w:rFonts w:ascii="Cambria" w:eastAsia="Calibri" w:hAnsi="Cambria" w:cs="Times New Roman"/>
                <w:noProof/>
                <w:color w:val="0000FF"/>
                <w:sz w:val="26"/>
                <w:szCs w:val="26"/>
              </w:rPr>
              <w:drawing>
                <wp:inline distT="0" distB="0" distL="0" distR="0" wp14:anchorId="6A791745" wp14:editId="427EB32B">
                  <wp:extent cx="535940" cy="520065"/>
                  <wp:effectExtent l="0" t="0" r="0" b="0"/>
                  <wp:docPr id="4" name="Picture 4" descr="C:\Users\magnifl\Desktop\twitter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gnifl\Desktop\twitter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940" cy="520065"/>
                          </a:xfrm>
                          <a:prstGeom prst="rect">
                            <a:avLst/>
                          </a:prstGeom>
                          <a:noFill/>
                          <a:ln>
                            <a:noFill/>
                          </a:ln>
                        </pic:spPr>
                      </pic:pic>
                    </a:graphicData>
                  </a:graphic>
                </wp:inline>
              </w:drawing>
            </w:r>
            <w:r w:rsidRPr="00B25B6C">
              <w:rPr>
                <w:rFonts w:ascii="Cambria" w:eastAsia="Calibri" w:hAnsi="Cambria" w:cs="Times New Roman"/>
                <w:noProof/>
                <w:color w:val="0000FF"/>
                <w:sz w:val="26"/>
                <w:szCs w:val="26"/>
              </w:rPr>
              <w:drawing>
                <wp:inline distT="0" distB="0" distL="0" distR="0" wp14:anchorId="11AC5131" wp14:editId="1AB36CBD">
                  <wp:extent cx="535940" cy="520065"/>
                  <wp:effectExtent l="0" t="0" r="0" b="0"/>
                  <wp:docPr id="5" name="Picture 5" descr="C:\Users\magnifl\Desktop\linkedin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nifl\Desktop\linkedin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940" cy="520065"/>
                          </a:xfrm>
                          <a:prstGeom prst="rect">
                            <a:avLst/>
                          </a:prstGeom>
                          <a:noFill/>
                          <a:ln>
                            <a:noFill/>
                          </a:ln>
                        </pic:spPr>
                      </pic:pic>
                    </a:graphicData>
                  </a:graphic>
                </wp:inline>
              </w:drawing>
            </w:r>
          </w:p>
        </w:tc>
      </w:tr>
    </w:tbl>
    <w:p w14:paraId="22D01CA7" w14:textId="77777777" w:rsidR="008A205B" w:rsidRDefault="008A205B"/>
    <w:sectPr w:rsidR="008A2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C391" w14:textId="77777777" w:rsidR="005041D2" w:rsidRDefault="005041D2">
      <w:pPr>
        <w:spacing w:after="0" w:line="240" w:lineRule="auto"/>
      </w:pPr>
      <w:r>
        <w:separator/>
      </w:r>
    </w:p>
  </w:endnote>
  <w:endnote w:type="continuationSeparator" w:id="0">
    <w:p w14:paraId="4D29E56E" w14:textId="77777777" w:rsidR="005041D2" w:rsidRDefault="005041D2">
      <w:pPr>
        <w:spacing w:after="0" w:line="240" w:lineRule="auto"/>
      </w:pPr>
      <w:r>
        <w:continuationSeparator/>
      </w:r>
    </w:p>
  </w:endnote>
  <w:endnote w:type="continuationNotice" w:id="1">
    <w:p w14:paraId="2C3C711B" w14:textId="77777777" w:rsidR="005041D2" w:rsidRDefault="00504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301C5" w14:textId="77777777" w:rsidR="00A679F7" w:rsidRDefault="00A679F7" w:rsidP="008A20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25877" w14:textId="77777777" w:rsidR="005041D2" w:rsidRDefault="005041D2">
      <w:pPr>
        <w:spacing w:after="0" w:line="240" w:lineRule="auto"/>
      </w:pPr>
      <w:r>
        <w:separator/>
      </w:r>
    </w:p>
  </w:footnote>
  <w:footnote w:type="continuationSeparator" w:id="0">
    <w:p w14:paraId="23002B22" w14:textId="77777777" w:rsidR="005041D2" w:rsidRDefault="005041D2">
      <w:pPr>
        <w:spacing w:after="0" w:line="240" w:lineRule="auto"/>
      </w:pPr>
      <w:r>
        <w:continuationSeparator/>
      </w:r>
    </w:p>
  </w:footnote>
  <w:footnote w:type="continuationNotice" w:id="1">
    <w:p w14:paraId="44BFF786" w14:textId="77777777" w:rsidR="005041D2" w:rsidRDefault="005041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4B1FA" w14:textId="77777777" w:rsidR="001F3489" w:rsidRDefault="001F3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6FA"/>
    <w:multiLevelType w:val="hybridMultilevel"/>
    <w:tmpl w:val="F83A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A337B"/>
    <w:multiLevelType w:val="hybridMultilevel"/>
    <w:tmpl w:val="461C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C3983"/>
    <w:multiLevelType w:val="hybridMultilevel"/>
    <w:tmpl w:val="48787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C1212"/>
    <w:multiLevelType w:val="hybridMultilevel"/>
    <w:tmpl w:val="E316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E96713"/>
    <w:multiLevelType w:val="hybridMultilevel"/>
    <w:tmpl w:val="2DB8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E377E"/>
    <w:multiLevelType w:val="hybridMultilevel"/>
    <w:tmpl w:val="15547B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8B0DE9"/>
    <w:multiLevelType w:val="hybridMultilevel"/>
    <w:tmpl w:val="B4A00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5F6157"/>
    <w:multiLevelType w:val="multilevel"/>
    <w:tmpl w:val="280C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44130"/>
    <w:multiLevelType w:val="hybridMultilevel"/>
    <w:tmpl w:val="06CC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AE61D3"/>
    <w:multiLevelType w:val="hybridMultilevel"/>
    <w:tmpl w:val="2C64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CB3AED"/>
    <w:multiLevelType w:val="hybridMultilevel"/>
    <w:tmpl w:val="9088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432F0"/>
    <w:multiLevelType w:val="hybridMultilevel"/>
    <w:tmpl w:val="0CA2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44655"/>
    <w:multiLevelType w:val="hybridMultilevel"/>
    <w:tmpl w:val="B7F8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A2A6B"/>
    <w:multiLevelType w:val="hybridMultilevel"/>
    <w:tmpl w:val="0E7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C06EC"/>
    <w:multiLevelType w:val="hybridMultilevel"/>
    <w:tmpl w:val="00D41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1"/>
  </w:num>
  <w:num w:numId="4">
    <w:abstractNumId w:val="10"/>
  </w:num>
  <w:num w:numId="5">
    <w:abstractNumId w:val="14"/>
  </w:num>
  <w:num w:numId="6">
    <w:abstractNumId w:val="5"/>
  </w:num>
  <w:num w:numId="7">
    <w:abstractNumId w:val="6"/>
  </w:num>
  <w:num w:numId="8">
    <w:abstractNumId w:val="0"/>
  </w:num>
  <w:num w:numId="9">
    <w:abstractNumId w:val="2"/>
  </w:num>
  <w:num w:numId="10">
    <w:abstractNumId w:val="13"/>
  </w:num>
  <w:num w:numId="11">
    <w:abstractNumId w:val="12"/>
  </w:num>
  <w:num w:numId="12">
    <w:abstractNumId w:val="8"/>
  </w:num>
  <w:num w:numId="13">
    <w:abstractNumId w:val="1"/>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C"/>
    <w:rsid w:val="00024E3A"/>
    <w:rsid w:val="00035C14"/>
    <w:rsid w:val="000571CB"/>
    <w:rsid w:val="00072EB4"/>
    <w:rsid w:val="00077F36"/>
    <w:rsid w:val="0008562F"/>
    <w:rsid w:val="000875D7"/>
    <w:rsid w:val="000A0D08"/>
    <w:rsid w:val="000A37A5"/>
    <w:rsid w:val="000C5563"/>
    <w:rsid w:val="000D4F44"/>
    <w:rsid w:val="000F0272"/>
    <w:rsid w:val="000F2CBD"/>
    <w:rsid w:val="000F5A1C"/>
    <w:rsid w:val="00194F95"/>
    <w:rsid w:val="001B091B"/>
    <w:rsid w:val="001F3489"/>
    <w:rsid w:val="001F47AD"/>
    <w:rsid w:val="001F6C83"/>
    <w:rsid w:val="002029AB"/>
    <w:rsid w:val="00211E10"/>
    <w:rsid w:val="0025038D"/>
    <w:rsid w:val="002D418E"/>
    <w:rsid w:val="002D5A65"/>
    <w:rsid w:val="00305395"/>
    <w:rsid w:val="003127C2"/>
    <w:rsid w:val="003606D1"/>
    <w:rsid w:val="003C3D4F"/>
    <w:rsid w:val="003C56D0"/>
    <w:rsid w:val="003D3B60"/>
    <w:rsid w:val="003D49AE"/>
    <w:rsid w:val="003F1BCB"/>
    <w:rsid w:val="00407E35"/>
    <w:rsid w:val="004229F4"/>
    <w:rsid w:val="00422E6D"/>
    <w:rsid w:val="00471240"/>
    <w:rsid w:val="00475F94"/>
    <w:rsid w:val="00493C4A"/>
    <w:rsid w:val="004B07FE"/>
    <w:rsid w:val="004B465A"/>
    <w:rsid w:val="004E15A3"/>
    <w:rsid w:val="00503456"/>
    <w:rsid w:val="005041D2"/>
    <w:rsid w:val="00515C33"/>
    <w:rsid w:val="005329F2"/>
    <w:rsid w:val="00535056"/>
    <w:rsid w:val="00552EEC"/>
    <w:rsid w:val="00560439"/>
    <w:rsid w:val="00564245"/>
    <w:rsid w:val="0058140A"/>
    <w:rsid w:val="005A67CD"/>
    <w:rsid w:val="006111C7"/>
    <w:rsid w:val="00652070"/>
    <w:rsid w:val="0066451D"/>
    <w:rsid w:val="006709C3"/>
    <w:rsid w:val="00696D59"/>
    <w:rsid w:val="006A26A0"/>
    <w:rsid w:val="006A2D2A"/>
    <w:rsid w:val="006C67F9"/>
    <w:rsid w:val="006D0A4C"/>
    <w:rsid w:val="006F38FC"/>
    <w:rsid w:val="00707797"/>
    <w:rsid w:val="00707C49"/>
    <w:rsid w:val="00714888"/>
    <w:rsid w:val="00740E62"/>
    <w:rsid w:val="00743B73"/>
    <w:rsid w:val="007665CA"/>
    <w:rsid w:val="00774551"/>
    <w:rsid w:val="007864E4"/>
    <w:rsid w:val="00794C44"/>
    <w:rsid w:val="007B3FBB"/>
    <w:rsid w:val="007B6EEA"/>
    <w:rsid w:val="007D0CBE"/>
    <w:rsid w:val="007D401B"/>
    <w:rsid w:val="007E6A0D"/>
    <w:rsid w:val="007F3B04"/>
    <w:rsid w:val="0087784B"/>
    <w:rsid w:val="00884755"/>
    <w:rsid w:val="008A205B"/>
    <w:rsid w:val="008D2F6A"/>
    <w:rsid w:val="008E003F"/>
    <w:rsid w:val="009250FC"/>
    <w:rsid w:val="009269B5"/>
    <w:rsid w:val="00935391"/>
    <w:rsid w:val="009555B9"/>
    <w:rsid w:val="00964695"/>
    <w:rsid w:val="0098418D"/>
    <w:rsid w:val="00994862"/>
    <w:rsid w:val="009B702F"/>
    <w:rsid w:val="009C45F1"/>
    <w:rsid w:val="00A0467D"/>
    <w:rsid w:val="00A1108C"/>
    <w:rsid w:val="00A41015"/>
    <w:rsid w:val="00A45055"/>
    <w:rsid w:val="00A469C9"/>
    <w:rsid w:val="00A50476"/>
    <w:rsid w:val="00A57DFD"/>
    <w:rsid w:val="00A679F7"/>
    <w:rsid w:val="00A768D0"/>
    <w:rsid w:val="00A943E7"/>
    <w:rsid w:val="00AB0720"/>
    <w:rsid w:val="00AC7488"/>
    <w:rsid w:val="00AD2054"/>
    <w:rsid w:val="00AE656B"/>
    <w:rsid w:val="00B231EA"/>
    <w:rsid w:val="00B25B6C"/>
    <w:rsid w:val="00B663DF"/>
    <w:rsid w:val="00B92A4C"/>
    <w:rsid w:val="00BA6A67"/>
    <w:rsid w:val="00BC04A5"/>
    <w:rsid w:val="00BF4BD2"/>
    <w:rsid w:val="00C261F3"/>
    <w:rsid w:val="00C50071"/>
    <w:rsid w:val="00C63921"/>
    <w:rsid w:val="00C9613B"/>
    <w:rsid w:val="00CC1EFB"/>
    <w:rsid w:val="00CD1EDF"/>
    <w:rsid w:val="00CD3858"/>
    <w:rsid w:val="00CF5DA3"/>
    <w:rsid w:val="00DB2FA4"/>
    <w:rsid w:val="00DC64AA"/>
    <w:rsid w:val="00DD2FBA"/>
    <w:rsid w:val="00DF728E"/>
    <w:rsid w:val="00E13711"/>
    <w:rsid w:val="00E1601F"/>
    <w:rsid w:val="00E208A4"/>
    <w:rsid w:val="00E23351"/>
    <w:rsid w:val="00E335BD"/>
    <w:rsid w:val="00E403F9"/>
    <w:rsid w:val="00E4322C"/>
    <w:rsid w:val="00E5028A"/>
    <w:rsid w:val="00E63065"/>
    <w:rsid w:val="00E74A0C"/>
    <w:rsid w:val="00EC34C4"/>
    <w:rsid w:val="00ED1D51"/>
    <w:rsid w:val="00ED35BA"/>
    <w:rsid w:val="00ED38D7"/>
    <w:rsid w:val="00ED4514"/>
    <w:rsid w:val="00EE3236"/>
    <w:rsid w:val="00F0460D"/>
    <w:rsid w:val="00F34767"/>
    <w:rsid w:val="00F82429"/>
    <w:rsid w:val="00F96778"/>
    <w:rsid w:val="00FB09D2"/>
    <w:rsid w:val="00FC6955"/>
    <w:rsid w:val="00FD5E07"/>
    <w:rsid w:val="00FE5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FB11B"/>
  <w15:docId w15:val="{CC4A7BCF-5D18-49CD-8355-5CB07EDC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56"/>
    <w:pPr>
      <w:ind w:left="720"/>
      <w:contextualSpacing/>
    </w:pPr>
  </w:style>
  <w:style w:type="character" w:styleId="Hyperlink">
    <w:name w:val="Hyperlink"/>
    <w:basedOn w:val="DefaultParagraphFont"/>
    <w:uiPriority w:val="99"/>
    <w:unhideWhenUsed/>
    <w:rsid w:val="00475F94"/>
    <w:rPr>
      <w:color w:val="0563C1" w:themeColor="hyperlink"/>
      <w:u w:val="single"/>
    </w:rPr>
  </w:style>
  <w:style w:type="character" w:styleId="CommentReference">
    <w:name w:val="annotation reference"/>
    <w:basedOn w:val="DefaultParagraphFont"/>
    <w:uiPriority w:val="99"/>
    <w:semiHidden/>
    <w:unhideWhenUsed/>
    <w:rsid w:val="004E15A3"/>
    <w:rPr>
      <w:sz w:val="16"/>
      <w:szCs w:val="16"/>
    </w:rPr>
  </w:style>
  <w:style w:type="paragraph" w:styleId="CommentText">
    <w:name w:val="annotation text"/>
    <w:basedOn w:val="Normal"/>
    <w:link w:val="CommentTextChar"/>
    <w:uiPriority w:val="99"/>
    <w:semiHidden/>
    <w:unhideWhenUsed/>
    <w:rsid w:val="004E15A3"/>
    <w:pPr>
      <w:spacing w:line="240" w:lineRule="auto"/>
    </w:pPr>
    <w:rPr>
      <w:sz w:val="20"/>
      <w:szCs w:val="20"/>
    </w:rPr>
  </w:style>
  <w:style w:type="character" w:customStyle="1" w:styleId="CommentTextChar">
    <w:name w:val="Comment Text Char"/>
    <w:basedOn w:val="DefaultParagraphFont"/>
    <w:link w:val="CommentText"/>
    <w:uiPriority w:val="99"/>
    <w:semiHidden/>
    <w:rsid w:val="004E15A3"/>
    <w:rPr>
      <w:sz w:val="20"/>
      <w:szCs w:val="20"/>
    </w:rPr>
  </w:style>
  <w:style w:type="paragraph" w:styleId="CommentSubject">
    <w:name w:val="annotation subject"/>
    <w:basedOn w:val="CommentText"/>
    <w:next w:val="CommentText"/>
    <w:link w:val="CommentSubjectChar"/>
    <w:uiPriority w:val="99"/>
    <w:semiHidden/>
    <w:unhideWhenUsed/>
    <w:rsid w:val="004E15A3"/>
    <w:rPr>
      <w:b/>
      <w:bCs/>
    </w:rPr>
  </w:style>
  <w:style w:type="character" w:customStyle="1" w:styleId="CommentSubjectChar">
    <w:name w:val="Comment Subject Char"/>
    <w:basedOn w:val="CommentTextChar"/>
    <w:link w:val="CommentSubject"/>
    <w:uiPriority w:val="99"/>
    <w:semiHidden/>
    <w:rsid w:val="004E15A3"/>
    <w:rPr>
      <w:b/>
      <w:bCs/>
      <w:sz w:val="20"/>
      <w:szCs w:val="20"/>
    </w:rPr>
  </w:style>
  <w:style w:type="paragraph" w:styleId="BalloonText">
    <w:name w:val="Balloon Text"/>
    <w:basedOn w:val="Normal"/>
    <w:link w:val="BalloonTextChar"/>
    <w:uiPriority w:val="99"/>
    <w:semiHidden/>
    <w:unhideWhenUsed/>
    <w:rsid w:val="004E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A3"/>
    <w:rPr>
      <w:rFonts w:ascii="Segoe UI" w:hAnsi="Segoe UI" w:cs="Segoe UI"/>
      <w:sz w:val="18"/>
      <w:szCs w:val="18"/>
    </w:rPr>
  </w:style>
  <w:style w:type="paragraph" w:styleId="Footer">
    <w:name w:val="footer"/>
    <w:basedOn w:val="Normal"/>
    <w:link w:val="FooterChar"/>
    <w:uiPriority w:val="99"/>
    <w:semiHidden/>
    <w:unhideWhenUsed/>
    <w:rsid w:val="00E137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3711"/>
  </w:style>
  <w:style w:type="paragraph" w:styleId="Header">
    <w:name w:val="header"/>
    <w:basedOn w:val="Normal"/>
    <w:link w:val="HeaderChar"/>
    <w:uiPriority w:val="99"/>
    <w:unhideWhenUsed/>
    <w:rsid w:val="001F3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3818">
      <w:bodyDiv w:val="1"/>
      <w:marLeft w:val="0"/>
      <w:marRight w:val="0"/>
      <w:marTop w:val="0"/>
      <w:marBottom w:val="0"/>
      <w:divBdr>
        <w:top w:val="none" w:sz="0" w:space="0" w:color="auto"/>
        <w:left w:val="none" w:sz="0" w:space="0" w:color="auto"/>
        <w:bottom w:val="none" w:sz="0" w:space="0" w:color="auto"/>
        <w:right w:val="none" w:sz="0" w:space="0" w:color="auto"/>
      </w:divBdr>
    </w:div>
    <w:div w:id="639268366">
      <w:bodyDiv w:val="1"/>
      <w:marLeft w:val="0"/>
      <w:marRight w:val="0"/>
      <w:marTop w:val="0"/>
      <w:marBottom w:val="0"/>
      <w:divBdr>
        <w:top w:val="none" w:sz="0" w:space="0" w:color="auto"/>
        <w:left w:val="none" w:sz="0" w:space="0" w:color="auto"/>
        <w:bottom w:val="none" w:sz="0" w:space="0" w:color="auto"/>
        <w:right w:val="none" w:sz="0" w:space="0" w:color="auto"/>
      </w:divBdr>
    </w:div>
    <w:div w:id="11001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zotero.org/groups/emerge_network"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www.linkedin.com/groups?mostRecent=&amp;gid=5137057&amp;trk=myg_ugrp_di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was.org" TargetMode="External"/><Relationship Id="rId5" Type="http://schemas.openxmlformats.org/officeDocument/2006/relationships/footnotes" Target="footnotes.xml"/><Relationship Id="rId15" Type="http://schemas.openxmlformats.org/officeDocument/2006/relationships/hyperlink" Target="https://twitter.com/eMERGENetwork_" TargetMode="External"/><Relationship Id="rId10" Type="http://schemas.openxmlformats.org/officeDocument/2006/relationships/hyperlink" Target="http://emerge.mc.vanderbilt.edu/qf/private/Appendicitis-Harle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merge.mc.vanderbilt.edu/?page_id=150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Hardebeck, Adam</dc:creator>
  <cp:keywords/>
  <dc:description/>
  <cp:lastModifiedBy>Hardebeck, Adam</cp:lastModifiedBy>
  <cp:revision>4</cp:revision>
  <dcterms:created xsi:type="dcterms:W3CDTF">2015-08-05T18:10:00Z</dcterms:created>
  <dcterms:modified xsi:type="dcterms:W3CDTF">2015-08-05T21:15:00Z</dcterms:modified>
</cp:coreProperties>
</file>