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3F83" w14:textId="19CCA1FB" w:rsidR="00E13711" w:rsidRPr="00E13711" w:rsidRDefault="00E13711" w:rsidP="00E13711">
      <w:pPr>
        <w:spacing w:after="0"/>
        <w:jc w:val="center"/>
        <w:rPr>
          <w:rFonts w:ascii="Cambria" w:eastAsia="Times New Roman" w:hAnsi="Cambria" w:cs="Times New Roman"/>
          <w:b/>
          <w:sz w:val="32"/>
          <w:szCs w:val="32"/>
        </w:rPr>
      </w:pPr>
      <w:proofErr w:type="gramStart"/>
      <w:r w:rsidRPr="00E13711">
        <w:rPr>
          <w:rFonts w:ascii="Cambria" w:eastAsia="Times New Roman" w:hAnsi="Cambria" w:cs="Times New Roman"/>
          <w:b/>
          <w:sz w:val="32"/>
          <w:szCs w:val="32"/>
        </w:rPr>
        <w:t>eMERGE</w:t>
      </w:r>
      <w:proofErr w:type="gramEnd"/>
      <w:r w:rsidRPr="00E13711">
        <w:rPr>
          <w:rFonts w:ascii="Cambria" w:eastAsia="Times New Roman" w:hAnsi="Cambria" w:cs="Times New Roman"/>
          <w:b/>
          <w:sz w:val="32"/>
          <w:szCs w:val="32"/>
        </w:rPr>
        <w:t xml:space="preserve"> Network Steering Committee Meeting</w:t>
      </w:r>
    </w:p>
    <w:p w14:paraId="176C871E" w14:textId="0AB8D00C" w:rsidR="00E13711" w:rsidRPr="00E13711" w:rsidRDefault="00294C60" w:rsidP="00E13711">
      <w:pPr>
        <w:spacing w:after="0" w:line="240" w:lineRule="auto"/>
        <w:jc w:val="center"/>
        <w:rPr>
          <w:rFonts w:ascii="Cambria" w:eastAsia="Times New Roman" w:hAnsi="Cambria" w:cs="Times New Roman"/>
          <w:sz w:val="26"/>
          <w:szCs w:val="26"/>
        </w:rPr>
      </w:pPr>
      <w:r>
        <w:rPr>
          <w:rFonts w:ascii="Cambria" w:eastAsia="Times New Roman" w:hAnsi="Cambria" w:cs="Times New Roman"/>
          <w:sz w:val="26"/>
          <w:szCs w:val="26"/>
        </w:rPr>
        <w:t>September 17-18</w:t>
      </w:r>
      <w:r w:rsidR="00E13711" w:rsidRPr="00E13711">
        <w:rPr>
          <w:rFonts w:ascii="Cambria" w:eastAsia="Times New Roman" w:hAnsi="Cambria" w:cs="Times New Roman"/>
          <w:sz w:val="26"/>
          <w:szCs w:val="26"/>
        </w:rPr>
        <w:t>, 2015</w:t>
      </w:r>
    </w:p>
    <w:p w14:paraId="39884D8F" w14:textId="21BD0483" w:rsidR="00E13711" w:rsidRPr="00E13711" w:rsidRDefault="00294C60" w:rsidP="00E13711">
      <w:pPr>
        <w:spacing w:after="0" w:line="240" w:lineRule="auto"/>
        <w:jc w:val="center"/>
        <w:rPr>
          <w:rFonts w:ascii="Cambria" w:eastAsia="Times New Roman" w:hAnsi="Cambria" w:cs="Times New Roman"/>
          <w:sz w:val="26"/>
          <w:szCs w:val="26"/>
        </w:rPr>
      </w:pPr>
      <w:r>
        <w:rPr>
          <w:rFonts w:ascii="Cambria" w:eastAsia="Times New Roman" w:hAnsi="Cambria" w:cs="Times New Roman"/>
          <w:sz w:val="26"/>
          <w:szCs w:val="26"/>
        </w:rPr>
        <w:t>Bethesda, MD</w:t>
      </w:r>
    </w:p>
    <w:p w14:paraId="32033CAB" w14:textId="77777777" w:rsidR="00E13711" w:rsidRPr="00E13711" w:rsidRDefault="00E13711" w:rsidP="00E13711">
      <w:pPr>
        <w:spacing w:after="0" w:line="240" w:lineRule="auto"/>
        <w:rPr>
          <w:rFonts w:ascii="Cambria" w:eastAsia="Times New Roman" w:hAnsi="Cambria" w:cs="Times New Roman"/>
          <w:b/>
          <w:sz w:val="20"/>
          <w:szCs w:val="24"/>
        </w:rPr>
      </w:pPr>
    </w:p>
    <w:p w14:paraId="3D14419D" w14:textId="77777777" w:rsidR="00E13711" w:rsidRPr="00E13711" w:rsidRDefault="00E13711" w:rsidP="00E13711">
      <w:pPr>
        <w:pBdr>
          <w:top w:val="single" w:sz="8" w:space="0" w:color="auto"/>
          <w:left w:val="single" w:sz="8" w:space="4" w:color="auto"/>
          <w:bottom w:val="single" w:sz="8" w:space="1" w:color="auto"/>
          <w:right w:val="single" w:sz="8" w:space="4" w:color="auto"/>
        </w:pBdr>
        <w:spacing w:after="0" w:line="240" w:lineRule="auto"/>
        <w:rPr>
          <w:rFonts w:ascii="Cambria" w:eastAsia="Times New Roman" w:hAnsi="Cambria" w:cs="Times New Roman"/>
          <w:sz w:val="20"/>
        </w:rPr>
      </w:pPr>
      <w:r w:rsidRPr="00E13711">
        <w:rPr>
          <w:rFonts w:ascii="Cambria" w:eastAsia="Times New Roman" w:hAnsi="Cambria" w:cs="Times New Roman"/>
          <w:sz w:val="20"/>
        </w:rPr>
        <w:t>Attendance</w:t>
      </w:r>
    </w:p>
    <w:p w14:paraId="4D25F5A2" w14:textId="77777777" w:rsidR="00E13711" w:rsidRPr="00E13711" w:rsidRDefault="00E13711" w:rsidP="00E13711">
      <w:pPr>
        <w:spacing w:after="0" w:line="240" w:lineRule="auto"/>
        <w:rPr>
          <w:rFonts w:ascii="Times New Roman" w:eastAsia="Times New Roman" w:hAnsi="Times New Roman" w:cs="Times New Roman"/>
          <w:sz w:val="24"/>
          <w:szCs w:val="24"/>
          <w:highlight w:val="lightGray"/>
        </w:rPr>
      </w:pPr>
    </w:p>
    <w:p w14:paraId="444D1A46" w14:textId="77777777" w:rsidR="00E13711" w:rsidRPr="00E13711" w:rsidRDefault="00E13711" w:rsidP="00E13711">
      <w:pPr>
        <w:spacing w:after="0" w:line="240" w:lineRule="auto"/>
        <w:rPr>
          <w:rFonts w:ascii="Times New Roman" w:eastAsia="Times New Roman" w:hAnsi="Times New Roman" w:cs="Times New Roman"/>
          <w:sz w:val="24"/>
          <w:szCs w:val="24"/>
          <w:highlight w:val="lightGray"/>
        </w:rPr>
        <w:sectPr w:rsidR="00E13711" w:rsidRPr="00E13711" w:rsidSect="008A205B">
          <w:headerReference w:type="default" r:id="rId7"/>
          <w:footerReference w:type="default" r:id="rId8"/>
          <w:pgSz w:w="12240" w:h="15840"/>
          <w:pgMar w:top="270" w:right="720" w:bottom="360" w:left="720" w:header="720" w:footer="720" w:gutter="0"/>
          <w:cols w:space="720"/>
          <w:docGrid w:linePitch="360"/>
        </w:sectPr>
      </w:pPr>
    </w:p>
    <w:p w14:paraId="386127FC" w14:textId="77777777" w:rsidR="00E13711" w:rsidRPr="00E13711" w:rsidRDefault="00E13711" w:rsidP="00E13711">
      <w:pPr>
        <w:spacing w:after="0" w:line="240" w:lineRule="auto"/>
        <w:rPr>
          <w:rFonts w:ascii="Times New Roman" w:eastAsia="Times New Roman" w:hAnsi="Times New Roman" w:cs="Times New Roman"/>
          <w:sz w:val="18"/>
          <w:szCs w:val="18"/>
        </w:rPr>
      </w:pPr>
    </w:p>
    <w:p w14:paraId="0247BDAD" w14:textId="77777777" w:rsidR="00E13711" w:rsidRPr="00E13711" w:rsidRDefault="00E13711" w:rsidP="00E13711">
      <w:pPr>
        <w:spacing w:after="0" w:line="240" w:lineRule="auto"/>
        <w:rPr>
          <w:rFonts w:ascii="Times New Roman" w:eastAsia="Times New Roman" w:hAnsi="Times New Roman" w:cs="Times New Roman"/>
          <w:sz w:val="18"/>
          <w:szCs w:val="18"/>
        </w:rPr>
        <w:sectPr w:rsidR="00E13711" w:rsidRPr="00E13711" w:rsidSect="008A205B">
          <w:type w:val="continuous"/>
          <w:pgSz w:w="12240" w:h="15840"/>
          <w:pgMar w:top="720" w:right="720" w:bottom="720" w:left="720" w:header="720" w:footer="720" w:gutter="0"/>
          <w:cols w:num="2" w:space="720"/>
          <w:docGrid w:linePitch="360"/>
        </w:sectPr>
      </w:pPr>
    </w:p>
    <w:p w14:paraId="1155061B"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lastRenderedPageBreak/>
        <w:t>Baylor College of Medicine</w:t>
      </w:r>
      <w:r w:rsidRPr="00294C60">
        <w:rPr>
          <w:rFonts w:ascii="Cambria" w:eastAsia="Times New Roman" w:hAnsi="Cambria" w:cs="Times New Roman"/>
          <w:color w:val="404040"/>
          <w:sz w:val="18"/>
          <w:szCs w:val="18"/>
        </w:rPr>
        <w:tab/>
        <w:t>Matthew Bainbridge</w:t>
      </w:r>
    </w:p>
    <w:p w14:paraId="05D7FA40"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Baylor College of Medicine</w:t>
      </w:r>
      <w:r w:rsidRPr="00294C60">
        <w:rPr>
          <w:rFonts w:ascii="Cambria" w:eastAsia="Times New Roman" w:hAnsi="Cambria" w:cs="Times New Roman"/>
          <w:color w:val="404040"/>
          <w:sz w:val="18"/>
          <w:szCs w:val="18"/>
        </w:rPr>
        <w:tab/>
        <w:t>Richard Gibbs</w:t>
      </w:r>
    </w:p>
    <w:p w14:paraId="49A824D1"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52994F46"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Boston Children’s Hospital</w:t>
      </w:r>
      <w:r w:rsidRPr="00294C60">
        <w:rPr>
          <w:rFonts w:ascii="Cambria" w:eastAsia="Times New Roman" w:hAnsi="Cambria" w:cs="Times New Roman"/>
          <w:color w:val="404040"/>
          <w:sz w:val="18"/>
          <w:szCs w:val="18"/>
        </w:rPr>
        <w:tab/>
        <w:t>Ingrid Holm</w:t>
      </w:r>
    </w:p>
    <w:p w14:paraId="5E83191A"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6666F121"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CCHMC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Armand Antommaria</w:t>
      </w:r>
    </w:p>
    <w:p w14:paraId="163D7467"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 xml:space="preserve">CCHMC    </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Beth Cobb</w:t>
      </w:r>
    </w:p>
    <w:p w14:paraId="4EA75F18"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CCHMC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John Harley</w:t>
      </w:r>
    </w:p>
    <w:p w14:paraId="05F80718"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CCHMC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Todd Lingren</w:t>
      </w:r>
    </w:p>
    <w:p w14:paraId="1734E25D"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CCHMC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 xml:space="preserve">Bahram </w:t>
      </w:r>
      <w:proofErr w:type="spellStart"/>
      <w:r w:rsidRPr="00294C60">
        <w:rPr>
          <w:rFonts w:ascii="Cambria" w:eastAsia="Times New Roman" w:hAnsi="Cambria" w:cs="Times New Roman"/>
          <w:color w:val="404040"/>
          <w:sz w:val="18"/>
          <w:szCs w:val="18"/>
        </w:rPr>
        <w:t>Namjou</w:t>
      </w:r>
      <w:proofErr w:type="spellEnd"/>
    </w:p>
    <w:p w14:paraId="62DCB791"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CCHMC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Cassandra Perry</w:t>
      </w:r>
    </w:p>
    <w:p w14:paraId="487B0ED7"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CCHMC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Cindy Prows</w:t>
      </w:r>
    </w:p>
    <w:p w14:paraId="33F52DCA"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5FEA767F"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CHOP</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Berta Castillo</w:t>
      </w:r>
    </w:p>
    <w:p w14:paraId="40D0D75B"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CHOP</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John Connolly</w:t>
      </w:r>
    </w:p>
    <w:p w14:paraId="26E28325"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CHOP</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Hakon Hakonarson</w:t>
      </w:r>
    </w:p>
    <w:p w14:paraId="5ACDE80C"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CHOP/</w:t>
      </w:r>
      <w:proofErr w:type="spellStart"/>
      <w:r w:rsidRPr="00294C60">
        <w:rPr>
          <w:rFonts w:ascii="Cambria" w:eastAsia="Times New Roman" w:hAnsi="Cambria" w:cs="Times New Roman"/>
          <w:color w:val="404040"/>
          <w:sz w:val="18"/>
          <w:szCs w:val="18"/>
        </w:rPr>
        <w:t>UPenn</w:t>
      </w:r>
      <w:proofErr w:type="spellEnd"/>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Brendan Keating</w:t>
      </w:r>
    </w:p>
    <w:p w14:paraId="284C0ABF"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CHOP</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Michael March</w:t>
      </w:r>
    </w:p>
    <w:p w14:paraId="08451AEE"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CHOP</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 xml:space="preserve">Frank </w:t>
      </w:r>
      <w:proofErr w:type="spellStart"/>
      <w:r w:rsidRPr="00294C60">
        <w:rPr>
          <w:rFonts w:ascii="Cambria" w:eastAsia="Times New Roman" w:hAnsi="Cambria" w:cs="Times New Roman"/>
          <w:color w:val="404040"/>
          <w:sz w:val="18"/>
          <w:szCs w:val="18"/>
        </w:rPr>
        <w:t>Mentch</w:t>
      </w:r>
      <w:proofErr w:type="spellEnd"/>
    </w:p>
    <w:p w14:paraId="5E26D242"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CHOP</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Patrick Sleiman</w:t>
      </w:r>
    </w:p>
    <w:p w14:paraId="125D17DA"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1868D2ED"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Columbia</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Wendy Chung</w:t>
      </w:r>
    </w:p>
    <w:p w14:paraId="08708194"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Columbia</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George Hripcsak</w:t>
      </w:r>
    </w:p>
    <w:p w14:paraId="5F27B613"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Columbia</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Ali Gharavi</w:t>
      </w:r>
    </w:p>
    <w:p w14:paraId="1180D04C"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Columbia</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Ning (Sunny) Shang</w:t>
      </w:r>
    </w:p>
    <w:p w14:paraId="15C39B79"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Columbia</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Chunhua Weng</w:t>
      </w:r>
    </w:p>
    <w:p w14:paraId="0C303CB7"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3195DE18"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Lindsay Bailey</w:t>
      </w:r>
    </w:p>
    <w:p w14:paraId="5D761F99"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 xml:space="preserve">                                    David Carey</w:t>
      </w:r>
    </w:p>
    <w:p w14:paraId="17A72B78"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Dan Davis</w:t>
      </w:r>
    </w:p>
    <w:p w14:paraId="033B49E1"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 xml:space="preserve">Alanna </w:t>
      </w:r>
      <w:proofErr w:type="spellStart"/>
      <w:r w:rsidRPr="00294C60">
        <w:rPr>
          <w:rFonts w:ascii="Cambria" w:eastAsia="Times New Roman" w:hAnsi="Cambria" w:cs="Times New Roman"/>
          <w:color w:val="404040"/>
          <w:sz w:val="18"/>
          <w:szCs w:val="18"/>
        </w:rPr>
        <w:t>Kulchak</w:t>
      </w:r>
      <w:proofErr w:type="spellEnd"/>
      <w:r w:rsidRPr="00294C60">
        <w:rPr>
          <w:rFonts w:ascii="Cambria" w:eastAsia="Times New Roman" w:hAnsi="Cambria" w:cs="Times New Roman"/>
          <w:color w:val="404040"/>
          <w:sz w:val="18"/>
          <w:szCs w:val="18"/>
        </w:rPr>
        <w:t xml:space="preserve"> Rahm</w:t>
      </w:r>
    </w:p>
    <w:p w14:paraId="148DE175"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Joseph Leader</w:t>
      </w:r>
    </w:p>
    <w:p w14:paraId="220EF922"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 xml:space="preserve">Raghu </w:t>
      </w:r>
      <w:proofErr w:type="spellStart"/>
      <w:r w:rsidRPr="00294C60">
        <w:rPr>
          <w:rFonts w:ascii="Cambria" w:eastAsia="Times New Roman" w:hAnsi="Cambria" w:cs="Times New Roman"/>
          <w:color w:val="404040"/>
          <w:sz w:val="18"/>
          <w:szCs w:val="18"/>
        </w:rPr>
        <w:t>Metpally</w:t>
      </w:r>
      <w:proofErr w:type="spellEnd"/>
    </w:p>
    <w:p w14:paraId="33785D9A"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/U of Maryland</w:t>
      </w:r>
      <w:r w:rsidRPr="00294C60">
        <w:rPr>
          <w:rFonts w:ascii="Cambria" w:eastAsia="Times New Roman" w:hAnsi="Cambria" w:cs="Times New Roman"/>
          <w:color w:val="404040"/>
          <w:sz w:val="18"/>
          <w:szCs w:val="18"/>
        </w:rPr>
        <w:tab/>
        <w:t>Casey Overby</w:t>
      </w:r>
    </w:p>
    <w:p w14:paraId="2BABA507"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/PSU</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Sarah Pendergrass</w:t>
      </w:r>
    </w:p>
    <w:p w14:paraId="72E6CD57"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/PSU</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Marylyn Ritchie</w:t>
      </w:r>
    </w:p>
    <w:p w14:paraId="1B606D9B"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Diane Smelser</w:t>
      </w:r>
    </w:p>
    <w:p w14:paraId="5D599578"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Susan Snyder</w:t>
      </w:r>
    </w:p>
    <w:p w14:paraId="50C80558"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Janet Williams</w:t>
      </w:r>
    </w:p>
    <w:p w14:paraId="2481D843" w14:textId="77777777" w:rsidR="00294C60" w:rsidRPr="00294C60" w:rsidRDefault="00294C60" w:rsidP="00294C60">
      <w:pPr>
        <w:spacing w:after="0" w:line="240" w:lineRule="auto"/>
        <w:rPr>
          <w:rFonts w:ascii="Cambria" w:eastAsia="Times New Roman" w:hAnsi="Cambria" w:cs="Times New Roman"/>
          <w:color w:val="404040"/>
          <w:sz w:val="18"/>
          <w:szCs w:val="18"/>
        </w:rPr>
      </w:pPr>
      <w:proofErr w:type="spellStart"/>
      <w:r w:rsidRPr="00294C60">
        <w:rPr>
          <w:rFonts w:ascii="Cambria" w:eastAsia="Times New Roman" w:hAnsi="Cambria" w:cs="Times New Roman"/>
          <w:color w:val="404040"/>
          <w:sz w:val="18"/>
          <w:szCs w:val="18"/>
        </w:rPr>
        <w:t>Geisinger</w:t>
      </w:r>
      <w:proofErr w:type="spellEnd"/>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Marc Williams</w:t>
      </w:r>
    </w:p>
    <w:p w14:paraId="24524D45"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046B1C1F"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GH/UW</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David Carrell</w:t>
      </w:r>
    </w:p>
    <w:p w14:paraId="1C2292C0"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GH/UW</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David Crosslin</w:t>
      </w:r>
    </w:p>
    <w:p w14:paraId="7564A025"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GH/UW</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Adam Gordon</w:t>
      </w:r>
    </w:p>
    <w:p w14:paraId="3060A7D3"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GH/UW</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Andrea Hartzler</w:t>
      </w:r>
    </w:p>
    <w:p w14:paraId="07131136"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GH/UW</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Eric Larson</w:t>
      </w:r>
    </w:p>
    <w:p w14:paraId="01880A01"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GH/UW</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Dave Veenstra</w:t>
      </w:r>
    </w:p>
    <w:p w14:paraId="5AF4837B"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7164EB96"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Harvard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Sandy Aronson</w:t>
      </w:r>
    </w:p>
    <w:p w14:paraId="47AEBFFE"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Harvard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Emma Davenport</w:t>
      </w:r>
    </w:p>
    <w:p w14:paraId="16085FB3"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Harvard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Robert Green</w:t>
      </w:r>
    </w:p>
    <w:p w14:paraId="5A4C0322"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Harvard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Maggie Helm</w:t>
      </w:r>
    </w:p>
    <w:p w14:paraId="31211687"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Harvard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Elizabeth Karlson</w:t>
      </w:r>
    </w:p>
    <w:p w14:paraId="5D6A1773"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Harvard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proofErr w:type="spellStart"/>
      <w:r w:rsidRPr="00294C60">
        <w:rPr>
          <w:rFonts w:ascii="Cambria" w:eastAsia="Times New Roman" w:hAnsi="Cambria" w:cs="Times New Roman"/>
          <w:color w:val="404040"/>
          <w:sz w:val="18"/>
          <w:szCs w:val="18"/>
        </w:rPr>
        <w:t>Sekar</w:t>
      </w:r>
      <w:proofErr w:type="spellEnd"/>
      <w:r w:rsidRPr="00294C60">
        <w:rPr>
          <w:rFonts w:ascii="Cambria" w:eastAsia="Times New Roman" w:hAnsi="Cambria" w:cs="Times New Roman"/>
          <w:color w:val="404040"/>
          <w:sz w:val="18"/>
          <w:szCs w:val="18"/>
        </w:rPr>
        <w:t xml:space="preserve"> Kathiresan</w:t>
      </w:r>
    </w:p>
    <w:p w14:paraId="4A1291E2"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Harvard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Shawn Murphy</w:t>
      </w:r>
    </w:p>
    <w:p w14:paraId="457375A6"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Harvard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Jordan Smoller</w:t>
      </w:r>
    </w:p>
    <w:p w14:paraId="79754661"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lastRenderedPageBreak/>
        <w:t>Harvard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Scott Weiss</w:t>
      </w:r>
    </w:p>
    <w:p w14:paraId="2319F8B7"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36675986"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Mariza de Andrade</w:t>
      </w:r>
    </w:p>
    <w:p w14:paraId="35E249BD"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Adelaide Arruda-Olson</w:t>
      </w:r>
    </w:p>
    <w:p w14:paraId="4533AC41"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Suzette Bielinski</w:t>
      </w:r>
    </w:p>
    <w:p w14:paraId="6A641639"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Mayo/JHU</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Chris Chute</w:t>
      </w:r>
    </w:p>
    <w:p w14:paraId="1CB57608"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Robert Freimuth</w:t>
      </w:r>
    </w:p>
    <w:p w14:paraId="787DC4E7"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Iftikhar Kullo</w:t>
      </w:r>
    </w:p>
    <w:p w14:paraId="0BF7D45F"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proofErr w:type="spellStart"/>
      <w:r w:rsidRPr="00294C60">
        <w:rPr>
          <w:rFonts w:ascii="Cambria" w:eastAsia="Times New Roman" w:hAnsi="Cambria" w:cs="Times New Roman"/>
          <w:color w:val="404040"/>
          <w:sz w:val="18"/>
          <w:szCs w:val="18"/>
        </w:rPr>
        <w:t>Hongfang</w:t>
      </w:r>
      <w:proofErr w:type="spellEnd"/>
      <w:r w:rsidRPr="00294C60">
        <w:rPr>
          <w:rFonts w:ascii="Cambria" w:eastAsia="Times New Roman" w:hAnsi="Cambria" w:cs="Times New Roman"/>
          <w:color w:val="404040"/>
          <w:sz w:val="18"/>
          <w:szCs w:val="18"/>
        </w:rPr>
        <w:t xml:space="preserve"> Liu</w:t>
      </w:r>
    </w:p>
    <w:p w14:paraId="3D9AFD21"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Jennifer McCormick</w:t>
      </w:r>
    </w:p>
    <w:p w14:paraId="7DEDB2CD"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Mayo/Cornell</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Jyoti Pathak</w:t>
      </w:r>
    </w:p>
    <w:p w14:paraId="22F15E2E"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Richard Sharp</w:t>
      </w:r>
    </w:p>
    <w:p w14:paraId="20B6E05B"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Mayo</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Stephen Thibodeau</w:t>
      </w:r>
    </w:p>
    <w:p w14:paraId="22C9CE24"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32F5EEB4"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Mt. Sinai</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 xml:space="preserve">Aniwaa </w:t>
      </w:r>
      <w:proofErr w:type="spellStart"/>
      <w:r w:rsidRPr="00294C60">
        <w:rPr>
          <w:rFonts w:ascii="Cambria" w:eastAsia="Times New Roman" w:hAnsi="Cambria" w:cs="Times New Roman"/>
          <w:color w:val="404040"/>
          <w:sz w:val="18"/>
          <w:szCs w:val="18"/>
        </w:rPr>
        <w:t>Owusu</w:t>
      </w:r>
      <w:proofErr w:type="spellEnd"/>
      <w:r w:rsidRPr="00294C60">
        <w:rPr>
          <w:rFonts w:ascii="Cambria" w:eastAsia="Times New Roman" w:hAnsi="Cambria" w:cs="Times New Roman"/>
          <w:color w:val="404040"/>
          <w:sz w:val="18"/>
          <w:szCs w:val="18"/>
        </w:rPr>
        <w:t xml:space="preserve"> </w:t>
      </w:r>
      <w:proofErr w:type="spellStart"/>
      <w:r w:rsidRPr="00294C60">
        <w:rPr>
          <w:rFonts w:ascii="Cambria" w:eastAsia="Times New Roman" w:hAnsi="Cambria" w:cs="Times New Roman"/>
          <w:color w:val="404040"/>
          <w:sz w:val="18"/>
          <w:szCs w:val="18"/>
        </w:rPr>
        <w:t>Obeng</w:t>
      </w:r>
      <w:proofErr w:type="spellEnd"/>
    </w:p>
    <w:p w14:paraId="1FD34F00"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088A8427"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Northwestern</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Rex Chisholm</w:t>
      </w:r>
    </w:p>
    <w:p w14:paraId="44FC74C7"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Northwestern</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Geoff Hayes</w:t>
      </w:r>
    </w:p>
    <w:p w14:paraId="2418E15E"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Northwestern</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Laura Rasmussen-Torvik</w:t>
      </w:r>
    </w:p>
    <w:p w14:paraId="698A9C47"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Northwestern</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Megan Roy-Puckelwartz</w:t>
      </w:r>
    </w:p>
    <w:p w14:paraId="059A346D"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Northwestern</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Maureen Smith</w:t>
      </w:r>
    </w:p>
    <w:p w14:paraId="07D9EAE7"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Northwestern</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Justin Starren</w:t>
      </w:r>
    </w:p>
    <w:p w14:paraId="4E156753"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2629B8F7" w14:textId="0E916D72"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Partners/Broad</w:t>
      </w:r>
      <w:r w:rsidR="009F5A4E">
        <w:rPr>
          <w:rFonts w:ascii="Cambria" w:eastAsia="Times New Roman" w:hAnsi="Cambria" w:cs="Times New Roman"/>
          <w:color w:val="404040"/>
          <w:sz w:val="18"/>
          <w:szCs w:val="18"/>
        </w:rPr>
        <w:t>/Harvard</w:t>
      </w:r>
      <w:r w:rsidRPr="00294C60">
        <w:rPr>
          <w:rFonts w:ascii="Cambria" w:eastAsia="Times New Roman" w:hAnsi="Cambria" w:cs="Times New Roman"/>
          <w:color w:val="404040"/>
          <w:sz w:val="18"/>
          <w:szCs w:val="18"/>
        </w:rPr>
        <w:tab/>
        <w:t>Birgit Funke</w:t>
      </w:r>
    </w:p>
    <w:p w14:paraId="29A99F18" w14:textId="1E5B2883"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Partners/Broad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Stacey Gabriel</w:t>
      </w:r>
    </w:p>
    <w:p w14:paraId="6B491A82"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Partners/Broad</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Niall Lennon</w:t>
      </w:r>
    </w:p>
    <w:p w14:paraId="6E8ACF4E" w14:textId="7C206F39"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Partners/Broad</w:t>
      </w:r>
      <w:r w:rsidR="009F5A4E">
        <w:rPr>
          <w:rFonts w:ascii="Cambria" w:eastAsia="Times New Roman" w:hAnsi="Cambria" w:cs="Times New Roman"/>
          <w:color w:val="404040"/>
          <w:sz w:val="18"/>
          <w:szCs w:val="18"/>
        </w:rPr>
        <w:t>/Harvard</w:t>
      </w:r>
      <w:r w:rsidRPr="00294C60">
        <w:rPr>
          <w:rFonts w:ascii="Cambria" w:eastAsia="Times New Roman" w:hAnsi="Cambria" w:cs="Times New Roman"/>
          <w:color w:val="404040"/>
          <w:sz w:val="18"/>
          <w:szCs w:val="18"/>
        </w:rPr>
        <w:tab/>
        <w:t>Heidi Rehm</w:t>
      </w:r>
    </w:p>
    <w:p w14:paraId="5E3FDAB2"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52B5C624"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NHGRI</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Jyoti Gupta</w:t>
      </w:r>
    </w:p>
    <w:p w14:paraId="227F2700"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NHGRI</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Dave Kaufman</w:t>
      </w:r>
    </w:p>
    <w:p w14:paraId="0307EF44"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NHGRI</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Rongling Li</w:t>
      </w:r>
    </w:p>
    <w:p w14:paraId="6272A305"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NHGRI</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Teri Manolio</w:t>
      </w:r>
    </w:p>
    <w:p w14:paraId="62E4F42C"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NHGRI</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Ken Wiley</w:t>
      </w:r>
    </w:p>
    <w:p w14:paraId="04782869"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NHGRI</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Kira Wong</w:t>
      </w:r>
    </w:p>
    <w:p w14:paraId="10B2F141"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3BDE0B6D"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Vanderbilt</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Ellen Clayton</w:t>
      </w:r>
    </w:p>
    <w:p w14:paraId="50693302"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Vanderbilt</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Nancy Cox</w:t>
      </w:r>
    </w:p>
    <w:p w14:paraId="6ED6A878"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Vanderbilt/CC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Josh Denny</w:t>
      </w:r>
    </w:p>
    <w:p w14:paraId="3C09EE24"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Vanderbilt</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Todd Edwards</w:t>
      </w:r>
    </w:p>
    <w:p w14:paraId="6401C04E"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Vanderbilt</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Tracy McGregor</w:t>
      </w:r>
    </w:p>
    <w:p w14:paraId="323B5963"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Vanderbilt</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Josh Peterson</w:t>
      </w:r>
    </w:p>
    <w:p w14:paraId="29E0F7C5"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Vanderbilt</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Dan Roden</w:t>
      </w:r>
    </w:p>
    <w:p w14:paraId="720504A2" w14:textId="458FB9EE" w:rsidR="009B4A87" w:rsidRDefault="009B4A87" w:rsidP="00294C60">
      <w:pPr>
        <w:spacing w:after="0" w:line="240" w:lineRule="auto"/>
        <w:rPr>
          <w:rFonts w:ascii="Cambria" w:eastAsia="Times New Roman" w:hAnsi="Cambria" w:cs="Times New Roman"/>
          <w:color w:val="404040"/>
          <w:sz w:val="18"/>
          <w:szCs w:val="18"/>
        </w:rPr>
      </w:pPr>
      <w:r>
        <w:rPr>
          <w:rFonts w:ascii="Cambria" w:eastAsia="Times New Roman" w:hAnsi="Cambria" w:cs="Times New Roman"/>
          <w:color w:val="404040"/>
          <w:sz w:val="18"/>
          <w:szCs w:val="18"/>
        </w:rPr>
        <w:t>Vanderbilt</w:t>
      </w:r>
      <w:r>
        <w:rPr>
          <w:rFonts w:ascii="Cambria" w:eastAsia="Times New Roman" w:hAnsi="Cambria" w:cs="Times New Roman"/>
          <w:color w:val="404040"/>
          <w:sz w:val="18"/>
          <w:szCs w:val="18"/>
        </w:rPr>
        <w:tab/>
      </w:r>
      <w:r>
        <w:rPr>
          <w:rFonts w:ascii="Cambria" w:eastAsia="Times New Roman" w:hAnsi="Cambria" w:cs="Times New Roman"/>
          <w:color w:val="404040"/>
          <w:sz w:val="18"/>
          <w:szCs w:val="18"/>
        </w:rPr>
        <w:tab/>
        <w:t>Martha Shrubsole</w:t>
      </w:r>
    </w:p>
    <w:p w14:paraId="368DFB03"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Vanderbilt/CC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Sarah Stallings</w:t>
      </w:r>
    </w:p>
    <w:p w14:paraId="7FE36FA3"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Vanderbilt</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Georgia Wiesner</w:t>
      </w:r>
    </w:p>
    <w:p w14:paraId="533EC057" w14:textId="77777777" w:rsidR="00294C60" w:rsidRPr="00294C60" w:rsidRDefault="00294C60" w:rsidP="00294C60">
      <w:pPr>
        <w:spacing w:after="0" w:line="240" w:lineRule="auto"/>
        <w:rPr>
          <w:rFonts w:ascii="Cambria" w:eastAsia="Times New Roman" w:hAnsi="Cambria" w:cs="Times New Roman"/>
          <w:color w:val="404040"/>
          <w:sz w:val="18"/>
          <w:szCs w:val="18"/>
        </w:rPr>
      </w:pPr>
    </w:p>
    <w:p w14:paraId="2965BAD3"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Melissa Basford</w:t>
      </w:r>
    </w:p>
    <w:p w14:paraId="3EBCF5BD" w14:textId="77777777" w:rsidR="00294C60" w:rsidRP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Adam Hardebeck</w:t>
      </w:r>
    </w:p>
    <w:p w14:paraId="722C1944" w14:textId="77777777" w:rsidR="00294C60" w:rsidRDefault="00294C60" w:rsidP="00294C60">
      <w:pPr>
        <w:spacing w:after="0" w:line="240" w:lineRule="auto"/>
        <w:rPr>
          <w:rFonts w:ascii="Cambria" w:eastAsia="Times New Roman" w:hAnsi="Cambria" w:cs="Times New Roman"/>
          <w:color w:val="404040"/>
          <w:sz w:val="18"/>
          <w:szCs w:val="18"/>
        </w:rPr>
      </w:pPr>
      <w:r w:rsidRPr="00294C60">
        <w:rPr>
          <w:rFonts w:ascii="Cambria" w:eastAsia="Times New Roman" w:hAnsi="Cambria" w:cs="Times New Roman"/>
          <w:color w:val="404040"/>
          <w:sz w:val="18"/>
          <w:szCs w:val="18"/>
        </w:rPr>
        <w:t>CC</w:t>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r>
      <w:r w:rsidRPr="00294C60">
        <w:rPr>
          <w:rFonts w:ascii="Cambria" w:eastAsia="Times New Roman" w:hAnsi="Cambria" w:cs="Times New Roman"/>
          <w:color w:val="404040"/>
          <w:sz w:val="18"/>
          <w:szCs w:val="18"/>
        </w:rPr>
        <w:tab/>
        <w:t>Paul Harris</w:t>
      </w:r>
    </w:p>
    <w:p w14:paraId="03B3DE9A" w14:textId="266F6688" w:rsidR="009F5A4E" w:rsidRPr="00294C60" w:rsidRDefault="009F5A4E" w:rsidP="00294C60">
      <w:pPr>
        <w:spacing w:after="0" w:line="240" w:lineRule="auto"/>
        <w:rPr>
          <w:rFonts w:ascii="Cambria" w:eastAsia="Times New Roman" w:hAnsi="Cambria" w:cs="Times New Roman"/>
          <w:color w:val="404040"/>
          <w:sz w:val="18"/>
          <w:szCs w:val="18"/>
        </w:rPr>
      </w:pPr>
      <w:r>
        <w:rPr>
          <w:rFonts w:ascii="Cambria" w:eastAsia="Times New Roman" w:hAnsi="Cambria" w:cs="Times New Roman"/>
          <w:color w:val="404040"/>
          <w:sz w:val="18"/>
          <w:szCs w:val="18"/>
        </w:rPr>
        <w:t>CC</w:t>
      </w:r>
      <w:r>
        <w:rPr>
          <w:rFonts w:ascii="Cambria" w:eastAsia="Times New Roman" w:hAnsi="Cambria" w:cs="Times New Roman"/>
          <w:color w:val="404040"/>
          <w:sz w:val="18"/>
          <w:szCs w:val="18"/>
        </w:rPr>
        <w:tab/>
      </w:r>
      <w:r>
        <w:rPr>
          <w:rFonts w:ascii="Cambria" w:eastAsia="Times New Roman" w:hAnsi="Cambria" w:cs="Times New Roman"/>
          <w:color w:val="404040"/>
          <w:sz w:val="18"/>
          <w:szCs w:val="18"/>
        </w:rPr>
        <w:tab/>
      </w:r>
      <w:r>
        <w:rPr>
          <w:rFonts w:ascii="Cambria" w:eastAsia="Times New Roman" w:hAnsi="Cambria" w:cs="Times New Roman"/>
          <w:color w:val="404040"/>
          <w:sz w:val="18"/>
          <w:szCs w:val="18"/>
        </w:rPr>
        <w:tab/>
        <w:t>Jacqueline Kirby</w:t>
      </w:r>
    </w:p>
    <w:p w14:paraId="1A99885B" w14:textId="144208AC" w:rsidR="00294C60" w:rsidRPr="00294C60" w:rsidRDefault="009B4A87" w:rsidP="00294C60">
      <w:pPr>
        <w:spacing w:after="0" w:line="240" w:lineRule="auto"/>
        <w:rPr>
          <w:rFonts w:ascii="Cambria" w:eastAsia="Times New Roman" w:hAnsi="Cambria" w:cs="Times New Roman"/>
          <w:color w:val="404040"/>
          <w:sz w:val="18"/>
          <w:szCs w:val="18"/>
        </w:rPr>
        <w:sectPr w:rsidR="00294C60" w:rsidRPr="00294C60" w:rsidSect="00074D3F">
          <w:type w:val="continuous"/>
          <w:pgSz w:w="12240" w:h="15840"/>
          <w:pgMar w:top="720" w:right="720" w:bottom="270" w:left="720" w:header="720" w:footer="720" w:gutter="0"/>
          <w:cols w:num="2" w:space="720"/>
          <w:docGrid w:linePitch="360"/>
        </w:sectPr>
      </w:pPr>
      <w:r>
        <w:rPr>
          <w:rFonts w:ascii="Cambria" w:eastAsia="Times New Roman" w:hAnsi="Cambria" w:cs="Times New Roman"/>
          <w:color w:val="404040"/>
          <w:sz w:val="18"/>
          <w:szCs w:val="18"/>
        </w:rPr>
        <w:t>CC/Vanderbilt</w:t>
      </w:r>
      <w:r>
        <w:rPr>
          <w:rFonts w:ascii="Cambria" w:eastAsia="Times New Roman" w:hAnsi="Cambria" w:cs="Times New Roman"/>
          <w:color w:val="404040"/>
          <w:sz w:val="18"/>
          <w:szCs w:val="18"/>
        </w:rPr>
        <w:tab/>
      </w:r>
      <w:r>
        <w:rPr>
          <w:rFonts w:ascii="Cambria" w:eastAsia="Times New Roman" w:hAnsi="Cambria" w:cs="Times New Roman"/>
          <w:color w:val="404040"/>
          <w:sz w:val="18"/>
          <w:szCs w:val="18"/>
        </w:rPr>
        <w:tab/>
        <w:t>Bradley Malin</w:t>
      </w:r>
    </w:p>
    <w:tbl>
      <w:tblPr>
        <w:tblW w:w="11179" w:type="dxa"/>
        <w:tblInd w:w="-900" w:type="dxa"/>
        <w:tblCellMar>
          <w:left w:w="0" w:type="dxa"/>
          <w:right w:w="0" w:type="dxa"/>
        </w:tblCellMar>
        <w:tblLook w:val="04A0" w:firstRow="1" w:lastRow="0" w:firstColumn="1" w:lastColumn="0" w:noHBand="0" w:noVBand="1"/>
      </w:tblPr>
      <w:tblGrid>
        <w:gridCol w:w="11179"/>
      </w:tblGrid>
      <w:tr w:rsidR="00B25B6C" w:rsidRPr="00B25B6C" w14:paraId="24EB00E8" w14:textId="77777777" w:rsidTr="008A205B">
        <w:trPr>
          <w:trHeight w:val="1210"/>
        </w:trPr>
        <w:tc>
          <w:tcPr>
            <w:tcW w:w="11179" w:type="dxa"/>
            <w:tcBorders>
              <w:top w:val="double" w:sz="4" w:space="0" w:color="auto"/>
              <w:bottom w:val="double" w:sz="4" w:space="0" w:color="auto"/>
            </w:tcBorders>
            <w:shd w:val="clear" w:color="auto" w:fill="auto"/>
            <w:tcMar>
              <w:top w:w="29" w:type="dxa"/>
              <w:left w:w="29" w:type="dxa"/>
              <w:bottom w:w="29" w:type="dxa"/>
              <w:right w:w="29" w:type="dxa"/>
            </w:tcMar>
          </w:tcPr>
          <w:p w14:paraId="059E4C8A" w14:textId="054DC6EE" w:rsidR="00B25B6C" w:rsidRPr="00B25B6C" w:rsidRDefault="00B25B6C" w:rsidP="00294C60">
            <w:pPr>
              <w:spacing w:before="120" w:after="120" w:line="276" w:lineRule="auto"/>
              <w:jc w:val="center"/>
              <w:rPr>
                <w:rFonts w:ascii="Calibri" w:eastAsia="Calibri" w:hAnsi="Calibri" w:cs="Times New Roman"/>
                <w:color w:val="0000FF"/>
                <w:sz w:val="26"/>
                <w:szCs w:val="26"/>
                <w:u w:val="single"/>
              </w:rPr>
            </w:pPr>
            <w:r w:rsidRPr="00B25B6C">
              <w:rPr>
                <w:rFonts w:ascii="Cambria" w:eastAsia="Calibri" w:hAnsi="Cambria" w:cs="Times New Roman"/>
                <w:b/>
                <w:sz w:val="32"/>
                <w:szCs w:val="32"/>
              </w:rPr>
              <w:lastRenderedPageBreak/>
              <w:t>eMERGE Network</w:t>
            </w:r>
            <w:r w:rsidRPr="00B25B6C">
              <w:rPr>
                <w:rFonts w:ascii="Cambria" w:eastAsia="Calibri" w:hAnsi="Cambria" w:cs="Times New Roman"/>
                <w:sz w:val="26"/>
                <w:szCs w:val="26"/>
              </w:rPr>
              <w:br/>
            </w:r>
            <w:r w:rsidRPr="00B25B6C">
              <w:rPr>
                <w:rFonts w:ascii="Cambria" w:eastAsia="Calibri" w:hAnsi="Cambria" w:cs="Times New Roman"/>
                <w:b/>
                <w:bCs/>
                <w:i/>
                <w:sz w:val="28"/>
                <w:szCs w:val="26"/>
              </w:rPr>
              <w:t>Summary of the eMERGE Steering Committee</w:t>
            </w:r>
            <w:r w:rsidRPr="00B25B6C">
              <w:rPr>
                <w:rFonts w:ascii="Cambria" w:eastAsia="Calibri" w:hAnsi="Cambria" w:cs="Times New Roman"/>
                <w:sz w:val="28"/>
                <w:szCs w:val="26"/>
              </w:rPr>
              <w:br/>
            </w:r>
            <w:r w:rsidR="00294C60">
              <w:rPr>
                <w:rFonts w:ascii="Cambria" w:eastAsia="Calibri" w:hAnsi="Cambria" w:cs="Times New Roman"/>
                <w:sz w:val="26"/>
                <w:szCs w:val="26"/>
              </w:rPr>
              <w:t>September 17-18</w:t>
            </w:r>
            <w:r w:rsidR="00294C60" w:rsidRPr="00294C60">
              <w:rPr>
                <w:rFonts w:ascii="Cambria" w:eastAsia="Calibri" w:hAnsi="Cambria" w:cs="Times New Roman"/>
                <w:sz w:val="26"/>
                <w:szCs w:val="26"/>
                <w:vertAlign w:val="superscript"/>
              </w:rPr>
              <w:t>th</w:t>
            </w:r>
            <w:r w:rsidR="004E15A3">
              <w:rPr>
                <w:rFonts w:ascii="Cambria" w:eastAsia="Calibri" w:hAnsi="Cambria" w:cs="Times New Roman"/>
                <w:sz w:val="26"/>
                <w:szCs w:val="26"/>
              </w:rPr>
              <w:t>, 2015</w:t>
            </w:r>
            <w:r w:rsidRPr="00B25B6C">
              <w:rPr>
                <w:rFonts w:ascii="Cambria" w:eastAsia="Calibri" w:hAnsi="Cambria" w:cs="Times New Roman"/>
                <w:sz w:val="26"/>
                <w:szCs w:val="26"/>
              </w:rPr>
              <w:t xml:space="preserve">; </w:t>
            </w:r>
            <w:r w:rsidR="00294C60">
              <w:rPr>
                <w:rFonts w:ascii="Cambria" w:eastAsia="Calibri" w:hAnsi="Cambria" w:cs="Times New Roman"/>
                <w:sz w:val="26"/>
                <w:szCs w:val="26"/>
              </w:rPr>
              <w:t>Bethesda, MD</w:t>
            </w:r>
          </w:p>
        </w:tc>
      </w:tr>
      <w:tr w:rsidR="00B25B6C" w:rsidRPr="00B25B6C" w14:paraId="0AF748DC" w14:textId="77777777" w:rsidTr="008A205B">
        <w:trPr>
          <w:trHeight w:val="202"/>
        </w:trPr>
        <w:tc>
          <w:tcPr>
            <w:tcW w:w="11179" w:type="dxa"/>
            <w:tcBorders>
              <w:top w:val="double" w:sz="4" w:space="0" w:color="auto"/>
              <w:bottom w:val="single" w:sz="8" w:space="0" w:color="auto"/>
            </w:tcBorders>
            <w:shd w:val="clear" w:color="auto" w:fill="auto"/>
            <w:tcMar>
              <w:top w:w="29" w:type="dxa"/>
              <w:left w:w="29" w:type="dxa"/>
              <w:bottom w:w="29" w:type="dxa"/>
              <w:right w:w="29" w:type="dxa"/>
            </w:tcMar>
          </w:tcPr>
          <w:p w14:paraId="668E95A7" w14:textId="549A8BD2" w:rsidR="00B25B6C" w:rsidRPr="00B25B6C" w:rsidRDefault="00B25B6C" w:rsidP="00B25B6C">
            <w:pPr>
              <w:spacing w:before="120" w:after="120" w:line="240" w:lineRule="auto"/>
              <w:rPr>
                <w:rFonts w:ascii="Cambria" w:eastAsia="Times New Roman" w:hAnsi="Cambria" w:cs="Times New Roman"/>
                <w:sz w:val="24"/>
                <w:szCs w:val="24"/>
              </w:rPr>
            </w:pPr>
            <w:r w:rsidRPr="00B25B6C">
              <w:rPr>
                <w:rFonts w:ascii="Cambria" w:eastAsia="Times New Roman" w:hAnsi="Cambria" w:cs="Times New Roman"/>
                <w:sz w:val="24"/>
                <w:szCs w:val="24"/>
              </w:rPr>
              <w:t xml:space="preserve">The </w:t>
            </w:r>
            <w:r w:rsidR="00294C60">
              <w:rPr>
                <w:rFonts w:ascii="Cambria" w:eastAsia="Times New Roman" w:hAnsi="Cambria" w:cs="Times New Roman"/>
                <w:sz w:val="24"/>
                <w:szCs w:val="24"/>
              </w:rPr>
              <w:t xml:space="preserve">initial Phase III </w:t>
            </w:r>
            <w:r w:rsidRPr="00B25B6C">
              <w:rPr>
                <w:rFonts w:ascii="Cambria" w:eastAsia="Times New Roman" w:hAnsi="Cambria" w:cs="Times New Roman"/>
                <w:sz w:val="24"/>
                <w:szCs w:val="24"/>
              </w:rPr>
              <w:t xml:space="preserve">eMERGE Steering Committee Meeting was held on </w:t>
            </w:r>
            <w:r w:rsidR="00294C60">
              <w:rPr>
                <w:rFonts w:ascii="Cambria" w:eastAsia="Times New Roman" w:hAnsi="Cambria" w:cs="Times New Roman"/>
                <w:sz w:val="24"/>
                <w:szCs w:val="24"/>
              </w:rPr>
              <w:t>September 17-18</w:t>
            </w:r>
            <w:r w:rsidR="00294C60" w:rsidRPr="00294C60">
              <w:rPr>
                <w:rFonts w:ascii="Cambria" w:eastAsia="Times New Roman" w:hAnsi="Cambria" w:cs="Times New Roman"/>
                <w:sz w:val="24"/>
                <w:szCs w:val="24"/>
                <w:vertAlign w:val="superscript"/>
              </w:rPr>
              <w:t>th</w:t>
            </w:r>
            <w:r w:rsidR="004E15A3">
              <w:rPr>
                <w:rFonts w:ascii="Cambria" w:eastAsia="Times New Roman" w:hAnsi="Cambria" w:cs="Times New Roman"/>
                <w:sz w:val="24"/>
                <w:szCs w:val="24"/>
              </w:rPr>
              <w:t xml:space="preserve">, 2015 in </w:t>
            </w:r>
            <w:r w:rsidR="00294C60">
              <w:rPr>
                <w:rFonts w:ascii="Cambria" w:eastAsia="Times New Roman" w:hAnsi="Cambria" w:cs="Times New Roman"/>
                <w:sz w:val="24"/>
                <w:szCs w:val="24"/>
              </w:rPr>
              <w:t>Bethesda, MD</w:t>
            </w:r>
            <w:r w:rsidRPr="00B25B6C">
              <w:rPr>
                <w:rFonts w:ascii="Cambria" w:eastAsia="Times New Roman" w:hAnsi="Cambria" w:cs="Times New Roman"/>
                <w:sz w:val="24"/>
                <w:szCs w:val="24"/>
              </w:rPr>
              <w:t xml:space="preserve">. In order to ensure that the Network </w:t>
            </w:r>
            <w:r w:rsidR="00294C60">
              <w:rPr>
                <w:rFonts w:ascii="Cambria" w:eastAsia="Times New Roman" w:hAnsi="Cambria" w:cs="Times New Roman"/>
                <w:sz w:val="24"/>
                <w:szCs w:val="24"/>
              </w:rPr>
              <w:t xml:space="preserve">starts on a </w:t>
            </w:r>
            <w:r w:rsidRPr="00B25B6C">
              <w:rPr>
                <w:rFonts w:ascii="Cambria" w:eastAsia="Times New Roman" w:hAnsi="Cambria" w:cs="Times New Roman"/>
                <w:sz w:val="24"/>
                <w:szCs w:val="24"/>
              </w:rPr>
              <w:t xml:space="preserve">productive </w:t>
            </w:r>
            <w:r w:rsidR="00294C60">
              <w:rPr>
                <w:rFonts w:ascii="Cambria" w:eastAsia="Times New Roman" w:hAnsi="Cambria" w:cs="Times New Roman"/>
                <w:sz w:val="24"/>
                <w:szCs w:val="24"/>
              </w:rPr>
              <w:t xml:space="preserve">note </w:t>
            </w:r>
            <w:r w:rsidRPr="00B25B6C">
              <w:rPr>
                <w:rFonts w:ascii="Cambria" w:eastAsia="Times New Roman" w:hAnsi="Cambria" w:cs="Times New Roman"/>
                <w:sz w:val="24"/>
                <w:szCs w:val="24"/>
              </w:rPr>
              <w:t xml:space="preserve">as we </w:t>
            </w:r>
            <w:r w:rsidR="00294C60">
              <w:rPr>
                <w:rFonts w:ascii="Cambria" w:eastAsia="Times New Roman" w:hAnsi="Cambria" w:cs="Times New Roman"/>
                <w:sz w:val="24"/>
                <w:szCs w:val="24"/>
              </w:rPr>
              <w:t>embark</w:t>
            </w:r>
            <w:r w:rsidRPr="00B25B6C">
              <w:rPr>
                <w:rFonts w:ascii="Cambria" w:eastAsia="Times New Roman" w:hAnsi="Cambria" w:cs="Times New Roman"/>
                <w:sz w:val="24"/>
                <w:szCs w:val="24"/>
              </w:rPr>
              <w:t xml:space="preserve"> </w:t>
            </w:r>
            <w:r w:rsidR="00294C60">
              <w:rPr>
                <w:rFonts w:ascii="Cambria" w:eastAsia="Times New Roman" w:hAnsi="Cambria" w:cs="Times New Roman"/>
                <w:sz w:val="24"/>
                <w:szCs w:val="24"/>
              </w:rPr>
              <w:t>on</w:t>
            </w:r>
            <w:r w:rsidRPr="00B25B6C">
              <w:rPr>
                <w:rFonts w:ascii="Cambria" w:eastAsia="Times New Roman" w:hAnsi="Cambria" w:cs="Times New Roman"/>
                <w:sz w:val="24"/>
                <w:szCs w:val="24"/>
              </w:rPr>
              <w:t xml:space="preserve"> our </w:t>
            </w:r>
            <w:r w:rsidR="00294C60">
              <w:rPr>
                <w:rFonts w:ascii="Cambria" w:eastAsia="Times New Roman" w:hAnsi="Cambria" w:cs="Times New Roman"/>
                <w:sz w:val="24"/>
                <w:szCs w:val="24"/>
              </w:rPr>
              <w:t>initial</w:t>
            </w:r>
            <w:r w:rsidRPr="00B25B6C">
              <w:rPr>
                <w:rFonts w:ascii="Cambria" w:eastAsia="Times New Roman" w:hAnsi="Cambria" w:cs="Times New Roman"/>
                <w:sz w:val="24"/>
                <w:szCs w:val="24"/>
              </w:rPr>
              <w:t xml:space="preserve"> year, please find highlights from the Steering Committee Meeting below. </w:t>
            </w:r>
          </w:p>
          <w:p w14:paraId="07100B8D" w14:textId="674E5935" w:rsidR="00B25B6C" w:rsidRPr="00B25B6C" w:rsidRDefault="00B25B6C" w:rsidP="00B25B6C">
            <w:pPr>
              <w:spacing w:before="120" w:after="120" w:line="240" w:lineRule="auto"/>
              <w:rPr>
                <w:rFonts w:ascii="Cambria" w:eastAsia="Times New Roman" w:hAnsi="Cambria" w:cs="Times New Roman"/>
                <w:sz w:val="24"/>
                <w:szCs w:val="24"/>
              </w:rPr>
            </w:pPr>
            <w:r w:rsidRPr="00B25B6C">
              <w:rPr>
                <w:rFonts w:ascii="Cambria" w:eastAsia="Times New Roman" w:hAnsi="Cambria" w:cs="Times New Roman"/>
                <w:sz w:val="24"/>
                <w:szCs w:val="24"/>
              </w:rPr>
              <w:t xml:space="preserve">Presentation slides are </w:t>
            </w:r>
            <w:hyperlink r:id="rId9" w:history="1">
              <w:r w:rsidRPr="00294C60">
                <w:rPr>
                  <w:rStyle w:val="Hyperlink"/>
                  <w:rFonts w:ascii="Cambria" w:eastAsia="Times New Roman" w:hAnsi="Cambria" w:cs="Times New Roman"/>
                  <w:sz w:val="24"/>
                  <w:szCs w:val="24"/>
                </w:rPr>
                <w:t>available here</w:t>
              </w:r>
            </w:hyperlink>
            <w:r w:rsidRPr="004E15A3">
              <w:rPr>
                <w:rFonts w:ascii="Cambria" w:eastAsia="Times New Roman" w:hAnsi="Cambria" w:cs="Times New Roman"/>
                <w:sz w:val="24"/>
                <w:szCs w:val="24"/>
              </w:rPr>
              <w:t xml:space="preserve"> </w:t>
            </w:r>
            <w:r w:rsidRPr="00B25B6C">
              <w:rPr>
                <w:rFonts w:ascii="Cambria" w:eastAsia="Times New Roman" w:hAnsi="Cambria" w:cs="Times New Roman"/>
                <w:sz w:val="24"/>
                <w:szCs w:val="24"/>
              </w:rPr>
              <w:t>(login required)</w:t>
            </w:r>
            <w:r w:rsidR="00294C60">
              <w:rPr>
                <w:rFonts w:ascii="Cambria" w:eastAsia="Times New Roman" w:hAnsi="Cambria" w:cs="Times New Roman"/>
                <w:sz w:val="24"/>
                <w:szCs w:val="24"/>
              </w:rPr>
              <w:t>.</w:t>
            </w:r>
          </w:p>
          <w:p w14:paraId="0D97D892" w14:textId="77777777" w:rsidR="00B25B6C" w:rsidRPr="00B25B6C" w:rsidRDefault="00B25B6C" w:rsidP="00B25B6C">
            <w:pPr>
              <w:spacing w:before="120" w:after="120" w:line="240" w:lineRule="auto"/>
              <w:rPr>
                <w:rFonts w:ascii="Cambria" w:eastAsia="Times New Roman" w:hAnsi="Cambria" w:cs="Times New Roman"/>
                <w:i/>
                <w:sz w:val="24"/>
                <w:szCs w:val="24"/>
              </w:rPr>
            </w:pPr>
            <w:r w:rsidRPr="00B25B6C">
              <w:rPr>
                <w:rFonts w:ascii="Cambria" w:eastAsia="Times New Roman" w:hAnsi="Cambria" w:cs="Times New Roman"/>
                <w:i/>
                <w:sz w:val="24"/>
                <w:szCs w:val="24"/>
              </w:rPr>
              <w:t>Goals for the meeting:</w:t>
            </w:r>
          </w:p>
          <w:p w14:paraId="7377A071" w14:textId="426C578B" w:rsidR="00294C60" w:rsidRPr="00294C60" w:rsidRDefault="00294C60" w:rsidP="00294C60">
            <w:pPr>
              <w:numPr>
                <w:ilvl w:val="0"/>
                <w:numId w:val="2"/>
              </w:numPr>
              <w:spacing w:before="120" w:after="120" w:line="240" w:lineRule="auto"/>
              <w:rPr>
                <w:rFonts w:ascii="Cambria" w:eastAsia="Times New Roman" w:hAnsi="Cambria" w:cs="Times New Roman"/>
                <w:sz w:val="24"/>
                <w:szCs w:val="24"/>
              </w:rPr>
            </w:pPr>
            <w:r w:rsidRPr="00294C60">
              <w:rPr>
                <w:rFonts w:ascii="Cambria" w:eastAsia="Times New Roman" w:hAnsi="Cambria" w:cs="Times New Roman"/>
                <w:sz w:val="24"/>
                <w:szCs w:val="24"/>
              </w:rPr>
              <w:t>Integrate new sites into the network and</w:t>
            </w:r>
            <w:r>
              <w:rPr>
                <w:rFonts w:ascii="Cambria" w:eastAsia="Times New Roman" w:hAnsi="Cambria" w:cs="Times New Roman"/>
                <w:sz w:val="24"/>
                <w:szCs w:val="24"/>
              </w:rPr>
              <w:t xml:space="preserve"> </w:t>
            </w:r>
            <w:r w:rsidRPr="00294C60">
              <w:rPr>
                <w:rFonts w:ascii="Cambria" w:eastAsia="Times New Roman" w:hAnsi="Cambria" w:cs="Times New Roman"/>
                <w:sz w:val="24"/>
                <w:szCs w:val="24"/>
              </w:rPr>
              <w:t>synergize site efforts</w:t>
            </w:r>
          </w:p>
          <w:p w14:paraId="3E609AAC" w14:textId="69A43FDD" w:rsidR="00294C60" w:rsidRPr="00294C60" w:rsidRDefault="00294C60" w:rsidP="00294C60">
            <w:pPr>
              <w:numPr>
                <w:ilvl w:val="0"/>
                <w:numId w:val="2"/>
              </w:numPr>
              <w:spacing w:before="120" w:after="120" w:line="240" w:lineRule="auto"/>
              <w:rPr>
                <w:rFonts w:ascii="Cambria" w:eastAsia="Times New Roman" w:hAnsi="Cambria" w:cs="Times New Roman"/>
                <w:sz w:val="24"/>
                <w:szCs w:val="24"/>
              </w:rPr>
            </w:pPr>
            <w:r w:rsidRPr="00294C60">
              <w:rPr>
                <w:rFonts w:ascii="Cambria" w:eastAsia="Times New Roman" w:hAnsi="Cambria" w:cs="Times New Roman"/>
                <w:sz w:val="24"/>
                <w:szCs w:val="24"/>
              </w:rPr>
              <w:t>Discuss sequencing proposal and</w:t>
            </w:r>
            <w:r>
              <w:rPr>
                <w:rFonts w:ascii="Cambria" w:eastAsia="Times New Roman" w:hAnsi="Cambria" w:cs="Times New Roman"/>
                <w:sz w:val="24"/>
                <w:szCs w:val="24"/>
              </w:rPr>
              <w:t xml:space="preserve"> </w:t>
            </w:r>
            <w:r w:rsidRPr="00294C60">
              <w:rPr>
                <w:rFonts w:ascii="Cambria" w:eastAsia="Times New Roman" w:hAnsi="Cambria" w:cs="Times New Roman"/>
                <w:sz w:val="24"/>
                <w:szCs w:val="24"/>
              </w:rPr>
              <w:t>pipeline</w:t>
            </w:r>
          </w:p>
          <w:p w14:paraId="6785D3A3" w14:textId="6684D364" w:rsidR="00294C60" w:rsidRPr="00294C60" w:rsidRDefault="00294C60" w:rsidP="00294C60">
            <w:pPr>
              <w:numPr>
                <w:ilvl w:val="0"/>
                <w:numId w:val="2"/>
              </w:numPr>
              <w:spacing w:before="120" w:after="120" w:line="240" w:lineRule="auto"/>
              <w:rPr>
                <w:rFonts w:ascii="Cambria" w:eastAsia="Times New Roman" w:hAnsi="Cambria" w:cs="Times New Roman"/>
                <w:sz w:val="24"/>
                <w:szCs w:val="24"/>
              </w:rPr>
            </w:pPr>
            <w:r w:rsidRPr="00294C60">
              <w:rPr>
                <w:rFonts w:ascii="Cambria" w:eastAsia="Times New Roman" w:hAnsi="Cambria" w:cs="Times New Roman"/>
                <w:sz w:val="24"/>
                <w:szCs w:val="24"/>
              </w:rPr>
              <w:t>Discuss clinic annotation and report of</w:t>
            </w:r>
            <w:r>
              <w:rPr>
                <w:rFonts w:ascii="Cambria" w:eastAsia="Times New Roman" w:hAnsi="Cambria" w:cs="Times New Roman"/>
                <w:sz w:val="24"/>
                <w:szCs w:val="24"/>
              </w:rPr>
              <w:t xml:space="preserve"> </w:t>
            </w:r>
            <w:r w:rsidRPr="00294C60">
              <w:rPr>
                <w:rFonts w:ascii="Cambria" w:eastAsia="Times New Roman" w:hAnsi="Cambria" w:cs="Times New Roman"/>
                <w:sz w:val="24"/>
                <w:szCs w:val="24"/>
              </w:rPr>
              <w:t>actionable genetic variants</w:t>
            </w:r>
          </w:p>
          <w:p w14:paraId="072A8524" w14:textId="1E57606C" w:rsidR="00294C60" w:rsidRPr="00294C60" w:rsidRDefault="00294C60" w:rsidP="00294C60">
            <w:pPr>
              <w:numPr>
                <w:ilvl w:val="0"/>
                <w:numId w:val="2"/>
              </w:numPr>
              <w:spacing w:before="120" w:after="120" w:line="240" w:lineRule="auto"/>
              <w:rPr>
                <w:rFonts w:ascii="Cambria" w:eastAsia="Times New Roman" w:hAnsi="Cambria" w:cs="Times New Roman"/>
                <w:sz w:val="24"/>
                <w:szCs w:val="24"/>
              </w:rPr>
            </w:pPr>
            <w:r w:rsidRPr="00294C60">
              <w:rPr>
                <w:rFonts w:ascii="Cambria" w:eastAsia="Times New Roman" w:hAnsi="Cambria" w:cs="Times New Roman"/>
                <w:sz w:val="24"/>
                <w:szCs w:val="24"/>
              </w:rPr>
              <w:t>Discuss network data management, data</w:t>
            </w:r>
            <w:r>
              <w:rPr>
                <w:rFonts w:ascii="Cambria" w:eastAsia="Times New Roman" w:hAnsi="Cambria" w:cs="Times New Roman"/>
                <w:sz w:val="24"/>
                <w:szCs w:val="24"/>
              </w:rPr>
              <w:t xml:space="preserve"> </w:t>
            </w:r>
            <w:r w:rsidRPr="00294C60">
              <w:rPr>
                <w:rFonts w:ascii="Cambria" w:eastAsia="Times New Roman" w:hAnsi="Cambria" w:cs="Times New Roman"/>
                <w:sz w:val="24"/>
                <w:szCs w:val="24"/>
              </w:rPr>
              <w:t>sharing and genomic discovery</w:t>
            </w:r>
          </w:p>
          <w:p w14:paraId="6533B017" w14:textId="7591AACD" w:rsidR="002029AB" w:rsidRPr="00294C60" w:rsidRDefault="00294C60" w:rsidP="00294C60">
            <w:pPr>
              <w:numPr>
                <w:ilvl w:val="0"/>
                <w:numId w:val="2"/>
              </w:numPr>
              <w:spacing w:before="120" w:after="120" w:line="240" w:lineRule="auto"/>
              <w:rPr>
                <w:rFonts w:ascii="Cambria" w:eastAsia="Times New Roman" w:hAnsi="Cambria" w:cs="Times New Roman"/>
                <w:sz w:val="24"/>
                <w:szCs w:val="24"/>
              </w:rPr>
            </w:pPr>
            <w:r w:rsidRPr="00294C60">
              <w:rPr>
                <w:rFonts w:ascii="Cambria" w:eastAsia="Times New Roman" w:hAnsi="Cambria" w:cs="Times New Roman"/>
                <w:sz w:val="24"/>
                <w:szCs w:val="24"/>
              </w:rPr>
              <w:t>Develop workgroup charters, milestones</w:t>
            </w:r>
            <w:r>
              <w:rPr>
                <w:rFonts w:ascii="Cambria" w:eastAsia="Times New Roman" w:hAnsi="Cambria" w:cs="Times New Roman"/>
                <w:sz w:val="24"/>
                <w:szCs w:val="24"/>
              </w:rPr>
              <w:t xml:space="preserve"> </w:t>
            </w:r>
            <w:r w:rsidRPr="00294C60">
              <w:rPr>
                <w:rFonts w:ascii="Cambria" w:eastAsia="Times New Roman" w:hAnsi="Cambria" w:cs="Times New Roman"/>
                <w:sz w:val="24"/>
                <w:szCs w:val="24"/>
              </w:rPr>
              <w:t>and timeline</w:t>
            </w:r>
          </w:p>
        </w:tc>
      </w:tr>
      <w:tr w:rsidR="00B25B6C" w:rsidRPr="00B25B6C" w14:paraId="292DA1A8" w14:textId="77777777" w:rsidTr="005027E4">
        <w:trPr>
          <w:trHeight w:val="246"/>
        </w:trPr>
        <w:tc>
          <w:tcPr>
            <w:tcW w:w="11179" w:type="dxa"/>
            <w:tcBorders>
              <w:top w:val="single" w:sz="8" w:space="0" w:color="auto"/>
              <w:left w:val="single" w:sz="8" w:space="0" w:color="auto"/>
              <w:bottom w:val="single" w:sz="8" w:space="0" w:color="auto"/>
              <w:right w:val="single" w:sz="8" w:space="0" w:color="auto"/>
            </w:tcBorders>
            <w:shd w:val="clear" w:color="auto" w:fill="008BCC"/>
            <w:tcMar>
              <w:top w:w="58" w:type="dxa"/>
              <w:left w:w="86" w:type="dxa"/>
              <w:bottom w:w="58" w:type="dxa"/>
              <w:right w:w="86" w:type="dxa"/>
            </w:tcMar>
            <w:vAlign w:val="center"/>
          </w:tcPr>
          <w:p w14:paraId="4BB2E5FB" w14:textId="6E67D13B" w:rsidR="00B25B6C" w:rsidRPr="005027E4" w:rsidRDefault="00743B73" w:rsidP="00743B73">
            <w:pPr>
              <w:spacing w:before="120" w:after="120" w:line="240" w:lineRule="auto"/>
              <w:rPr>
                <w:rFonts w:ascii="Cambria" w:eastAsia="Calibri" w:hAnsi="Cambria" w:cs="Times New Roman"/>
                <w:b/>
                <w:bCs/>
                <w:color w:val="FFFFFF" w:themeColor="background1"/>
              </w:rPr>
            </w:pPr>
            <w:r w:rsidRPr="005027E4">
              <w:rPr>
                <w:rFonts w:ascii="Cambria" w:eastAsia="Calibri" w:hAnsi="Cambria" w:cs="Times New Roman"/>
                <w:b/>
                <w:bCs/>
                <w:color w:val="FFFFFF" w:themeColor="background1"/>
              </w:rPr>
              <w:t>Day 1: Full-day Session</w:t>
            </w:r>
          </w:p>
        </w:tc>
      </w:tr>
      <w:tr w:rsidR="00B25B6C" w:rsidRPr="00B25B6C" w14:paraId="01CD8F2F" w14:textId="77777777" w:rsidTr="008A205B">
        <w:trPr>
          <w:trHeight w:val="246"/>
        </w:trPr>
        <w:tc>
          <w:tcPr>
            <w:tcW w:w="11179" w:type="dxa"/>
            <w:tcBorders>
              <w:top w:val="single" w:sz="8" w:space="0" w:color="auto"/>
              <w:left w:val="single" w:sz="8" w:space="0" w:color="auto"/>
              <w:bottom w:val="single" w:sz="8" w:space="0" w:color="auto"/>
              <w:right w:val="single" w:sz="8" w:space="0" w:color="auto"/>
            </w:tcBorders>
            <w:shd w:val="clear" w:color="auto" w:fill="auto"/>
            <w:tcMar>
              <w:top w:w="58" w:type="dxa"/>
              <w:left w:w="86" w:type="dxa"/>
              <w:bottom w:w="58" w:type="dxa"/>
              <w:right w:w="86" w:type="dxa"/>
            </w:tcMar>
            <w:vAlign w:val="center"/>
          </w:tcPr>
          <w:p w14:paraId="118C232F" w14:textId="0818DB1F" w:rsidR="00006734" w:rsidRDefault="00006734" w:rsidP="009F5A4E">
            <w:p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u w:val="single"/>
              </w:rPr>
              <w:t>Welcome, Opening Remarks, General Updates</w:t>
            </w:r>
            <w:r>
              <w:rPr>
                <w:rFonts w:ascii="Cambria" w:eastAsia="Calibri" w:hAnsi="Cambria" w:cs="Times New Roman"/>
              </w:rPr>
              <w:t xml:space="preserve"> – </w:t>
            </w:r>
            <w:r w:rsidRPr="009F5A4E">
              <w:rPr>
                <w:rFonts w:ascii="Cambria" w:eastAsia="Calibri" w:hAnsi="Cambria" w:cs="Times New Roman"/>
                <w:i/>
              </w:rPr>
              <w:t>Rongling Li</w:t>
            </w:r>
          </w:p>
          <w:p w14:paraId="15C790F7" w14:textId="77777777"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This is the first eMERGE III meeting, and also the 25</w:t>
            </w:r>
            <w:r w:rsidRPr="009F5A4E">
              <w:rPr>
                <w:rFonts w:ascii="Cambria" w:eastAsia="Calibri" w:hAnsi="Cambria" w:cs="Times New Roman"/>
                <w:vertAlign w:val="superscript"/>
              </w:rPr>
              <w:t>th</w:t>
            </w:r>
            <w:r w:rsidRPr="009F5A4E">
              <w:rPr>
                <w:rFonts w:ascii="Cambria" w:eastAsia="Calibri" w:hAnsi="Cambria" w:cs="Times New Roman"/>
              </w:rPr>
              <w:t xml:space="preserve"> Steering Committee Meeting for the eMERGE Network. </w:t>
            </w:r>
          </w:p>
          <w:p w14:paraId="24110376" w14:textId="0B42D752"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Jyoti Gupta, from the NHGRI sequencing center, is joining the NHGRI eMERGE team.</w:t>
            </w:r>
          </w:p>
          <w:p w14:paraId="3BBE9465" w14:textId="287CB585"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Long-time NHGRI staff member, Dr. Elizabeth Thompson,</w:t>
            </w:r>
            <w:r>
              <w:rPr>
                <w:rFonts w:ascii="Cambria" w:eastAsia="Calibri" w:hAnsi="Cambria" w:cs="Times New Roman"/>
              </w:rPr>
              <w:t xml:space="preserve"> </w:t>
            </w:r>
            <w:r w:rsidRPr="009F5A4E">
              <w:rPr>
                <w:rFonts w:ascii="Cambria" w:eastAsia="Calibri" w:hAnsi="Cambria" w:cs="Times New Roman"/>
              </w:rPr>
              <w:t>64 years old, passed away peacefully on July 14</w:t>
            </w:r>
            <w:r w:rsidRPr="009F5A4E">
              <w:rPr>
                <w:rFonts w:ascii="Cambria" w:eastAsia="Calibri" w:hAnsi="Cambria" w:cs="Times New Roman"/>
                <w:vertAlign w:val="superscript"/>
              </w:rPr>
              <w:t>th</w:t>
            </w:r>
            <w:r w:rsidRPr="009F5A4E">
              <w:rPr>
                <w:rFonts w:ascii="Cambria" w:eastAsia="Calibri" w:hAnsi="Cambria" w:cs="Times New Roman"/>
              </w:rPr>
              <w:t xml:space="preserve"> </w:t>
            </w:r>
            <w:r w:rsidR="00356946">
              <w:rPr>
                <w:rFonts w:ascii="Cambria" w:eastAsia="Calibri" w:hAnsi="Cambria" w:cs="Times New Roman"/>
              </w:rPr>
              <w:t xml:space="preserve">at </w:t>
            </w:r>
            <w:r w:rsidRPr="009F5A4E">
              <w:rPr>
                <w:rFonts w:ascii="Cambria" w:eastAsia="Calibri" w:hAnsi="Cambria" w:cs="Times New Roman"/>
              </w:rPr>
              <w:t xml:space="preserve">home.  Elizabeth made a significant contribution to the NHGRI ethical legal and social implications research </w:t>
            </w:r>
            <w:r>
              <w:rPr>
                <w:rFonts w:ascii="Cambria" w:eastAsia="Calibri" w:hAnsi="Cambria" w:cs="Times New Roman"/>
              </w:rPr>
              <w:t>program.</w:t>
            </w:r>
          </w:p>
          <w:p w14:paraId="194FA7F5" w14:textId="77777777"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Brief summary of accomplishments from previous eMERGE phases. </w:t>
            </w:r>
          </w:p>
          <w:p w14:paraId="1FEB1D80" w14:textId="77777777" w:rsidR="00006734" w:rsidRPr="009F5A4E" w:rsidRDefault="00006734" w:rsidP="00006734">
            <w:pPr>
              <w:numPr>
                <w:ilvl w:val="1"/>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531 total publications, and 198 network publications through July 2015 </w:t>
            </w:r>
          </w:p>
          <w:p w14:paraId="19D77385" w14:textId="720973DE" w:rsidR="00006734" w:rsidRPr="009F5A4E" w:rsidRDefault="00006734" w:rsidP="00006734">
            <w:pPr>
              <w:numPr>
                <w:ilvl w:val="1"/>
                <w:numId w:val="25"/>
              </w:numPr>
              <w:shd w:val="clear" w:color="auto" w:fill="FFFFFF"/>
              <w:spacing w:before="120" w:after="120" w:line="240" w:lineRule="auto"/>
              <w:textAlignment w:val="baseline"/>
              <w:rPr>
                <w:rFonts w:ascii="Cambria" w:eastAsia="Calibri" w:hAnsi="Cambria" w:cs="Times New Roman"/>
              </w:rPr>
            </w:pPr>
            <w:proofErr w:type="gramStart"/>
            <w:r w:rsidRPr="009F5A4E">
              <w:rPr>
                <w:rFonts w:ascii="Cambria" w:eastAsia="Calibri" w:hAnsi="Cambria" w:cs="Times New Roman"/>
              </w:rPr>
              <w:t>eMERGE</w:t>
            </w:r>
            <w:proofErr w:type="gramEnd"/>
            <w:r w:rsidRPr="009F5A4E">
              <w:rPr>
                <w:rFonts w:ascii="Cambria" w:eastAsia="Calibri" w:hAnsi="Cambria" w:cs="Times New Roman"/>
              </w:rPr>
              <w:t xml:space="preserve"> has created tools and software, including ELSI tools, like the model consent language, educational tools, genomic implementation tools, and phenotyping and genotyping discovery tools. </w:t>
            </w:r>
          </w:p>
          <w:p w14:paraId="79777BBF" w14:textId="6090D01D" w:rsidR="00006734" w:rsidRPr="009F5A4E" w:rsidRDefault="00006734" w:rsidP="00006734">
            <w:pPr>
              <w:numPr>
                <w:ilvl w:val="1"/>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eMERGE is growing</w:t>
            </w:r>
            <w:r w:rsidR="00F5516A">
              <w:rPr>
                <w:rFonts w:ascii="Cambria" w:eastAsia="Calibri" w:hAnsi="Cambria" w:cs="Times New Roman"/>
              </w:rPr>
              <w:t>:</w:t>
            </w:r>
          </w:p>
          <w:p w14:paraId="77D344B2" w14:textId="534C8A6E" w:rsidR="00006734" w:rsidRPr="009F5A4E" w:rsidRDefault="00006734" w:rsidP="00006734">
            <w:pPr>
              <w:numPr>
                <w:ilvl w:val="2"/>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eMERGE I had 5 sites and 18,500 individuals with </w:t>
            </w:r>
            <w:r w:rsidR="00356946">
              <w:rPr>
                <w:rFonts w:ascii="Cambria" w:eastAsia="Calibri" w:hAnsi="Cambria" w:cs="Times New Roman"/>
              </w:rPr>
              <w:t>GWAS data</w:t>
            </w:r>
          </w:p>
          <w:p w14:paraId="7EFF59AB" w14:textId="5112D34E" w:rsidR="00006734" w:rsidRPr="009F5A4E" w:rsidRDefault="00006734" w:rsidP="00006734">
            <w:pPr>
              <w:numPr>
                <w:ilvl w:val="2"/>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e</w:t>
            </w:r>
            <w:r w:rsidR="00F5516A">
              <w:rPr>
                <w:rFonts w:ascii="Cambria" w:eastAsia="Calibri" w:hAnsi="Cambria" w:cs="Times New Roman"/>
              </w:rPr>
              <w:t>MERGE</w:t>
            </w:r>
            <w:r w:rsidRPr="009F5A4E">
              <w:rPr>
                <w:rFonts w:ascii="Cambria" w:eastAsia="Calibri" w:hAnsi="Cambria" w:cs="Times New Roman"/>
              </w:rPr>
              <w:t xml:space="preserve"> II had 53,000 total </w:t>
            </w:r>
            <w:r w:rsidR="00356946">
              <w:rPr>
                <w:rFonts w:ascii="Cambria" w:eastAsia="Calibri" w:hAnsi="Cambria" w:cs="Times New Roman"/>
              </w:rPr>
              <w:t>participants with GWAS data</w:t>
            </w:r>
          </w:p>
          <w:p w14:paraId="252002D0" w14:textId="7DB5E41B" w:rsidR="00006734" w:rsidRPr="009F5A4E" w:rsidRDefault="00006734" w:rsidP="00006734">
            <w:pPr>
              <w:numPr>
                <w:ilvl w:val="2"/>
                <w:numId w:val="25"/>
              </w:numPr>
              <w:shd w:val="clear" w:color="auto" w:fill="FFFFFF"/>
              <w:spacing w:before="120" w:after="120" w:line="240" w:lineRule="auto"/>
              <w:textAlignment w:val="baseline"/>
              <w:rPr>
                <w:rFonts w:ascii="Cambria" w:eastAsia="Calibri" w:hAnsi="Cambria" w:cs="Times New Roman"/>
              </w:rPr>
            </w:pPr>
            <w:proofErr w:type="gramStart"/>
            <w:r w:rsidRPr="009F5A4E">
              <w:rPr>
                <w:rFonts w:ascii="Cambria" w:eastAsia="Calibri" w:hAnsi="Cambria" w:cs="Times New Roman"/>
              </w:rPr>
              <w:t>eMERGE</w:t>
            </w:r>
            <w:proofErr w:type="gramEnd"/>
            <w:r w:rsidRPr="009F5A4E">
              <w:rPr>
                <w:rFonts w:ascii="Cambria" w:eastAsia="Calibri" w:hAnsi="Cambria" w:cs="Times New Roman"/>
              </w:rPr>
              <w:t xml:space="preserve"> III begins with 71,600 total, including e</w:t>
            </w:r>
            <w:r w:rsidR="00F5516A">
              <w:rPr>
                <w:rFonts w:ascii="Cambria" w:eastAsia="Calibri" w:hAnsi="Cambria" w:cs="Times New Roman"/>
              </w:rPr>
              <w:t>MERGE</w:t>
            </w:r>
            <w:r w:rsidRPr="009F5A4E">
              <w:rPr>
                <w:rFonts w:ascii="Cambria" w:eastAsia="Calibri" w:hAnsi="Cambria" w:cs="Times New Roman"/>
              </w:rPr>
              <w:t xml:space="preserve"> 1 and 2 data imputed against 1000 genomes with &gt; 55,000 genotyped and </w:t>
            </w:r>
            <w:proofErr w:type="spellStart"/>
            <w:r w:rsidRPr="009F5A4E">
              <w:rPr>
                <w:rFonts w:ascii="Cambria" w:eastAsia="Calibri" w:hAnsi="Cambria" w:cs="Times New Roman"/>
              </w:rPr>
              <w:t>pheno</w:t>
            </w:r>
            <w:r w:rsidR="00F5516A" w:rsidRPr="00F5516A">
              <w:rPr>
                <w:rFonts w:ascii="Cambria" w:eastAsia="Calibri" w:hAnsi="Cambria" w:cs="Times New Roman"/>
              </w:rPr>
              <w:t>typed</w:t>
            </w:r>
            <w:proofErr w:type="spellEnd"/>
            <w:r w:rsidR="00F5516A" w:rsidRPr="00F5516A">
              <w:rPr>
                <w:rFonts w:ascii="Cambria" w:eastAsia="Calibri" w:hAnsi="Cambria" w:cs="Times New Roman"/>
              </w:rPr>
              <w:t xml:space="preserve"> individuals represented. </w:t>
            </w:r>
            <w:r w:rsidRPr="009F5A4E">
              <w:rPr>
                <w:rFonts w:ascii="Cambria" w:eastAsia="Calibri" w:hAnsi="Cambria" w:cs="Times New Roman"/>
              </w:rPr>
              <w:t xml:space="preserve">That data has been deposited to </w:t>
            </w:r>
            <w:proofErr w:type="spellStart"/>
            <w:r w:rsidRPr="009F5A4E">
              <w:rPr>
                <w:rFonts w:ascii="Cambria" w:eastAsia="Calibri" w:hAnsi="Cambria" w:cs="Times New Roman"/>
              </w:rPr>
              <w:t>dbGaP</w:t>
            </w:r>
            <w:proofErr w:type="spellEnd"/>
            <w:r w:rsidRPr="009F5A4E">
              <w:rPr>
                <w:rFonts w:ascii="Cambria" w:eastAsia="Calibri" w:hAnsi="Cambria" w:cs="Times New Roman"/>
              </w:rPr>
              <w:t>, thus contribut</w:t>
            </w:r>
            <w:r w:rsidR="00F5516A">
              <w:rPr>
                <w:rFonts w:ascii="Cambria" w:eastAsia="Calibri" w:hAnsi="Cambria" w:cs="Times New Roman"/>
              </w:rPr>
              <w:t>ing</w:t>
            </w:r>
            <w:r w:rsidRPr="009F5A4E">
              <w:rPr>
                <w:rFonts w:ascii="Cambria" w:eastAsia="Calibri" w:hAnsi="Cambria" w:cs="Times New Roman"/>
              </w:rPr>
              <w:t xml:space="preserve"> to the scientific community. </w:t>
            </w:r>
          </w:p>
          <w:p w14:paraId="457CC63B" w14:textId="1BC59AB8" w:rsidR="00006734" w:rsidRPr="009F5A4E" w:rsidRDefault="00006734" w:rsidP="009F5A4E">
            <w:pPr>
              <w:shd w:val="clear" w:color="auto" w:fill="FFFFFF"/>
              <w:spacing w:before="240" w:after="120" w:line="240" w:lineRule="auto"/>
              <w:textAlignment w:val="baseline"/>
              <w:rPr>
                <w:rFonts w:ascii="Cambria" w:eastAsia="Calibri" w:hAnsi="Cambria" w:cs="Times New Roman"/>
              </w:rPr>
            </w:pPr>
            <w:r w:rsidRPr="00006734">
              <w:rPr>
                <w:rFonts w:ascii="Cambria" w:eastAsia="Calibri" w:hAnsi="Cambria" w:cs="Times New Roman"/>
                <w:u w:val="single"/>
              </w:rPr>
              <w:t xml:space="preserve">Network Overview </w:t>
            </w:r>
            <w:r w:rsidRPr="009F5A4E">
              <w:rPr>
                <w:rFonts w:ascii="Cambria" w:eastAsia="Calibri" w:hAnsi="Cambria" w:cs="Times New Roman"/>
              </w:rPr>
              <w:t xml:space="preserve">– </w:t>
            </w:r>
            <w:r w:rsidRPr="009F5A4E">
              <w:rPr>
                <w:rFonts w:ascii="Cambria" w:eastAsia="Calibri" w:hAnsi="Cambria" w:cs="Times New Roman"/>
                <w:i/>
              </w:rPr>
              <w:t>Rex Chisholm</w:t>
            </w:r>
          </w:p>
          <w:p w14:paraId="5ECDAC9C" w14:textId="6529F46B"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Rex </w:t>
            </w:r>
            <w:r>
              <w:rPr>
                <w:rFonts w:ascii="Cambria" w:eastAsia="Calibri" w:hAnsi="Cambria" w:cs="Times New Roman"/>
              </w:rPr>
              <w:t xml:space="preserve">will </w:t>
            </w:r>
            <w:r w:rsidRPr="009F5A4E">
              <w:rPr>
                <w:rFonts w:ascii="Cambria" w:eastAsia="Calibri" w:hAnsi="Cambria" w:cs="Times New Roman"/>
              </w:rPr>
              <w:t xml:space="preserve">continue as PI Chair and Leadership WG Liaison.  </w:t>
            </w:r>
          </w:p>
          <w:p w14:paraId="1363BB16" w14:textId="73F2D570"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lastRenderedPageBreak/>
              <w:t>The network’s gene panel has been</w:t>
            </w:r>
            <w:r w:rsidRPr="009F5A4E">
              <w:rPr>
                <w:rFonts w:ascii="Cambria" w:eastAsia="Calibri" w:hAnsi="Cambria" w:cs="Times New Roman"/>
              </w:rPr>
              <w:t xml:space="preserve"> compiled</w:t>
            </w:r>
            <w:r w:rsidR="00F5516A">
              <w:rPr>
                <w:rFonts w:ascii="Cambria" w:eastAsia="Calibri" w:hAnsi="Cambria" w:cs="Times New Roman"/>
              </w:rPr>
              <w:t xml:space="preserve"> ahead of schedule</w:t>
            </w:r>
            <w:r w:rsidRPr="009F5A4E">
              <w:rPr>
                <w:rFonts w:ascii="Cambria" w:eastAsia="Calibri" w:hAnsi="Cambria" w:cs="Times New Roman"/>
              </w:rPr>
              <w:t xml:space="preserve"> thanks to hard up-front work.</w:t>
            </w:r>
          </w:p>
          <w:p w14:paraId="0DC77B5A" w14:textId="56ADADA0" w:rsidR="00443C17" w:rsidRDefault="00356946" w:rsidP="00006734">
            <w:pPr>
              <w:numPr>
                <w:ilvl w:val="0"/>
                <w:numId w:val="2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The</w:t>
            </w:r>
            <w:r w:rsidR="00443C17">
              <w:rPr>
                <w:rFonts w:ascii="Cambria" w:eastAsia="Calibri" w:hAnsi="Cambria" w:cs="Times New Roman"/>
              </w:rPr>
              <w:t xml:space="preserve"> goal </w:t>
            </w:r>
            <w:r>
              <w:rPr>
                <w:rFonts w:ascii="Cambria" w:eastAsia="Calibri" w:hAnsi="Cambria" w:cs="Times New Roman"/>
              </w:rPr>
              <w:t xml:space="preserve">is to establish </w:t>
            </w:r>
            <w:r w:rsidR="00443C17">
              <w:rPr>
                <w:rFonts w:ascii="Cambria" w:eastAsia="Calibri" w:hAnsi="Cambria" w:cs="Times New Roman"/>
              </w:rPr>
              <w:t xml:space="preserve">the </w:t>
            </w:r>
            <w:r w:rsidR="00F5516A">
              <w:rPr>
                <w:rFonts w:ascii="Cambria" w:eastAsia="Calibri" w:hAnsi="Cambria" w:cs="Times New Roman"/>
              </w:rPr>
              <w:t>6 workgroups</w:t>
            </w:r>
            <w:r w:rsidR="00006734" w:rsidRPr="009F5A4E">
              <w:rPr>
                <w:rFonts w:ascii="Cambria" w:eastAsia="Calibri" w:hAnsi="Cambria" w:cs="Times New Roman"/>
              </w:rPr>
              <w:t xml:space="preserve"> at this meeting </w:t>
            </w:r>
            <w:r w:rsidR="00443C17">
              <w:rPr>
                <w:rFonts w:ascii="Cambria" w:eastAsia="Calibri" w:hAnsi="Cambria" w:cs="Times New Roman"/>
              </w:rPr>
              <w:t>and</w:t>
            </w:r>
            <w:r w:rsidR="00006734" w:rsidRPr="009F5A4E">
              <w:rPr>
                <w:rFonts w:ascii="Cambria" w:eastAsia="Calibri" w:hAnsi="Cambria" w:cs="Times New Roman"/>
              </w:rPr>
              <w:t xml:space="preserve"> allow</w:t>
            </w:r>
            <w:r w:rsidR="00443C17">
              <w:rPr>
                <w:rFonts w:ascii="Cambria" w:eastAsia="Calibri" w:hAnsi="Cambria" w:cs="Times New Roman"/>
              </w:rPr>
              <w:t>ing</w:t>
            </w:r>
            <w:r w:rsidR="00006734" w:rsidRPr="009F5A4E">
              <w:rPr>
                <w:rFonts w:ascii="Cambria" w:eastAsia="Calibri" w:hAnsi="Cambria" w:cs="Times New Roman"/>
              </w:rPr>
              <w:t xml:space="preserve"> time for WGs to work together on their charters and missions and report back.</w:t>
            </w:r>
          </w:p>
          <w:p w14:paraId="2E61CC10" w14:textId="5FEAC072"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One of the exciting transitions in e</w:t>
            </w:r>
            <w:r w:rsidR="00F5516A">
              <w:rPr>
                <w:rFonts w:ascii="Cambria" w:eastAsia="Calibri" w:hAnsi="Cambria" w:cs="Times New Roman"/>
              </w:rPr>
              <w:t>MERGE</w:t>
            </w:r>
            <w:r w:rsidRPr="009F5A4E">
              <w:rPr>
                <w:rFonts w:ascii="Cambria" w:eastAsia="Calibri" w:hAnsi="Cambria" w:cs="Times New Roman"/>
              </w:rPr>
              <w:t xml:space="preserve"> III is moving from SNP level data to sequence level data. </w:t>
            </w:r>
            <w:r>
              <w:rPr>
                <w:rFonts w:ascii="Cambria" w:eastAsia="Calibri" w:hAnsi="Cambria" w:cs="Times New Roman"/>
              </w:rPr>
              <w:t>A</w:t>
            </w:r>
            <w:r w:rsidRPr="009F5A4E">
              <w:rPr>
                <w:rFonts w:ascii="Cambria" w:eastAsia="Calibri" w:hAnsi="Cambria" w:cs="Times New Roman"/>
              </w:rPr>
              <w:t xml:space="preserve"> </w:t>
            </w:r>
            <w:r>
              <w:rPr>
                <w:rFonts w:ascii="Cambria" w:eastAsia="Calibri" w:hAnsi="Cambria" w:cs="Times New Roman"/>
              </w:rPr>
              <w:t>great portion of</w:t>
            </w:r>
            <w:r w:rsidRPr="009F5A4E">
              <w:rPr>
                <w:rFonts w:ascii="Cambria" w:eastAsia="Calibri" w:hAnsi="Cambria" w:cs="Times New Roman"/>
              </w:rPr>
              <w:t xml:space="preserve"> this discussion focused on sequencing at both centers and how data will be returned to sites</w:t>
            </w:r>
            <w:r w:rsidR="00F5516A">
              <w:rPr>
                <w:rFonts w:ascii="Cambria" w:eastAsia="Calibri" w:hAnsi="Cambria" w:cs="Times New Roman"/>
              </w:rPr>
              <w:t>.</w:t>
            </w:r>
          </w:p>
          <w:p w14:paraId="77A8E581" w14:textId="21287820" w:rsidR="00006734" w:rsidRPr="00006734" w:rsidRDefault="00006734" w:rsidP="009F5A4E">
            <w:pPr>
              <w:shd w:val="clear" w:color="auto" w:fill="FFFFFF"/>
              <w:spacing w:before="240" w:after="120" w:line="240" w:lineRule="auto"/>
              <w:textAlignment w:val="baseline"/>
              <w:rPr>
                <w:rFonts w:ascii="Cambria" w:eastAsia="Calibri" w:hAnsi="Cambria" w:cs="Times New Roman"/>
                <w:i/>
                <w:u w:val="single"/>
              </w:rPr>
            </w:pPr>
            <w:r w:rsidRPr="00006734">
              <w:rPr>
                <w:rFonts w:ascii="Cambria" w:eastAsia="Calibri" w:hAnsi="Cambria" w:cs="Times New Roman"/>
                <w:u w:val="single"/>
              </w:rPr>
              <w:t>Sequencing Process and Sample Calling</w:t>
            </w:r>
            <w:r w:rsidRPr="009F5A4E">
              <w:rPr>
                <w:rFonts w:ascii="Cambria" w:eastAsia="Calibri" w:hAnsi="Cambria" w:cs="Times New Roman"/>
              </w:rPr>
              <w:t xml:space="preserve">- </w:t>
            </w:r>
            <w:r w:rsidR="00690CE3">
              <w:rPr>
                <w:rFonts w:ascii="Cambria" w:eastAsia="Calibri" w:hAnsi="Cambria" w:cs="Times New Roman"/>
                <w:i/>
              </w:rPr>
              <w:t>Richard Gibbs &amp;</w:t>
            </w:r>
            <w:r w:rsidRPr="009F5A4E">
              <w:rPr>
                <w:rFonts w:ascii="Cambria" w:eastAsia="Calibri" w:hAnsi="Cambria" w:cs="Times New Roman"/>
                <w:i/>
              </w:rPr>
              <w:t xml:space="preserve"> Niall Lennon</w:t>
            </w:r>
          </w:p>
          <w:p w14:paraId="2579749C" w14:textId="184862CA"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Sequencing: Samples collected under CLIA conditions with annotated clinical records, will be transf</w:t>
            </w:r>
            <w:r w:rsidR="00F5516A">
              <w:rPr>
                <w:rFonts w:ascii="Cambria" w:eastAsia="Calibri" w:hAnsi="Cambria" w:cs="Times New Roman"/>
              </w:rPr>
              <w:t>erred to the sequencing centers.</w:t>
            </w:r>
          </w:p>
          <w:p w14:paraId="3F7B5585" w14:textId="7CC57131" w:rsidR="00006734" w:rsidRPr="009F5A4E" w:rsidRDefault="00006734" w:rsidP="00006734">
            <w:pPr>
              <w:numPr>
                <w:ilvl w:val="1"/>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Panel approach is more affordable and manageable at scale of 25,000</w:t>
            </w:r>
            <w:r w:rsidR="00F5516A">
              <w:rPr>
                <w:rFonts w:ascii="Cambria" w:eastAsia="Calibri" w:hAnsi="Cambria" w:cs="Times New Roman"/>
              </w:rPr>
              <w:t>.</w:t>
            </w:r>
          </w:p>
          <w:p w14:paraId="798CA8C7" w14:textId="2C02A6CB" w:rsidR="00006734" w:rsidRPr="009F5A4E" w:rsidRDefault="00006734" w:rsidP="00006734">
            <w:pPr>
              <w:numPr>
                <w:ilvl w:val="1"/>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Baylor using </w:t>
            </w:r>
            <w:proofErr w:type="spellStart"/>
            <w:r w:rsidRPr="009F5A4E">
              <w:rPr>
                <w:rFonts w:ascii="Cambria" w:eastAsia="Calibri" w:hAnsi="Cambria" w:cs="Times New Roman"/>
              </w:rPr>
              <w:t>Nimblegen</w:t>
            </w:r>
            <w:proofErr w:type="spellEnd"/>
            <w:r w:rsidRPr="009F5A4E">
              <w:rPr>
                <w:rFonts w:ascii="Cambria" w:eastAsia="Calibri" w:hAnsi="Cambria" w:cs="Times New Roman"/>
              </w:rPr>
              <w:t xml:space="preserve"> capture and Harvard using Illumina – this slight difference will be studied and will be an output of this project helpful to the field</w:t>
            </w:r>
            <w:r w:rsidR="00F5516A">
              <w:rPr>
                <w:rFonts w:ascii="Cambria" w:eastAsia="Calibri" w:hAnsi="Cambria" w:cs="Times New Roman"/>
              </w:rPr>
              <w:t>.</w:t>
            </w:r>
          </w:p>
          <w:p w14:paraId="2433D5DA" w14:textId="4BE5AFC7" w:rsidR="00006734" w:rsidRPr="009F5A4E" w:rsidRDefault="00006734" w:rsidP="00006734">
            <w:pPr>
              <w:numPr>
                <w:ilvl w:val="1"/>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Harmonize 2 C</w:t>
            </w:r>
            <w:r w:rsidR="00F5516A">
              <w:rPr>
                <w:rFonts w:ascii="Cambria" w:eastAsia="Calibri" w:hAnsi="Cambria" w:cs="Times New Roman"/>
              </w:rPr>
              <w:t>SGs’</w:t>
            </w:r>
            <w:r w:rsidRPr="009F5A4E">
              <w:rPr>
                <w:rFonts w:ascii="Cambria" w:eastAsia="Calibri" w:hAnsi="Cambria" w:cs="Times New Roman"/>
              </w:rPr>
              <w:t xml:space="preserve"> designs so processes return same .bed files – will do concorda</w:t>
            </w:r>
            <w:r w:rsidR="00F5516A">
              <w:rPr>
                <w:rFonts w:ascii="Cambria" w:eastAsia="Calibri" w:hAnsi="Cambria" w:cs="Times New Roman"/>
              </w:rPr>
              <w:t>nce analyses between 2 sites – the goal is</w:t>
            </w:r>
            <w:r w:rsidRPr="009F5A4E">
              <w:rPr>
                <w:rFonts w:ascii="Cambria" w:eastAsia="Calibri" w:hAnsi="Cambria" w:cs="Times New Roman"/>
              </w:rPr>
              <w:t xml:space="preserve"> to make any local d</w:t>
            </w:r>
            <w:r w:rsidR="00F5516A">
              <w:rPr>
                <w:rFonts w:ascii="Cambria" w:eastAsia="Calibri" w:hAnsi="Cambria" w:cs="Times New Roman"/>
              </w:rPr>
              <w:t xml:space="preserve">ifferences invisible to </w:t>
            </w:r>
            <w:r w:rsidR="00356946">
              <w:rPr>
                <w:rFonts w:ascii="Cambria" w:eastAsia="Calibri" w:hAnsi="Cambria" w:cs="Times New Roman"/>
              </w:rPr>
              <w:t>the N</w:t>
            </w:r>
            <w:r w:rsidR="00F5516A">
              <w:rPr>
                <w:rFonts w:ascii="Cambria" w:eastAsia="Calibri" w:hAnsi="Cambria" w:cs="Times New Roman"/>
              </w:rPr>
              <w:t>etwork.</w:t>
            </w:r>
          </w:p>
          <w:p w14:paraId="739FD3E6" w14:textId="3D944E86" w:rsidR="00006734" w:rsidRPr="009F5A4E" w:rsidRDefault="00006734" w:rsidP="00006734">
            <w:pPr>
              <w:numPr>
                <w:ilvl w:val="1"/>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Coverage depth limits target extent: 200-250X means only about 500kB</w:t>
            </w:r>
            <w:r w:rsidR="00F5516A">
              <w:rPr>
                <w:rFonts w:ascii="Cambria" w:eastAsia="Calibri" w:hAnsi="Cambria" w:cs="Times New Roman"/>
              </w:rPr>
              <w:t>.</w:t>
            </w:r>
          </w:p>
          <w:p w14:paraId="5591183D" w14:textId="1F184B5D" w:rsidR="00006734" w:rsidRPr="009F5A4E" w:rsidRDefault="00F5516A" w:rsidP="00006734">
            <w:pPr>
              <w:numPr>
                <w:ilvl w:val="1"/>
                <w:numId w:val="2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It will be </w:t>
            </w:r>
            <w:r w:rsidR="005B59D1">
              <w:rPr>
                <w:rFonts w:ascii="Cambria" w:eastAsia="Calibri" w:hAnsi="Cambria" w:cs="Times New Roman"/>
              </w:rPr>
              <w:t>16-21 weeks</w:t>
            </w:r>
            <w:r w:rsidR="00006734" w:rsidRPr="009F5A4E">
              <w:rPr>
                <w:rFonts w:ascii="Cambria" w:eastAsia="Calibri" w:hAnsi="Cambria" w:cs="Times New Roman"/>
              </w:rPr>
              <w:t xml:space="preserve"> before the assay is ready (won’t be ready for sa</w:t>
            </w:r>
            <w:r>
              <w:rPr>
                <w:rFonts w:ascii="Cambria" w:eastAsia="Calibri" w:hAnsi="Cambria" w:cs="Times New Roman"/>
              </w:rPr>
              <w:t>mples until April 2016</w:t>
            </w:r>
            <w:r w:rsidR="00006734" w:rsidRPr="009F5A4E">
              <w:rPr>
                <w:rFonts w:ascii="Cambria" w:eastAsia="Calibri" w:hAnsi="Cambria" w:cs="Times New Roman"/>
              </w:rPr>
              <w:t>)</w:t>
            </w:r>
            <w:r>
              <w:rPr>
                <w:rFonts w:ascii="Cambria" w:eastAsia="Calibri" w:hAnsi="Cambria" w:cs="Times New Roman"/>
              </w:rPr>
              <w:t>.</w:t>
            </w:r>
          </w:p>
          <w:p w14:paraId="3A5BB567" w14:textId="64276054" w:rsidR="00006734" w:rsidRPr="009F5A4E" w:rsidRDefault="00006734" w:rsidP="00006734">
            <w:pPr>
              <w:numPr>
                <w:ilvl w:val="1"/>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DNA sample size = 1ug</w:t>
            </w:r>
            <w:r w:rsidR="00F5516A">
              <w:rPr>
                <w:rFonts w:ascii="Cambria" w:eastAsia="Calibri" w:hAnsi="Cambria" w:cs="Times New Roman"/>
              </w:rPr>
              <w:t>.</w:t>
            </w:r>
            <w:bookmarkStart w:id="0" w:name="_GoBack"/>
            <w:bookmarkEnd w:id="0"/>
          </w:p>
          <w:p w14:paraId="6B4AF0B4" w14:textId="55A769D4" w:rsidR="00006734" w:rsidRPr="009F5A4E" w:rsidRDefault="00006734" w:rsidP="00006734">
            <w:pPr>
              <w:numPr>
                <w:ilvl w:val="1"/>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A clinical PM at each sequencing center will work with sites for sample transfer</w:t>
            </w:r>
            <w:r w:rsidR="00F5516A">
              <w:rPr>
                <w:rFonts w:ascii="Cambria" w:eastAsia="Calibri" w:hAnsi="Cambria" w:cs="Times New Roman"/>
              </w:rPr>
              <w:t>.</w:t>
            </w:r>
          </w:p>
          <w:p w14:paraId="350123C0" w14:textId="1293D8C3" w:rsidR="00006734" w:rsidRPr="009F5A4E" w:rsidRDefault="00006734" w:rsidP="00006734">
            <w:pPr>
              <w:numPr>
                <w:ilvl w:val="1"/>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Primary analysis will be SNVs, </w:t>
            </w:r>
            <w:proofErr w:type="spellStart"/>
            <w:r w:rsidRPr="009F5A4E">
              <w:rPr>
                <w:rFonts w:ascii="Cambria" w:eastAsia="Calibri" w:hAnsi="Cambria" w:cs="Times New Roman"/>
              </w:rPr>
              <w:t>Indels</w:t>
            </w:r>
            <w:proofErr w:type="spellEnd"/>
            <w:r w:rsidRPr="009F5A4E">
              <w:rPr>
                <w:rFonts w:ascii="Cambria" w:eastAsia="Calibri" w:hAnsi="Cambria" w:cs="Times New Roman"/>
              </w:rPr>
              <w:t>, and structural variants</w:t>
            </w:r>
            <w:r w:rsidR="00F5516A">
              <w:rPr>
                <w:rFonts w:ascii="Cambria" w:eastAsia="Calibri" w:hAnsi="Cambria" w:cs="Times New Roman"/>
              </w:rPr>
              <w:t>.</w:t>
            </w:r>
          </w:p>
          <w:p w14:paraId="07C5480F" w14:textId="77777777" w:rsidR="00006734" w:rsidRPr="009F5A4E" w:rsidRDefault="00006734" w:rsidP="00006734">
            <w:pPr>
              <w:numPr>
                <w:ilvl w:val="2"/>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Allelic coverage statistics will be available through DNA Nexus. </w:t>
            </w:r>
          </w:p>
          <w:p w14:paraId="366A099E" w14:textId="77777777" w:rsidR="00006734" w:rsidRPr="009F5A4E" w:rsidRDefault="00006734" w:rsidP="00006734">
            <w:pPr>
              <w:numPr>
                <w:ilvl w:val="2"/>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Any somatic variant analysis will be available where coverage is high enough.</w:t>
            </w:r>
          </w:p>
          <w:p w14:paraId="1CFFC5A5" w14:textId="09FA0926"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Variant interpretation/variant calling processes at the two sequencing centers will</w:t>
            </w:r>
            <w:r w:rsidR="00F5516A">
              <w:rPr>
                <w:rFonts w:ascii="Cambria" w:eastAsia="Calibri" w:hAnsi="Cambria" w:cs="Times New Roman"/>
              </w:rPr>
              <w:t xml:space="preserve"> </w:t>
            </w:r>
            <w:r w:rsidRPr="009F5A4E">
              <w:rPr>
                <w:rFonts w:ascii="Cambria" w:eastAsia="Calibri" w:hAnsi="Cambria" w:cs="Times New Roman"/>
              </w:rPr>
              <w:t>produc</w:t>
            </w:r>
            <w:r w:rsidR="00F5516A">
              <w:rPr>
                <w:rFonts w:ascii="Cambria" w:eastAsia="Calibri" w:hAnsi="Cambria" w:cs="Times New Roman"/>
              </w:rPr>
              <w:t>e</w:t>
            </w:r>
            <w:r w:rsidRPr="009F5A4E">
              <w:rPr>
                <w:rFonts w:ascii="Cambria" w:eastAsia="Calibri" w:hAnsi="Cambria" w:cs="Times New Roman"/>
              </w:rPr>
              <w:t xml:space="preserve"> Patient-centered clinical CLIA reports which will flow through </w:t>
            </w:r>
            <w:proofErr w:type="spellStart"/>
            <w:r w:rsidRPr="009F5A4E">
              <w:rPr>
                <w:rFonts w:ascii="Cambria" w:eastAsia="Calibri" w:hAnsi="Cambria" w:cs="Times New Roman"/>
              </w:rPr>
              <w:t>GeneIn</w:t>
            </w:r>
            <w:r w:rsidR="00F5516A">
              <w:rPr>
                <w:rFonts w:ascii="Cambria" w:eastAsia="Calibri" w:hAnsi="Cambria" w:cs="Times New Roman"/>
              </w:rPr>
              <w:t>sight</w:t>
            </w:r>
            <w:proofErr w:type="spellEnd"/>
            <w:r w:rsidR="00F5516A">
              <w:rPr>
                <w:rFonts w:ascii="Cambria" w:eastAsia="Calibri" w:hAnsi="Cambria" w:cs="Times New Roman"/>
              </w:rPr>
              <w:t xml:space="preserve"> to the individual sites.</w:t>
            </w:r>
          </w:p>
          <w:p w14:paraId="1B4E1D37" w14:textId="5ECF318E"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Secondary, non-actionable findings will follow a different workflow and those more raw data will be collected in the Data Commons, which will contain functionality for investigators to do their own analyses. That will interact with other data storage sites like SPHINX. </w:t>
            </w:r>
          </w:p>
          <w:p w14:paraId="1EC38B64" w14:textId="27D0753C" w:rsidR="00006734" w:rsidRPr="00006734" w:rsidRDefault="00006734" w:rsidP="009F5A4E">
            <w:pPr>
              <w:shd w:val="clear" w:color="auto" w:fill="FFFFFF"/>
              <w:spacing w:before="240" w:after="120" w:line="240" w:lineRule="auto"/>
              <w:textAlignment w:val="baseline"/>
              <w:rPr>
                <w:rFonts w:ascii="Cambria" w:eastAsia="Calibri" w:hAnsi="Cambria" w:cs="Times New Roman"/>
                <w:i/>
                <w:u w:val="single"/>
              </w:rPr>
            </w:pPr>
            <w:r w:rsidRPr="00006734">
              <w:rPr>
                <w:rFonts w:ascii="Cambria" w:eastAsia="Calibri" w:hAnsi="Cambria" w:cs="Times New Roman"/>
                <w:u w:val="single"/>
              </w:rPr>
              <w:t>Results Reporting</w:t>
            </w:r>
            <w:r w:rsidRPr="009F5A4E">
              <w:rPr>
                <w:rFonts w:ascii="Cambria" w:eastAsia="Calibri" w:hAnsi="Cambria" w:cs="Times New Roman"/>
              </w:rPr>
              <w:t xml:space="preserve">- </w:t>
            </w:r>
            <w:r w:rsidR="00690CE3">
              <w:rPr>
                <w:rFonts w:ascii="Cambria" w:eastAsia="Calibri" w:hAnsi="Cambria" w:cs="Times New Roman"/>
                <w:i/>
              </w:rPr>
              <w:t>Birgit Funke &amp;</w:t>
            </w:r>
            <w:r w:rsidRPr="009F5A4E">
              <w:rPr>
                <w:rFonts w:ascii="Cambria" w:eastAsia="Calibri" w:hAnsi="Cambria" w:cs="Times New Roman"/>
                <w:i/>
              </w:rPr>
              <w:t xml:space="preserve"> Heidi Rehm</w:t>
            </w:r>
          </w:p>
          <w:p w14:paraId="4EC74EF3" w14:textId="5D279322"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b/>
              </w:rPr>
            </w:pPr>
            <w:r w:rsidRPr="009F5A4E">
              <w:rPr>
                <w:rFonts w:ascii="Cambria" w:eastAsia="Calibri" w:hAnsi="Cambria" w:cs="Times New Roman"/>
              </w:rPr>
              <w:t>Clinical interpretation involves assessing the strength of gene-disease relationship, assessing the evidence linking the variant to disease, and interpreting the variant in the context of the patient’s phenotype</w:t>
            </w:r>
            <w:r w:rsidR="007214EB">
              <w:rPr>
                <w:rFonts w:ascii="Cambria" w:eastAsia="Calibri" w:hAnsi="Cambria" w:cs="Times New Roman"/>
              </w:rPr>
              <w:t xml:space="preserve"> </w:t>
            </w:r>
            <w:r w:rsidRPr="009F5A4E">
              <w:rPr>
                <w:rFonts w:ascii="Cambria" w:eastAsia="Calibri" w:hAnsi="Cambria" w:cs="Times New Roman"/>
              </w:rPr>
              <w:t>to answer three questions: does the variant affect gene function; does this cause disease; does it fully explain</w:t>
            </w:r>
            <w:r w:rsidR="007214EB">
              <w:rPr>
                <w:rFonts w:ascii="Cambria" w:eastAsia="Calibri" w:hAnsi="Cambria" w:cs="Times New Roman"/>
              </w:rPr>
              <w:t xml:space="preserve"> the tested patients disease?</w:t>
            </w:r>
          </w:p>
          <w:p w14:paraId="4F2C8F07" w14:textId="18FEB264"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b/>
              </w:rPr>
            </w:pPr>
            <w:r w:rsidRPr="009F5A4E">
              <w:rPr>
                <w:rFonts w:ascii="Cambria" w:eastAsia="Calibri" w:hAnsi="Cambria" w:cs="Times New Roman"/>
              </w:rPr>
              <w:t xml:space="preserve">Sites will access patient reports and interpreted variants from </w:t>
            </w:r>
            <w:proofErr w:type="spellStart"/>
            <w:r w:rsidRPr="009F5A4E">
              <w:rPr>
                <w:rFonts w:ascii="Cambria" w:eastAsia="Calibri" w:hAnsi="Cambria" w:cs="Times New Roman"/>
              </w:rPr>
              <w:t>GeneInsight</w:t>
            </w:r>
            <w:proofErr w:type="spellEnd"/>
            <w:r w:rsidRPr="009F5A4E">
              <w:rPr>
                <w:rFonts w:ascii="Cambria" w:eastAsia="Calibri" w:hAnsi="Cambria" w:cs="Times New Roman"/>
              </w:rPr>
              <w:t xml:space="preserve">. They will access raw data and </w:t>
            </w:r>
            <w:proofErr w:type="spellStart"/>
            <w:r w:rsidRPr="009F5A4E">
              <w:rPr>
                <w:rFonts w:ascii="Cambria" w:eastAsia="Calibri" w:hAnsi="Cambria" w:cs="Times New Roman"/>
              </w:rPr>
              <w:t>vcf</w:t>
            </w:r>
            <w:proofErr w:type="spellEnd"/>
            <w:r w:rsidRPr="009F5A4E">
              <w:rPr>
                <w:rFonts w:ascii="Cambria" w:eastAsia="Calibri" w:hAnsi="Cambria" w:cs="Times New Roman"/>
              </w:rPr>
              <w:t xml:space="preserve"> files through Data Commons</w:t>
            </w:r>
            <w:r w:rsidR="007214EB">
              <w:rPr>
                <w:rFonts w:ascii="Cambria" w:eastAsia="Calibri" w:hAnsi="Cambria" w:cs="Times New Roman"/>
              </w:rPr>
              <w:t>,</w:t>
            </w:r>
            <w:r w:rsidRPr="009F5A4E">
              <w:rPr>
                <w:rFonts w:ascii="Cambria" w:eastAsia="Calibri" w:hAnsi="Cambria" w:cs="Times New Roman"/>
              </w:rPr>
              <w:t xml:space="preserve"> and they will access discovery data through the CC. </w:t>
            </w:r>
          </w:p>
          <w:p w14:paraId="7B77D5B5" w14:textId="77777777"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b/>
              </w:rPr>
            </w:pPr>
            <w:r w:rsidRPr="009F5A4E">
              <w:rPr>
                <w:rFonts w:ascii="Cambria" w:eastAsia="Calibri" w:hAnsi="Cambria" w:cs="Times New Roman"/>
              </w:rPr>
              <w:t xml:space="preserve">The CSGs will submit clinically relevant variants to </w:t>
            </w:r>
            <w:proofErr w:type="spellStart"/>
            <w:r w:rsidRPr="009F5A4E">
              <w:rPr>
                <w:rFonts w:ascii="Cambria" w:eastAsia="Calibri" w:hAnsi="Cambria" w:cs="Times New Roman"/>
              </w:rPr>
              <w:t>ClinVAR</w:t>
            </w:r>
            <w:proofErr w:type="spellEnd"/>
            <w:r w:rsidRPr="009F5A4E">
              <w:rPr>
                <w:rFonts w:ascii="Cambria" w:eastAsia="Calibri" w:hAnsi="Cambria" w:cs="Times New Roman"/>
              </w:rPr>
              <w:t xml:space="preserve">. </w:t>
            </w:r>
          </w:p>
          <w:p w14:paraId="072A518E" w14:textId="77777777" w:rsidR="007214EB"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b/>
              </w:rPr>
            </w:pPr>
            <w:proofErr w:type="spellStart"/>
            <w:r w:rsidRPr="009F5A4E">
              <w:rPr>
                <w:rFonts w:ascii="Cambria" w:eastAsia="Calibri" w:hAnsi="Cambria" w:cs="Times New Roman"/>
              </w:rPr>
              <w:t>GeneInsight</w:t>
            </w:r>
            <w:proofErr w:type="spellEnd"/>
            <w:r w:rsidRPr="009F5A4E">
              <w:rPr>
                <w:rFonts w:ascii="Cambria" w:eastAsia="Calibri" w:hAnsi="Cambria" w:cs="Times New Roman"/>
              </w:rPr>
              <w:t xml:space="preserve"> has two major components:</w:t>
            </w:r>
          </w:p>
          <w:p w14:paraId="602E6EAA" w14:textId="77777777" w:rsidR="007214EB" w:rsidRPr="009F5A4E" w:rsidRDefault="00006734" w:rsidP="009F5A4E">
            <w:pPr>
              <w:numPr>
                <w:ilvl w:val="1"/>
                <w:numId w:val="25"/>
              </w:numPr>
              <w:shd w:val="clear" w:color="auto" w:fill="FFFFFF"/>
              <w:spacing w:before="120" w:after="120" w:line="240" w:lineRule="auto"/>
              <w:textAlignment w:val="baseline"/>
              <w:rPr>
                <w:rFonts w:ascii="Cambria" w:eastAsia="Calibri" w:hAnsi="Cambria" w:cs="Times New Roman"/>
                <w:b/>
              </w:rPr>
            </w:pPr>
            <w:proofErr w:type="spellStart"/>
            <w:r w:rsidRPr="009F5A4E">
              <w:rPr>
                <w:rFonts w:ascii="Cambria" w:eastAsia="Calibri" w:hAnsi="Cambria" w:cs="Times New Roman"/>
              </w:rPr>
              <w:t>GeneInsight</w:t>
            </w:r>
            <w:proofErr w:type="spellEnd"/>
            <w:r w:rsidRPr="009F5A4E">
              <w:rPr>
                <w:rFonts w:ascii="Cambria" w:eastAsia="Calibri" w:hAnsi="Cambria" w:cs="Times New Roman"/>
              </w:rPr>
              <w:t xml:space="preserve"> lab (a case manager, all stored reports will be here, has a search program, all sites and staff will have logins to the system, patient identifying information will be de-identified</w:t>
            </w:r>
            <w:r w:rsidR="007214EB">
              <w:rPr>
                <w:rFonts w:ascii="Cambria" w:eastAsia="Calibri" w:hAnsi="Cambria" w:cs="Times New Roman"/>
              </w:rPr>
              <w:t>).</w:t>
            </w:r>
          </w:p>
          <w:p w14:paraId="3F4E7C9C" w14:textId="70585F19" w:rsidR="00006734" w:rsidRPr="009F5A4E" w:rsidRDefault="00006734" w:rsidP="009F5A4E">
            <w:pPr>
              <w:numPr>
                <w:ilvl w:val="1"/>
                <w:numId w:val="25"/>
              </w:numPr>
              <w:shd w:val="clear" w:color="auto" w:fill="FFFFFF"/>
              <w:spacing w:before="120" w:after="120" w:line="240" w:lineRule="auto"/>
              <w:textAlignment w:val="baseline"/>
              <w:rPr>
                <w:rFonts w:ascii="Cambria" w:eastAsia="Calibri" w:hAnsi="Cambria" w:cs="Times New Roman"/>
                <w:b/>
              </w:rPr>
            </w:pPr>
            <w:proofErr w:type="spellStart"/>
            <w:r w:rsidRPr="009F5A4E">
              <w:rPr>
                <w:rFonts w:ascii="Cambria" w:eastAsia="Calibri" w:hAnsi="Cambria" w:cs="Times New Roman"/>
              </w:rPr>
              <w:lastRenderedPageBreak/>
              <w:t>GeneInsight</w:t>
            </w:r>
            <w:proofErr w:type="spellEnd"/>
            <w:r w:rsidRPr="009F5A4E">
              <w:rPr>
                <w:rFonts w:ascii="Cambria" w:eastAsia="Calibri" w:hAnsi="Cambria" w:cs="Times New Roman"/>
              </w:rPr>
              <w:t xml:space="preserve"> Clinic (9 systems for each of the 9 sites, only individual sites’ reports will be in it</w:t>
            </w:r>
            <w:r w:rsidR="00F5516A" w:rsidRPr="00F5516A">
              <w:rPr>
                <w:rFonts w:ascii="Cambria" w:eastAsia="Calibri" w:hAnsi="Cambria" w:cs="Times New Roman"/>
              </w:rPr>
              <w:t>, patient</w:t>
            </w:r>
            <w:r w:rsidRPr="009F5A4E">
              <w:rPr>
                <w:rFonts w:ascii="Cambria" w:eastAsia="Calibri" w:hAnsi="Cambria" w:cs="Times New Roman"/>
              </w:rPr>
              <w:t xml:space="preserve"> identifying information will be preserved, alerts and clinical decision support functionality is available).</w:t>
            </w:r>
          </w:p>
          <w:p w14:paraId="410F5040" w14:textId="67ACC486" w:rsidR="00006734" w:rsidRPr="009F5A4E" w:rsidRDefault="00BA1798" w:rsidP="00006734">
            <w:pPr>
              <w:numPr>
                <w:ilvl w:val="0"/>
                <w:numId w:val="25"/>
              </w:numPr>
              <w:shd w:val="clear" w:color="auto" w:fill="FFFFFF"/>
              <w:spacing w:before="120" w:after="120" w:line="240" w:lineRule="auto"/>
              <w:textAlignment w:val="baseline"/>
              <w:rPr>
                <w:rFonts w:ascii="Cambria" w:eastAsia="Calibri" w:hAnsi="Cambria" w:cs="Times New Roman"/>
                <w:b/>
              </w:rPr>
            </w:pPr>
            <w:proofErr w:type="spellStart"/>
            <w:r>
              <w:rPr>
                <w:rFonts w:ascii="Cambria" w:eastAsia="Calibri" w:hAnsi="Cambria" w:cs="Times New Roman"/>
              </w:rPr>
              <w:t>GeneInsight</w:t>
            </w:r>
            <w:proofErr w:type="spellEnd"/>
            <w:r w:rsidR="00006734" w:rsidRPr="009F5A4E">
              <w:rPr>
                <w:rFonts w:ascii="Cambria" w:eastAsia="Calibri" w:hAnsi="Cambria" w:cs="Times New Roman"/>
              </w:rPr>
              <w:t xml:space="preserve"> has a knowledgebase which will be accessible and flow into </w:t>
            </w:r>
            <w:proofErr w:type="spellStart"/>
            <w:r w:rsidR="00006734" w:rsidRPr="009F5A4E">
              <w:rPr>
                <w:rFonts w:ascii="Cambria" w:eastAsia="Calibri" w:hAnsi="Cambria" w:cs="Times New Roman"/>
              </w:rPr>
              <w:t>GeneInsight</w:t>
            </w:r>
            <w:proofErr w:type="spellEnd"/>
            <w:r w:rsidR="00006734" w:rsidRPr="009F5A4E">
              <w:rPr>
                <w:rFonts w:ascii="Cambria" w:eastAsia="Calibri" w:hAnsi="Cambria" w:cs="Times New Roman"/>
              </w:rPr>
              <w:t xml:space="preserve"> Clinical so reports and alerts will be updated. </w:t>
            </w:r>
            <w:proofErr w:type="spellStart"/>
            <w:r w:rsidR="00006734" w:rsidRPr="009F5A4E">
              <w:rPr>
                <w:rFonts w:ascii="Cambria" w:eastAsia="Calibri" w:hAnsi="Cambria" w:cs="Times New Roman"/>
              </w:rPr>
              <w:t>GeneInsight</w:t>
            </w:r>
            <w:proofErr w:type="spellEnd"/>
            <w:r w:rsidR="00006734" w:rsidRPr="009F5A4E">
              <w:rPr>
                <w:rFonts w:ascii="Cambria" w:eastAsia="Calibri" w:hAnsi="Cambria" w:cs="Times New Roman"/>
              </w:rPr>
              <w:t xml:space="preserve"> knowledgebase is part of </w:t>
            </w:r>
            <w:proofErr w:type="spellStart"/>
            <w:r w:rsidR="00006734" w:rsidRPr="009F5A4E">
              <w:rPr>
                <w:rFonts w:ascii="Cambria" w:eastAsia="Calibri" w:hAnsi="Cambria" w:cs="Times New Roman"/>
              </w:rPr>
              <w:t>VariantWire</w:t>
            </w:r>
            <w:proofErr w:type="spellEnd"/>
            <w:r w:rsidR="00006734" w:rsidRPr="009F5A4E">
              <w:rPr>
                <w:rFonts w:ascii="Cambria" w:eastAsia="Calibri" w:hAnsi="Cambria" w:cs="Times New Roman"/>
              </w:rPr>
              <w:t xml:space="preserve">, linking clinically validated, de-identified disease, gene, and variant data from all sites using </w:t>
            </w:r>
            <w:r>
              <w:rPr>
                <w:rFonts w:ascii="Cambria" w:eastAsia="Calibri" w:hAnsi="Cambria" w:cs="Times New Roman"/>
              </w:rPr>
              <w:t>the system</w:t>
            </w:r>
            <w:r w:rsidR="00006734" w:rsidRPr="009F5A4E">
              <w:rPr>
                <w:rFonts w:ascii="Cambria" w:eastAsia="Calibri" w:hAnsi="Cambria" w:cs="Times New Roman"/>
              </w:rPr>
              <w:t xml:space="preserve">. The hope is that the steering committee of </w:t>
            </w:r>
            <w:proofErr w:type="spellStart"/>
            <w:r w:rsidR="00006734" w:rsidRPr="009F5A4E">
              <w:rPr>
                <w:rFonts w:ascii="Cambria" w:eastAsia="Calibri" w:hAnsi="Cambria" w:cs="Times New Roman"/>
              </w:rPr>
              <w:t>VariantWire</w:t>
            </w:r>
            <w:proofErr w:type="spellEnd"/>
            <w:r w:rsidR="00006734" w:rsidRPr="009F5A4E">
              <w:rPr>
                <w:rFonts w:ascii="Cambria" w:eastAsia="Calibri" w:hAnsi="Cambria" w:cs="Times New Roman"/>
              </w:rPr>
              <w:t xml:space="preserve"> will approve </w:t>
            </w:r>
            <w:proofErr w:type="spellStart"/>
            <w:r w:rsidR="00006734" w:rsidRPr="009F5A4E">
              <w:rPr>
                <w:rFonts w:ascii="Cambria" w:eastAsia="Calibri" w:hAnsi="Cambria" w:cs="Times New Roman"/>
              </w:rPr>
              <w:t>eMERGE</w:t>
            </w:r>
            <w:proofErr w:type="spellEnd"/>
            <w:r w:rsidR="00006734" w:rsidRPr="009F5A4E">
              <w:rPr>
                <w:rFonts w:ascii="Cambria" w:eastAsia="Calibri" w:hAnsi="Cambria" w:cs="Times New Roman"/>
              </w:rPr>
              <w:t xml:space="preserve"> access.</w:t>
            </w:r>
          </w:p>
          <w:p w14:paraId="03869074" w14:textId="123CD067" w:rsidR="00006734" w:rsidRPr="009F5A4E" w:rsidRDefault="007214EB" w:rsidP="00006734">
            <w:pPr>
              <w:numPr>
                <w:ilvl w:val="0"/>
                <w:numId w:val="25"/>
              </w:numPr>
              <w:shd w:val="clear" w:color="auto" w:fill="FFFFFF"/>
              <w:spacing w:before="120" w:after="120" w:line="240" w:lineRule="auto"/>
              <w:textAlignment w:val="baseline"/>
              <w:rPr>
                <w:rFonts w:ascii="Cambria" w:eastAsia="Calibri" w:hAnsi="Cambria" w:cs="Times New Roman"/>
                <w:b/>
              </w:rPr>
            </w:pPr>
            <w:r>
              <w:rPr>
                <w:rFonts w:ascii="Cambria" w:eastAsia="Calibri" w:hAnsi="Cambria" w:cs="Times New Roman"/>
              </w:rPr>
              <w:t>CSGs are d</w:t>
            </w:r>
            <w:r w:rsidR="00006734" w:rsidRPr="009F5A4E">
              <w:rPr>
                <w:rFonts w:ascii="Cambria" w:eastAsia="Calibri" w:hAnsi="Cambria" w:cs="Times New Roman"/>
              </w:rPr>
              <w:t xml:space="preserve">eveloping the return of results process to be curated as variants are reinterpreted.  </w:t>
            </w:r>
          </w:p>
          <w:p w14:paraId="5C606684" w14:textId="11C06EC3"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Var</w:t>
            </w:r>
            <w:r w:rsidR="007214EB">
              <w:rPr>
                <w:rFonts w:ascii="Cambria" w:eastAsia="Calibri" w:hAnsi="Cambria" w:cs="Times New Roman"/>
              </w:rPr>
              <w:t xml:space="preserve">iant calls of </w:t>
            </w:r>
            <w:r w:rsidRPr="009F5A4E">
              <w:rPr>
                <w:rFonts w:ascii="Cambria" w:eastAsia="Calibri" w:hAnsi="Cambria" w:cs="Times New Roman"/>
              </w:rPr>
              <w:t xml:space="preserve">genes on </w:t>
            </w:r>
            <w:proofErr w:type="gramStart"/>
            <w:r w:rsidRPr="009F5A4E">
              <w:rPr>
                <w:rFonts w:ascii="Cambria" w:eastAsia="Calibri" w:hAnsi="Cambria" w:cs="Times New Roman"/>
              </w:rPr>
              <w:t>the eMERGE</w:t>
            </w:r>
            <w:proofErr w:type="gramEnd"/>
            <w:r w:rsidRPr="009F5A4E">
              <w:rPr>
                <w:rFonts w:ascii="Cambria" w:eastAsia="Calibri" w:hAnsi="Cambria" w:cs="Times New Roman"/>
              </w:rPr>
              <w:t xml:space="preserve"> panel are being submitted to </w:t>
            </w:r>
            <w:proofErr w:type="spellStart"/>
            <w:r w:rsidRPr="009F5A4E">
              <w:rPr>
                <w:rFonts w:ascii="Cambria" w:eastAsia="Calibri" w:hAnsi="Cambria" w:cs="Times New Roman"/>
              </w:rPr>
              <w:t>ClinVAR</w:t>
            </w:r>
            <w:proofErr w:type="spellEnd"/>
            <w:r w:rsidRPr="009F5A4E">
              <w:rPr>
                <w:rFonts w:ascii="Cambria" w:eastAsia="Calibri" w:hAnsi="Cambria" w:cs="Times New Roman"/>
              </w:rPr>
              <w:t xml:space="preserve"> and any immediate discrepancies will be resolved.  The Clinical Annotation and/or Return of Results workgroup can also be consulted on a case</w:t>
            </w:r>
            <w:r w:rsidR="007214EB">
              <w:rPr>
                <w:rFonts w:ascii="Cambria" w:eastAsia="Calibri" w:hAnsi="Cambria" w:cs="Times New Roman"/>
              </w:rPr>
              <w:t>-</w:t>
            </w:r>
            <w:r w:rsidRPr="009F5A4E">
              <w:rPr>
                <w:rFonts w:ascii="Cambria" w:eastAsia="Calibri" w:hAnsi="Cambria" w:cs="Times New Roman"/>
              </w:rPr>
              <w:t>by</w:t>
            </w:r>
            <w:r w:rsidR="007214EB">
              <w:rPr>
                <w:rFonts w:ascii="Cambria" w:eastAsia="Calibri" w:hAnsi="Cambria" w:cs="Times New Roman"/>
              </w:rPr>
              <w:t>-</w:t>
            </w:r>
            <w:r w:rsidRPr="009F5A4E">
              <w:rPr>
                <w:rFonts w:ascii="Cambria" w:eastAsia="Calibri" w:hAnsi="Cambria" w:cs="Times New Roman"/>
              </w:rPr>
              <w:t xml:space="preserve">case basis. </w:t>
            </w:r>
          </w:p>
          <w:p w14:paraId="7949AE84" w14:textId="6FA7C48B"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An instance of </w:t>
            </w:r>
            <w:proofErr w:type="spellStart"/>
            <w:r w:rsidRPr="009F5A4E">
              <w:rPr>
                <w:rFonts w:ascii="Cambria" w:eastAsia="Calibri" w:hAnsi="Cambria" w:cs="Times New Roman"/>
              </w:rPr>
              <w:t>GeneInsight</w:t>
            </w:r>
            <w:proofErr w:type="spellEnd"/>
            <w:r w:rsidRPr="009F5A4E">
              <w:rPr>
                <w:rFonts w:ascii="Cambria" w:eastAsia="Calibri" w:hAnsi="Cambria" w:cs="Times New Roman"/>
              </w:rPr>
              <w:t xml:space="preserve"> will be p</w:t>
            </w:r>
            <w:r w:rsidR="007214EB">
              <w:rPr>
                <w:rFonts w:ascii="Cambria" w:eastAsia="Calibri" w:hAnsi="Cambria" w:cs="Times New Roman"/>
              </w:rPr>
              <w:t>rovided to each site with an ad</w:t>
            </w:r>
            <w:r w:rsidRPr="009F5A4E">
              <w:rPr>
                <w:rFonts w:ascii="Cambria" w:eastAsia="Calibri" w:hAnsi="Cambria" w:cs="Times New Roman"/>
              </w:rPr>
              <w:t>ministrative login</w:t>
            </w:r>
            <w:r w:rsidR="007214EB">
              <w:rPr>
                <w:rFonts w:ascii="Cambria" w:eastAsia="Calibri" w:hAnsi="Cambria" w:cs="Times New Roman"/>
              </w:rPr>
              <w:t xml:space="preserve">. </w:t>
            </w:r>
            <w:r w:rsidRPr="009F5A4E">
              <w:rPr>
                <w:rFonts w:ascii="Cambria" w:eastAsia="Calibri" w:hAnsi="Cambria" w:cs="Times New Roman"/>
              </w:rPr>
              <w:t xml:space="preserve">In order for it to be utilized by a healthcare system, it would really need to be integrated with its EHR. </w:t>
            </w:r>
            <w:r w:rsidR="007214EB">
              <w:rPr>
                <w:rFonts w:ascii="Cambria" w:eastAsia="Calibri" w:hAnsi="Cambria" w:cs="Times New Roman"/>
              </w:rPr>
              <w:t>The EHR Integration group c</w:t>
            </w:r>
            <w:r w:rsidRPr="009F5A4E">
              <w:rPr>
                <w:rFonts w:ascii="Cambria" w:eastAsia="Calibri" w:hAnsi="Cambria" w:cs="Times New Roman"/>
              </w:rPr>
              <w:t xml:space="preserve">ould </w:t>
            </w:r>
            <w:r w:rsidR="007214EB">
              <w:rPr>
                <w:rFonts w:ascii="Cambria" w:eastAsia="Calibri" w:hAnsi="Cambria" w:cs="Times New Roman"/>
              </w:rPr>
              <w:t>investigate</w:t>
            </w:r>
            <w:r w:rsidRPr="009F5A4E">
              <w:rPr>
                <w:rFonts w:ascii="Cambria" w:eastAsia="Calibri" w:hAnsi="Cambria" w:cs="Times New Roman"/>
              </w:rPr>
              <w:t xml:space="preserve"> current process flows and what would be needed to expand it.  An alternative is </w:t>
            </w:r>
            <w:r w:rsidR="007214EB">
              <w:rPr>
                <w:rFonts w:ascii="Cambria" w:eastAsia="Calibri" w:hAnsi="Cambria" w:cs="Times New Roman"/>
              </w:rPr>
              <w:t xml:space="preserve">that </w:t>
            </w:r>
            <w:proofErr w:type="spellStart"/>
            <w:r w:rsidRPr="009F5A4E">
              <w:rPr>
                <w:rFonts w:ascii="Cambria" w:eastAsia="Calibri" w:hAnsi="Cambria" w:cs="Times New Roman"/>
              </w:rPr>
              <w:t>GeneInsight</w:t>
            </w:r>
            <w:proofErr w:type="spellEnd"/>
            <w:r w:rsidRPr="009F5A4E">
              <w:rPr>
                <w:rFonts w:ascii="Cambria" w:eastAsia="Calibri" w:hAnsi="Cambria" w:cs="Times New Roman"/>
              </w:rPr>
              <w:t xml:space="preserve"> can put the inf</w:t>
            </w:r>
            <w:r w:rsidR="007214EB">
              <w:rPr>
                <w:rFonts w:ascii="Cambria" w:eastAsia="Calibri" w:hAnsi="Cambria" w:cs="Times New Roman"/>
              </w:rPr>
              <w:t>ormation directly into the EHR.</w:t>
            </w:r>
          </w:p>
          <w:p w14:paraId="1AB8F29E" w14:textId="496DEBDF"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Close interaction with </w:t>
            </w:r>
            <w:proofErr w:type="spellStart"/>
            <w:r w:rsidRPr="009F5A4E">
              <w:rPr>
                <w:rFonts w:ascii="Cambria" w:eastAsia="Calibri" w:hAnsi="Cambria" w:cs="Times New Roman"/>
              </w:rPr>
              <w:t>ClinGen</w:t>
            </w:r>
            <w:proofErr w:type="spellEnd"/>
            <w:r w:rsidRPr="009F5A4E">
              <w:rPr>
                <w:rFonts w:ascii="Cambria" w:eastAsia="Calibri" w:hAnsi="Cambria" w:cs="Times New Roman"/>
              </w:rPr>
              <w:t xml:space="preserve"> will </w:t>
            </w:r>
            <w:r w:rsidR="007214EB">
              <w:rPr>
                <w:rFonts w:ascii="Cambria" w:eastAsia="Calibri" w:hAnsi="Cambria" w:cs="Times New Roman"/>
              </w:rPr>
              <w:t xml:space="preserve">take place to </w:t>
            </w:r>
            <w:r w:rsidRPr="009F5A4E">
              <w:rPr>
                <w:rFonts w:ascii="Cambria" w:eastAsia="Calibri" w:hAnsi="Cambria" w:cs="Times New Roman"/>
              </w:rPr>
              <w:t>engage subject matter experts in variant interpretation.</w:t>
            </w:r>
          </w:p>
          <w:p w14:paraId="44406A32" w14:textId="7C080E77" w:rsidR="00006734" w:rsidRPr="009F5A4E" w:rsidRDefault="00006734" w:rsidP="00006734">
            <w:pPr>
              <w:shd w:val="clear" w:color="auto" w:fill="FFFFFF"/>
              <w:spacing w:before="120" w:after="120" w:line="240" w:lineRule="auto"/>
              <w:textAlignment w:val="baseline"/>
              <w:rPr>
                <w:rFonts w:ascii="Cambria" w:eastAsia="Calibri" w:hAnsi="Cambria" w:cs="Times New Roman"/>
                <w:b/>
              </w:rPr>
            </w:pPr>
            <w:r w:rsidRPr="009F5A4E">
              <w:rPr>
                <w:rFonts w:ascii="Cambria" w:eastAsia="Calibri" w:hAnsi="Cambria" w:cs="Times New Roman"/>
                <w:b/>
              </w:rPr>
              <w:t xml:space="preserve">ACTION ITEM: </w:t>
            </w:r>
            <w:r w:rsidR="009560E9">
              <w:rPr>
                <w:rFonts w:ascii="Cambria" w:eastAsia="Calibri" w:hAnsi="Cambria" w:cs="Times New Roman"/>
                <w:b/>
              </w:rPr>
              <w:t xml:space="preserve">The </w:t>
            </w:r>
            <w:r w:rsidRPr="009F5A4E">
              <w:rPr>
                <w:rFonts w:ascii="Cambria" w:eastAsia="Calibri" w:hAnsi="Cambria" w:cs="Times New Roman"/>
                <w:b/>
              </w:rPr>
              <w:t>CSGs will pre-curate common actionable variants.</w:t>
            </w:r>
          </w:p>
          <w:p w14:paraId="7636CEFC" w14:textId="5C1FE909" w:rsidR="00006734" w:rsidRPr="009F5A4E" w:rsidRDefault="00006734" w:rsidP="00006734">
            <w:pPr>
              <w:shd w:val="clear" w:color="auto" w:fill="FFFFFF"/>
              <w:spacing w:before="120" w:after="120" w:line="240" w:lineRule="auto"/>
              <w:textAlignment w:val="baseline"/>
              <w:rPr>
                <w:rFonts w:ascii="Cambria" w:eastAsia="Calibri" w:hAnsi="Cambria" w:cs="Times New Roman"/>
                <w:b/>
              </w:rPr>
            </w:pPr>
            <w:r w:rsidRPr="009F5A4E">
              <w:rPr>
                <w:rFonts w:ascii="Cambria" w:eastAsia="Calibri" w:hAnsi="Cambria" w:cs="Times New Roman"/>
                <w:b/>
              </w:rPr>
              <w:t xml:space="preserve">ACTION ITEM: </w:t>
            </w:r>
            <w:r w:rsidR="009560E9">
              <w:rPr>
                <w:rFonts w:ascii="Cambria" w:eastAsia="Calibri" w:hAnsi="Cambria" w:cs="Times New Roman"/>
                <w:b/>
              </w:rPr>
              <w:t xml:space="preserve">The </w:t>
            </w:r>
            <w:r w:rsidRPr="009F5A4E">
              <w:rPr>
                <w:rFonts w:ascii="Cambria" w:eastAsia="Calibri" w:hAnsi="Cambria" w:cs="Times New Roman"/>
                <w:b/>
              </w:rPr>
              <w:t>CSGs will harmonize clinical variant classification between themselves.</w:t>
            </w:r>
          </w:p>
          <w:p w14:paraId="2FAF9D0C" w14:textId="30CAB073" w:rsidR="00006734" w:rsidRPr="00006734" w:rsidRDefault="00006734" w:rsidP="00006734">
            <w:pPr>
              <w:shd w:val="clear" w:color="auto" w:fill="FFFFFF"/>
              <w:spacing w:before="120" w:after="120" w:line="240" w:lineRule="auto"/>
              <w:textAlignment w:val="baseline"/>
              <w:rPr>
                <w:rFonts w:ascii="Cambria" w:eastAsia="Calibri" w:hAnsi="Cambria" w:cs="Times New Roman"/>
                <w:b/>
                <w:u w:val="single"/>
              </w:rPr>
            </w:pPr>
            <w:r w:rsidRPr="009F5A4E">
              <w:rPr>
                <w:rFonts w:ascii="Cambria" w:eastAsia="Calibri" w:hAnsi="Cambria" w:cs="Times New Roman"/>
                <w:b/>
              </w:rPr>
              <w:t xml:space="preserve">ACTION ITEM: </w:t>
            </w:r>
            <w:r w:rsidR="009560E9">
              <w:rPr>
                <w:rFonts w:ascii="Cambria" w:eastAsia="Calibri" w:hAnsi="Cambria" w:cs="Times New Roman"/>
                <w:b/>
              </w:rPr>
              <w:t xml:space="preserve">The </w:t>
            </w:r>
            <w:r w:rsidRPr="009F5A4E">
              <w:rPr>
                <w:rFonts w:ascii="Cambria" w:eastAsia="Calibri" w:hAnsi="Cambria" w:cs="Times New Roman"/>
                <w:b/>
              </w:rPr>
              <w:t>CSGs will compare</w:t>
            </w:r>
            <w:r w:rsidR="00644756">
              <w:rPr>
                <w:rFonts w:ascii="Cambria" w:eastAsia="Calibri" w:hAnsi="Cambria" w:cs="Times New Roman"/>
                <w:b/>
              </w:rPr>
              <w:t xml:space="preserve"> clinical </w:t>
            </w:r>
            <w:r w:rsidRPr="009F5A4E">
              <w:rPr>
                <w:rFonts w:ascii="Cambria" w:eastAsia="Calibri" w:hAnsi="Cambria" w:cs="Times New Roman"/>
                <w:b/>
              </w:rPr>
              <w:t>report formats</w:t>
            </w:r>
            <w:r w:rsidR="00644756">
              <w:rPr>
                <w:rFonts w:ascii="Cambria" w:eastAsia="Calibri" w:hAnsi="Cambria" w:cs="Times New Roman"/>
                <w:b/>
              </w:rPr>
              <w:t xml:space="preserve"> for harmonization</w:t>
            </w:r>
            <w:r w:rsidRPr="009F5A4E">
              <w:rPr>
                <w:rFonts w:ascii="Cambria" w:eastAsia="Calibri" w:hAnsi="Cambria" w:cs="Times New Roman"/>
                <w:b/>
              </w:rPr>
              <w:t>.</w:t>
            </w:r>
          </w:p>
          <w:p w14:paraId="559417AF" w14:textId="0EED0D7B" w:rsidR="00006734" w:rsidRPr="00006734" w:rsidRDefault="00006734" w:rsidP="009F5A4E">
            <w:pPr>
              <w:shd w:val="clear" w:color="auto" w:fill="FFFFFF"/>
              <w:spacing w:before="240" w:after="120" w:line="240" w:lineRule="auto"/>
              <w:textAlignment w:val="baseline"/>
              <w:rPr>
                <w:rFonts w:ascii="Cambria" w:eastAsia="Calibri" w:hAnsi="Cambria" w:cs="Times New Roman"/>
                <w:i/>
                <w:u w:val="single"/>
              </w:rPr>
            </w:pPr>
            <w:r w:rsidRPr="00006734">
              <w:rPr>
                <w:rFonts w:ascii="Cambria" w:eastAsia="Calibri" w:hAnsi="Cambria" w:cs="Times New Roman"/>
                <w:u w:val="single"/>
              </w:rPr>
              <w:t xml:space="preserve">Data Storage </w:t>
            </w:r>
            <w:r w:rsidRPr="009F5A4E">
              <w:rPr>
                <w:rFonts w:ascii="Cambria" w:eastAsia="Calibri" w:hAnsi="Cambria" w:cs="Times New Roman"/>
                <w:u w:val="single"/>
              </w:rPr>
              <w:t>and Access</w:t>
            </w:r>
            <w:r w:rsidR="00690CE3">
              <w:rPr>
                <w:rFonts w:ascii="Cambria" w:eastAsia="Calibri" w:hAnsi="Cambria" w:cs="Times New Roman"/>
              </w:rPr>
              <w:t xml:space="preserve"> –</w:t>
            </w:r>
            <w:r w:rsidR="00690CE3" w:rsidRPr="009F5A4E">
              <w:rPr>
                <w:rFonts w:ascii="Cambria" w:eastAsia="Calibri" w:hAnsi="Cambria" w:cs="Times New Roman"/>
                <w:i/>
              </w:rPr>
              <w:t xml:space="preserve">David </w:t>
            </w:r>
            <w:r w:rsidRPr="009F5A4E">
              <w:rPr>
                <w:rFonts w:ascii="Cambria" w:eastAsia="Calibri" w:hAnsi="Cambria" w:cs="Times New Roman"/>
                <w:i/>
              </w:rPr>
              <w:t>Crosslin</w:t>
            </w:r>
          </w:p>
          <w:p w14:paraId="2D5D6F50" w14:textId="07AB8646"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i/>
              </w:rPr>
            </w:pPr>
            <w:r w:rsidRPr="009F5A4E">
              <w:rPr>
                <w:rFonts w:ascii="Cambria" w:eastAsia="Calibri" w:hAnsi="Cambria" w:cs="Times New Roman"/>
              </w:rPr>
              <w:t>Raw data (</w:t>
            </w:r>
            <w:proofErr w:type="spellStart"/>
            <w:r w:rsidRPr="009F5A4E">
              <w:rPr>
                <w:rFonts w:ascii="Cambria" w:eastAsia="Calibri" w:hAnsi="Cambria" w:cs="Times New Roman"/>
              </w:rPr>
              <w:t>bams</w:t>
            </w:r>
            <w:proofErr w:type="spellEnd"/>
            <w:r w:rsidRPr="009F5A4E">
              <w:rPr>
                <w:rFonts w:ascii="Cambria" w:eastAsia="Calibri" w:hAnsi="Cambria" w:cs="Times New Roman"/>
              </w:rPr>
              <w:t xml:space="preserve">, </w:t>
            </w:r>
            <w:proofErr w:type="spellStart"/>
            <w:r w:rsidRPr="009F5A4E">
              <w:rPr>
                <w:rFonts w:ascii="Cambria" w:eastAsia="Calibri" w:hAnsi="Cambria" w:cs="Times New Roman"/>
              </w:rPr>
              <w:t>vcfs</w:t>
            </w:r>
            <w:proofErr w:type="spellEnd"/>
            <w:r w:rsidR="007214EB">
              <w:rPr>
                <w:rFonts w:ascii="Cambria" w:eastAsia="Calibri" w:hAnsi="Cambria" w:cs="Times New Roman"/>
              </w:rPr>
              <w:t>,</w:t>
            </w:r>
            <w:r w:rsidRPr="009F5A4E">
              <w:rPr>
                <w:rFonts w:ascii="Cambria" w:eastAsia="Calibri" w:hAnsi="Cambria" w:cs="Times New Roman"/>
              </w:rPr>
              <w:t xml:space="preserve"> FASTQs, and Recipe data) will be uploaded to Data Commons by sequencing centers, and annotated discovery analysis sets will be uploaded there by the CC for site access.  This system has been used in the past, and was found to be a great tool for community engagement, it promoted discovery and </w:t>
            </w:r>
            <w:r w:rsidR="007214EB">
              <w:rPr>
                <w:rFonts w:ascii="Cambria" w:eastAsia="Calibri" w:hAnsi="Cambria" w:cs="Times New Roman"/>
              </w:rPr>
              <w:t>was really about people, not</w:t>
            </w:r>
            <w:r w:rsidRPr="009F5A4E">
              <w:rPr>
                <w:rFonts w:ascii="Cambria" w:eastAsia="Calibri" w:hAnsi="Cambria" w:cs="Times New Roman"/>
              </w:rPr>
              <w:t xml:space="preserve"> computers.  </w:t>
            </w:r>
          </w:p>
          <w:p w14:paraId="748428A0" w14:textId="5A4ADF21"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i/>
              </w:rPr>
            </w:pPr>
            <w:r w:rsidRPr="009F5A4E">
              <w:rPr>
                <w:rFonts w:ascii="Cambria" w:eastAsia="Calibri" w:hAnsi="Cambria" w:cs="Times New Roman"/>
              </w:rPr>
              <w:t xml:space="preserve">Imputed array data, </w:t>
            </w:r>
            <w:proofErr w:type="spellStart"/>
            <w:r w:rsidRPr="009F5A4E">
              <w:rPr>
                <w:rFonts w:ascii="Cambria" w:eastAsia="Calibri" w:hAnsi="Cambria" w:cs="Times New Roman"/>
              </w:rPr>
              <w:t>multisample</w:t>
            </w:r>
            <w:proofErr w:type="spellEnd"/>
            <w:r w:rsidRPr="009F5A4E">
              <w:rPr>
                <w:rFonts w:ascii="Cambria" w:eastAsia="Calibri" w:hAnsi="Cambria" w:cs="Times New Roman"/>
              </w:rPr>
              <w:t xml:space="preserve"> calling data from the </w:t>
            </w:r>
            <w:proofErr w:type="spellStart"/>
            <w:r w:rsidRPr="009F5A4E">
              <w:rPr>
                <w:rFonts w:ascii="Cambria" w:eastAsia="Calibri" w:hAnsi="Cambria" w:cs="Times New Roman"/>
              </w:rPr>
              <w:t>PGx</w:t>
            </w:r>
            <w:proofErr w:type="spellEnd"/>
            <w:r w:rsidRPr="009F5A4E">
              <w:rPr>
                <w:rFonts w:ascii="Cambria" w:eastAsia="Calibri" w:hAnsi="Cambria" w:cs="Times New Roman"/>
              </w:rPr>
              <w:t xml:space="preserve"> platform</w:t>
            </w:r>
            <w:r w:rsidR="007214EB">
              <w:rPr>
                <w:rFonts w:ascii="Cambria" w:eastAsia="Calibri" w:hAnsi="Cambria" w:cs="Times New Roman"/>
              </w:rPr>
              <w:t>,</w:t>
            </w:r>
            <w:r w:rsidRPr="009F5A4E">
              <w:rPr>
                <w:rFonts w:ascii="Cambria" w:eastAsia="Calibri" w:hAnsi="Cambria" w:cs="Times New Roman"/>
              </w:rPr>
              <w:t xml:space="preserve"> will be pushed to Data Commons for site access.  SPHINX will be re-evaluated with an eye to data asset assessment, future planning, use case exploration, privacy/policy specifications, and legal/technical safeguard descriptions.</w:t>
            </w:r>
          </w:p>
          <w:p w14:paraId="0D1776CB" w14:textId="77777777"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i/>
              </w:rPr>
            </w:pPr>
            <w:proofErr w:type="gramStart"/>
            <w:r w:rsidRPr="009F5A4E">
              <w:rPr>
                <w:rFonts w:ascii="Cambria" w:eastAsia="Calibri" w:hAnsi="Cambria" w:cs="Times New Roman"/>
              </w:rPr>
              <w:t>eMERGE</w:t>
            </w:r>
            <w:proofErr w:type="gramEnd"/>
            <w:r w:rsidRPr="009F5A4E">
              <w:rPr>
                <w:rFonts w:ascii="Cambria" w:eastAsia="Calibri" w:hAnsi="Cambria" w:cs="Times New Roman"/>
              </w:rPr>
              <w:t xml:space="preserve"> will interface with the public through SPHINX, </w:t>
            </w:r>
            <w:proofErr w:type="spellStart"/>
            <w:r w:rsidRPr="009F5A4E">
              <w:rPr>
                <w:rFonts w:ascii="Cambria" w:eastAsia="Calibri" w:hAnsi="Cambria" w:cs="Times New Roman"/>
              </w:rPr>
              <w:t>dbGAP</w:t>
            </w:r>
            <w:proofErr w:type="spellEnd"/>
            <w:r w:rsidRPr="009F5A4E">
              <w:rPr>
                <w:rFonts w:ascii="Cambria" w:eastAsia="Calibri" w:hAnsi="Cambria" w:cs="Times New Roman"/>
              </w:rPr>
              <w:t xml:space="preserve">, and possibly through other collaborations.  </w:t>
            </w:r>
          </w:p>
          <w:p w14:paraId="210042A8" w14:textId="6AAE91B6" w:rsidR="00006734" w:rsidRPr="009F5A4E" w:rsidRDefault="00006734" w:rsidP="00006734">
            <w:pPr>
              <w:shd w:val="clear" w:color="auto" w:fill="FFFFFF"/>
              <w:spacing w:before="120" w:after="120" w:line="240" w:lineRule="auto"/>
              <w:textAlignment w:val="baseline"/>
              <w:rPr>
                <w:rFonts w:ascii="Cambria" w:eastAsia="Calibri" w:hAnsi="Cambria" w:cs="Times New Roman"/>
                <w:b/>
              </w:rPr>
            </w:pPr>
            <w:r w:rsidRPr="009F5A4E">
              <w:rPr>
                <w:rFonts w:ascii="Cambria" w:eastAsia="Calibri" w:hAnsi="Cambria" w:cs="Times New Roman"/>
                <w:b/>
              </w:rPr>
              <w:t xml:space="preserve">ACTION ITEM: </w:t>
            </w:r>
            <w:r w:rsidR="009560E9">
              <w:rPr>
                <w:rFonts w:ascii="Cambria" w:eastAsia="Calibri" w:hAnsi="Cambria" w:cs="Times New Roman"/>
                <w:b/>
              </w:rPr>
              <w:t xml:space="preserve">The </w:t>
            </w:r>
            <w:r w:rsidRPr="009F5A4E">
              <w:rPr>
                <w:rFonts w:ascii="Cambria" w:eastAsia="Calibri" w:hAnsi="Cambria" w:cs="Times New Roman"/>
                <w:b/>
              </w:rPr>
              <w:t>CC will create a matrix of phenotype by participant and association results by phenotype for internetwork collaboration.</w:t>
            </w:r>
          </w:p>
          <w:p w14:paraId="12B039B6" w14:textId="5FF3465F" w:rsidR="00006734" w:rsidRPr="00006734" w:rsidRDefault="00006734" w:rsidP="009F5A4E">
            <w:pPr>
              <w:shd w:val="clear" w:color="auto" w:fill="FFFFFF"/>
              <w:spacing w:before="240" w:after="120" w:line="240" w:lineRule="auto"/>
              <w:textAlignment w:val="baseline"/>
              <w:rPr>
                <w:rFonts w:ascii="Cambria" w:eastAsia="Calibri" w:hAnsi="Cambria" w:cs="Times New Roman"/>
                <w:i/>
                <w:u w:val="single"/>
              </w:rPr>
            </w:pPr>
            <w:r w:rsidRPr="00006734">
              <w:rPr>
                <w:rFonts w:ascii="Cambria" w:eastAsia="Calibri" w:hAnsi="Cambria" w:cs="Times New Roman"/>
                <w:u w:val="single"/>
              </w:rPr>
              <w:t>Genomic Data Management and Genomic Discovery Discussion</w:t>
            </w:r>
            <w:r w:rsidRPr="009F5A4E">
              <w:rPr>
                <w:rFonts w:ascii="Cambria" w:eastAsia="Calibri" w:hAnsi="Cambria" w:cs="Times New Roman"/>
              </w:rPr>
              <w:t xml:space="preserve">- </w:t>
            </w:r>
            <w:r w:rsidRPr="009F5A4E">
              <w:rPr>
                <w:rFonts w:ascii="Cambria" w:eastAsia="Calibri" w:hAnsi="Cambria" w:cs="Times New Roman"/>
                <w:i/>
              </w:rPr>
              <w:t>Richard Gibbs, Niall Lennon, Birgit Funke, Heidi Rehm,</w:t>
            </w:r>
            <w:r w:rsidR="00690CE3">
              <w:rPr>
                <w:rFonts w:ascii="Cambria" w:eastAsia="Calibri" w:hAnsi="Cambria" w:cs="Times New Roman"/>
                <w:i/>
              </w:rPr>
              <w:t xml:space="preserve"> &amp;</w:t>
            </w:r>
            <w:r w:rsidRPr="009F5A4E">
              <w:rPr>
                <w:rFonts w:ascii="Cambria" w:eastAsia="Calibri" w:hAnsi="Cambria" w:cs="Times New Roman"/>
                <w:i/>
              </w:rPr>
              <w:t xml:space="preserve"> David Crosslin</w:t>
            </w:r>
          </w:p>
          <w:p w14:paraId="0DA2C24D" w14:textId="77777777"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i/>
              </w:rPr>
            </w:pPr>
            <w:r w:rsidRPr="009F5A4E">
              <w:rPr>
                <w:rFonts w:ascii="Cambria" w:eastAsia="Calibri" w:hAnsi="Cambria" w:cs="Times New Roman"/>
              </w:rPr>
              <w:t>Both array and sequence data will be requested for Pre III data.</w:t>
            </w:r>
          </w:p>
          <w:p w14:paraId="3804CCE1" w14:textId="4C728D04"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Cohort enrichment for specific disease indications (how many healthy participants vs how many participant</w:t>
            </w:r>
            <w:r w:rsidR="007A4F42">
              <w:rPr>
                <w:rFonts w:ascii="Cambria" w:eastAsia="Calibri" w:hAnsi="Cambria" w:cs="Times New Roman"/>
              </w:rPr>
              <w:t>s have disease) was discussed.</w:t>
            </w:r>
          </w:p>
          <w:p w14:paraId="2B34A377" w14:textId="77777777"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Default is that CSGs will only return pathogenic/likely pathogenic results.  Including interpretation in light of indication would require discussion. This can be discussed on a site by site basis if interested. Having groups take turns presenting cases in a workgroup setting will also help inform processes.</w:t>
            </w:r>
          </w:p>
          <w:p w14:paraId="1D6FC9E6" w14:textId="69FC36AC"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Documenting lessons learned is an important deliverable for the Network.  There will not be one sequencing site for the world.  The more we have projects that help us understand similarities and differences in processes, and </w:t>
            </w:r>
            <w:r w:rsidR="00BF49C5">
              <w:rPr>
                <w:rFonts w:ascii="Cambria" w:eastAsia="Calibri" w:hAnsi="Cambria" w:cs="Times New Roman"/>
              </w:rPr>
              <w:lastRenderedPageBreak/>
              <w:t>learning from that, will add significantly from a scientific and implementation perspective</w:t>
            </w:r>
            <w:r w:rsidRPr="009F5A4E">
              <w:rPr>
                <w:rFonts w:ascii="Cambria" w:eastAsia="Calibri" w:hAnsi="Cambria" w:cs="Times New Roman"/>
              </w:rPr>
              <w:t>. The different platforms being used by the two CSGs is point of least variability in the system compared to the rest of the interpretation pipeline.</w:t>
            </w:r>
          </w:p>
          <w:p w14:paraId="64A142D6" w14:textId="0BCA5734"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i/>
              </w:rPr>
            </w:pPr>
            <w:r w:rsidRPr="009F5A4E">
              <w:rPr>
                <w:rFonts w:ascii="Cambria" w:eastAsia="Calibri" w:hAnsi="Cambria" w:cs="Times New Roman"/>
              </w:rPr>
              <w:t>Getting different interpretations and advice from different sequencing providers is an issue, so modeling the real world and coming up with strategies for harmonization that can be broadly used is important.  This is especially the case where the patient has had genetic testing before.</w:t>
            </w:r>
          </w:p>
          <w:p w14:paraId="198DF41F" w14:textId="6C801CE3"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i/>
              </w:rPr>
            </w:pPr>
            <w:r w:rsidRPr="009F5A4E">
              <w:rPr>
                <w:rFonts w:ascii="Cambria" w:eastAsia="Calibri" w:hAnsi="Cambria" w:cs="Times New Roman"/>
              </w:rPr>
              <w:t>Need to define context and how much ascertainment matters in the experiment.  We will have biases due to recruitment, so recruitment strategy knowledge will be used to identify and correct for the biases we know.  Recruitment will be driven by phenotype, and who to choose for sequencing (random or targeted sample) is still being determined by some sites.</w:t>
            </w:r>
            <w:r w:rsidR="00BF49C5">
              <w:rPr>
                <w:rFonts w:ascii="Cambria" w:eastAsia="Calibri" w:hAnsi="Cambria" w:cs="Times New Roman"/>
              </w:rPr>
              <w:t xml:space="preserve">  Thus adjustments may be possible.</w:t>
            </w:r>
          </w:p>
          <w:p w14:paraId="75DAFDB5" w14:textId="1B324E9E"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i/>
              </w:rPr>
            </w:pPr>
            <w:r w:rsidRPr="009F5A4E">
              <w:rPr>
                <w:rFonts w:ascii="Cambria" w:eastAsia="Calibri" w:hAnsi="Cambria" w:cs="Times New Roman"/>
              </w:rPr>
              <w:t xml:space="preserve">The ability to detect </w:t>
            </w:r>
            <w:r w:rsidR="00BF49C5">
              <w:rPr>
                <w:rFonts w:ascii="Cambria" w:eastAsia="Calibri" w:hAnsi="Cambria" w:cs="Times New Roman"/>
              </w:rPr>
              <w:t>copy number variation</w:t>
            </w:r>
            <w:r w:rsidRPr="009F5A4E">
              <w:rPr>
                <w:rFonts w:ascii="Cambria" w:eastAsia="Calibri" w:hAnsi="Cambria" w:cs="Times New Roman"/>
              </w:rPr>
              <w:t xml:space="preserve"> is incomplete, but becoming robust.  We are structured to further evolve the tools.   Due diligence will be done to ensure the best coverage possible. Coverage reports will be readily available.</w:t>
            </w:r>
          </w:p>
          <w:p w14:paraId="6D440EA6" w14:textId="32C4A031"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i/>
              </w:rPr>
            </w:pPr>
            <w:r w:rsidRPr="009F5A4E">
              <w:rPr>
                <w:rFonts w:ascii="Cambria" w:eastAsia="Calibri" w:hAnsi="Cambria" w:cs="Times New Roman"/>
              </w:rPr>
              <w:t>Defining what to tell a patient when a mutation is discovered is the major challenge in implementation science, and eMERGE is po</w:t>
            </w:r>
            <w:r w:rsidR="00BF49C5">
              <w:rPr>
                <w:rFonts w:ascii="Cambria" w:eastAsia="Calibri" w:hAnsi="Cambria" w:cs="Times New Roman"/>
              </w:rPr>
              <w:t>i</w:t>
            </w:r>
            <w:r w:rsidRPr="009F5A4E">
              <w:rPr>
                <w:rFonts w:ascii="Cambria" w:eastAsia="Calibri" w:hAnsi="Cambria" w:cs="Times New Roman"/>
              </w:rPr>
              <w:t xml:space="preserve">sed to add </w:t>
            </w:r>
            <w:r w:rsidR="007A4F42">
              <w:rPr>
                <w:rFonts w:ascii="Cambria" w:eastAsia="Calibri" w:hAnsi="Cambria" w:cs="Times New Roman"/>
              </w:rPr>
              <w:t>to understanding in that area.</w:t>
            </w:r>
          </w:p>
          <w:p w14:paraId="0F91C5E0" w14:textId="40C851B4" w:rsidR="00006734" w:rsidRPr="00006734" w:rsidRDefault="00006734" w:rsidP="009F5A4E">
            <w:pPr>
              <w:shd w:val="clear" w:color="auto" w:fill="FFFFFF"/>
              <w:spacing w:before="240" w:after="120" w:line="240" w:lineRule="auto"/>
              <w:textAlignment w:val="baseline"/>
              <w:rPr>
                <w:rFonts w:ascii="Cambria" w:eastAsia="Calibri" w:hAnsi="Cambria" w:cs="Times New Roman"/>
                <w:u w:val="single"/>
              </w:rPr>
            </w:pPr>
            <w:r w:rsidRPr="00006734">
              <w:rPr>
                <w:rFonts w:ascii="Cambria" w:eastAsia="Calibri" w:hAnsi="Cambria" w:cs="Times New Roman"/>
                <w:u w:val="single"/>
              </w:rPr>
              <w:t>CERC Survey Update</w:t>
            </w:r>
            <w:r w:rsidRPr="009F5A4E">
              <w:rPr>
                <w:rFonts w:ascii="Cambria" w:eastAsia="Calibri" w:hAnsi="Cambria" w:cs="Times New Roman"/>
              </w:rPr>
              <w:t xml:space="preserve">- </w:t>
            </w:r>
            <w:r w:rsidRPr="009F5A4E">
              <w:rPr>
                <w:rFonts w:ascii="Cambria" w:eastAsia="Calibri" w:hAnsi="Cambria" w:cs="Times New Roman"/>
                <w:i/>
              </w:rPr>
              <w:t xml:space="preserve">Maureen Smith </w:t>
            </w:r>
            <w:r w:rsidR="00690CE3">
              <w:rPr>
                <w:rFonts w:ascii="Cambria" w:eastAsia="Calibri" w:hAnsi="Cambria" w:cs="Times New Roman"/>
                <w:i/>
              </w:rPr>
              <w:t xml:space="preserve">&amp; </w:t>
            </w:r>
            <w:r w:rsidRPr="009F5A4E">
              <w:rPr>
                <w:rFonts w:ascii="Cambria" w:eastAsia="Calibri" w:hAnsi="Cambria" w:cs="Times New Roman"/>
                <w:i/>
              </w:rPr>
              <w:t>Ingrid Holm</w:t>
            </w:r>
          </w:p>
          <w:p w14:paraId="2EECDBDB" w14:textId="73FEC3D5" w:rsidR="00006734" w:rsidRPr="009F5A4E" w:rsidRDefault="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The survey is now complete an</w:t>
            </w:r>
            <w:r w:rsidR="007A4F42">
              <w:rPr>
                <w:rFonts w:ascii="Cambria" w:eastAsia="Calibri" w:hAnsi="Cambria" w:cs="Times New Roman"/>
              </w:rPr>
              <w:t>d the data are being analyzed.</w:t>
            </w:r>
            <w:r w:rsidR="00BF49C5">
              <w:rPr>
                <w:rFonts w:ascii="Cambria" w:eastAsia="Calibri" w:hAnsi="Cambria" w:cs="Times New Roman"/>
              </w:rPr>
              <w:t xml:space="preserve">  </w:t>
            </w:r>
            <w:r w:rsidRPr="009F5A4E">
              <w:rPr>
                <w:rFonts w:ascii="Cambria" w:eastAsia="Calibri" w:hAnsi="Cambria" w:cs="Times New Roman"/>
              </w:rPr>
              <w:t>An overview of the survey development process was provided: survey design was aided by a systematic literature review and cognitive interviews; an oversampling strategy increased the data from generally unrepresented groups; the overall s</w:t>
            </w:r>
            <w:r w:rsidR="007A4F42" w:rsidRPr="00BF49C5">
              <w:rPr>
                <w:rFonts w:ascii="Cambria" w:eastAsia="Calibri" w:hAnsi="Cambria" w:cs="Times New Roman"/>
              </w:rPr>
              <w:t>urvey response rate was 15.8%.</w:t>
            </w:r>
          </w:p>
          <w:p w14:paraId="5B381E2F" w14:textId="0FABCAAD" w:rsidR="00006734" w:rsidRPr="009F5A4E" w:rsidRDefault="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Preliminary analysis of respondent’s willingness to participate in biobank research showed little difference across the three br</w:t>
            </w:r>
            <w:r w:rsidR="007A4F42">
              <w:rPr>
                <w:rFonts w:ascii="Cambria" w:eastAsia="Calibri" w:hAnsi="Cambria" w:cs="Times New Roman"/>
              </w:rPr>
              <w:t>o</w:t>
            </w:r>
            <w:r w:rsidRPr="009F5A4E">
              <w:rPr>
                <w:rFonts w:ascii="Cambria" w:eastAsia="Calibri" w:hAnsi="Cambria" w:cs="Times New Roman"/>
              </w:rPr>
              <w:t>ad consent scenario options randomized across th</w:t>
            </w:r>
            <w:r w:rsidR="007A4F42">
              <w:rPr>
                <w:rFonts w:ascii="Cambria" w:eastAsia="Calibri" w:hAnsi="Cambria" w:cs="Times New Roman"/>
              </w:rPr>
              <w:t>e entire surveyed population.</w:t>
            </w:r>
            <w:r w:rsidR="00BF49C5">
              <w:rPr>
                <w:rFonts w:ascii="Cambria" w:eastAsia="Calibri" w:hAnsi="Cambria" w:cs="Times New Roman"/>
              </w:rPr>
              <w:t xml:space="preserve"> </w:t>
            </w:r>
            <w:r w:rsidRPr="009F5A4E">
              <w:rPr>
                <w:rFonts w:ascii="Cambria" w:eastAsia="Calibri" w:hAnsi="Cambria" w:cs="Times New Roman"/>
              </w:rPr>
              <w:t>Factors affecting willingness to participate seem</w:t>
            </w:r>
            <w:r w:rsidR="00F5516A" w:rsidRPr="00BF49C5">
              <w:rPr>
                <w:rFonts w:ascii="Cambria" w:eastAsia="Calibri" w:hAnsi="Cambria" w:cs="Times New Roman"/>
              </w:rPr>
              <w:t>ed to be affected only by race,</w:t>
            </w:r>
            <w:r w:rsidRPr="009F5A4E">
              <w:rPr>
                <w:rFonts w:ascii="Cambria" w:eastAsia="Calibri" w:hAnsi="Cambria" w:cs="Times New Roman"/>
              </w:rPr>
              <w:t xml:space="preserve"> education</w:t>
            </w:r>
            <w:r w:rsidR="00F5516A" w:rsidRPr="00BF49C5">
              <w:rPr>
                <w:rFonts w:ascii="Cambria" w:eastAsia="Calibri" w:hAnsi="Cambria" w:cs="Times New Roman"/>
              </w:rPr>
              <w:t>,</w:t>
            </w:r>
            <w:r w:rsidR="007A4F42" w:rsidRPr="00BF49C5">
              <w:rPr>
                <w:rFonts w:ascii="Cambria" w:eastAsia="Calibri" w:hAnsi="Cambria" w:cs="Times New Roman"/>
              </w:rPr>
              <w:t xml:space="preserve"> and income.</w:t>
            </w:r>
            <w:r w:rsidRPr="009F5A4E">
              <w:rPr>
                <w:rFonts w:ascii="Cambria" w:eastAsia="Calibri" w:hAnsi="Cambria" w:cs="Times New Roman"/>
              </w:rPr>
              <w:t xml:space="preserve"> Site variables that might influence participants response was also investigated, and sites were surveyed to determine</w:t>
            </w:r>
            <w:r w:rsidR="007A4F42" w:rsidRPr="00BF49C5">
              <w:rPr>
                <w:rFonts w:ascii="Cambria" w:eastAsia="Calibri" w:hAnsi="Cambria" w:cs="Times New Roman"/>
              </w:rPr>
              <w:t xml:space="preserve"> ascertainment strategies.</w:t>
            </w:r>
          </w:p>
          <w:p w14:paraId="12EADDB9" w14:textId="496FBBB4"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One paper is being published, several others are in progress.  There are also several posters and abstracts that have been presented and will be presented in the future.  Next steps include analy</w:t>
            </w:r>
            <w:r w:rsidR="007A4F42">
              <w:rPr>
                <w:rFonts w:ascii="Cambria" w:eastAsia="Calibri" w:hAnsi="Cambria" w:cs="Times New Roman"/>
              </w:rPr>
              <w:t>sis and manuscript development.</w:t>
            </w:r>
          </w:p>
          <w:p w14:paraId="5748C438" w14:textId="25D1082F" w:rsidR="00006734" w:rsidRPr="009F5A4E" w:rsidRDefault="00006734" w:rsidP="00006734">
            <w:pPr>
              <w:numPr>
                <w:ilvl w:val="0"/>
                <w:numId w:val="25"/>
              </w:numPr>
              <w:shd w:val="clear" w:color="auto" w:fill="FFFFFF"/>
              <w:spacing w:before="120" w:after="120" w:line="240" w:lineRule="auto"/>
              <w:textAlignment w:val="baseline"/>
              <w:rPr>
                <w:rFonts w:ascii="Cambria" w:eastAsia="Calibri" w:hAnsi="Cambria" w:cs="Times New Roman"/>
              </w:rPr>
            </w:pPr>
            <w:r w:rsidRPr="009F5A4E">
              <w:rPr>
                <w:rFonts w:ascii="Cambria" w:eastAsia="Calibri" w:hAnsi="Cambria" w:cs="Times New Roman"/>
              </w:rPr>
              <w:t xml:space="preserve">The group discussed the Common Rule Notice of Proposed Rule Making (NPRM).  The notice proposes to redefine human subjects to include all </w:t>
            </w:r>
            <w:proofErr w:type="spellStart"/>
            <w:r w:rsidRPr="009F5A4E">
              <w:rPr>
                <w:rFonts w:ascii="Cambria" w:eastAsia="Calibri" w:hAnsi="Cambria" w:cs="Times New Roman"/>
              </w:rPr>
              <w:t>biospecimens</w:t>
            </w:r>
            <w:proofErr w:type="spellEnd"/>
            <w:r w:rsidRPr="009F5A4E">
              <w:rPr>
                <w:rFonts w:ascii="Cambria" w:eastAsia="Calibri" w:hAnsi="Cambria" w:cs="Times New Roman"/>
              </w:rPr>
              <w:t xml:space="preserve"> regardless of identifiers, which is a major change</w:t>
            </w:r>
            <w:r w:rsidR="00BF49C5">
              <w:rPr>
                <w:rFonts w:ascii="Cambria" w:eastAsia="Calibri" w:hAnsi="Cambria" w:cs="Times New Roman"/>
              </w:rPr>
              <w:t>.</w:t>
            </w:r>
            <w:r w:rsidRPr="009F5A4E">
              <w:rPr>
                <w:rFonts w:ascii="Cambria" w:eastAsia="Calibri" w:hAnsi="Cambria" w:cs="Times New Roman"/>
              </w:rPr>
              <w:t xml:space="preserve"> A major component of the change is a 15 element consent document that must be used by anyone wanting to use </w:t>
            </w:r>
            <w:proofErr w:type="spellStart"/>
            <w:r w:rsidRPr="009F5A4E">
              <w:rPr>
                <w:rFonts w:ascii="Cambria" w:eastAsia="Calibri" w:hAnsi="Cambria" w:cs="Times New Roman"/>
              </w:rPr>
              <w:t>biospecimens</w:t>
            </w:r>
            <w:proofErr w:type="spellEnd"/>
            <w:r w:rsidRPr="009F5A4E">
              <w:rPr>
                <w:rFonts w:ascii="Cambria" w:eastAsia="Calibri" w:hAnsi="Cambria" w:cs="Times New Roman"/>
              </w:rPr>
              <w:t xml:space="preserve">. A brief consent form was proposed in the ANPRM.  It must be written (rather than oral) for </w:t>
            </w:r>
            <w:proofErr w:type="spellStart"/>
            <w:r w:rsidRPr="009F5A4E">
              <w:rPr>
                <w:rFonts w:ascii="Cambria" w:eastAsia="Calibri" w:hAnsi="Cambria" w:cs="Times New Roman"/>
              </w:rPr>
              <w:t>biospecimens</w:t>
            </w:r>
            <w:proofErr w:type="spellEnd"/>
            <w:r w:rsidRPr="009F5A4E">
              <w:rPr>
                <w:rFonts w:ascii="Cambria" w:eastAsia="Calibri" w:hAnsi="Cambria" w:cs="Times New Roman"/>
              </w:rPr>
              <w:t>.  HHS will write a safe harbor template.  There is the potential to waive consent, but very limited, and not applicable to academic researchers.  In return, IRB oversight will be limited: they will only make sure consent process is ok, unless results are going to be returned.  Individuals must be re</w:t>
            </w:r>
            <w:r w:rsidR="00AC50CA">
              <w:rPr>
                <w:rFonts w:ascii="Cambria" w:eastAsia="Calibri" w:hAnsi="Cambria" w:cs="Times New Roman"/>
              </w:rPr>
              <w:t>-</w:t>
            </w:r>
            <w:r w:rsidRPr="009F5A4E">
              <w:rPr>
                <w:rFonts w:ascii="Cambria" w:eastAsia="Calibri" w:hAnsi="Cambria" w:cs="Times New Roman"/>
              </w:rPr>
              <w:t xml:space="preserve">consented after 10 years or the samples and data must be destroyed.  Deadline for expressing opinions is 12/7/15.  The CERC group is preparing to respond/comment. </w:t>
            </w:r>
          </w:p>
          <w:p w14:paraId="00428A89" w14:textId="2679648A" w:rsidR="00743B73" w:rsidRPr="003127C2" w:rsidRDefault="00544695" w:rsidP="009F5A4E">
            <w:pPr>
              <w:shd w:val="clear" w:color="auto" w:fill="FFFFFF"/>
              <w:spacing w:before="240" w:after="120" w:line="240" w:lineRule="auto"/>
              <w:textAlignment w:val="baseline"/>
              <w:rPr>
                <w:rFonts w:ascii="Cambria" w:eastAsia="Calibri" w:hAnsi="Cambria" w:cs="Times New Roman"/>
                <w:i/>
              </w:rPr>
            </w:pPr>
            <w:r>
              <w:rPr>
                <w:rFonts w:ascii="Cambria" w:eastAsia="Calibri" w:hAnsi="Cambria" w:cs="Times New Roman"/>
                <w:u w:val="single"/>
              </w:rPr>
              <w:t>eMERGE Publication Policy Discussion</w:t>
            </w:r>
            <w:r w:rsidR="003127C2">
              <w:rPr>
                <w:rFonts w:ascii="Cambria" w:eastAsia="Calibri" w:hAnsi="Cambria" w:cs="Times New Roman"/>
              </w:rPr>
              <w:t xml:space="preserve"> </w:t>
            </w:r>
            <w:r>
              <w:rPr>
                <w:rFonts w:ascii="Cambria" w:eastAsia="Calibri" w:hAnsi="Cambria" w:cs="Times New Roman"/>
              </w:rPr>
              <w:t>–</w:t>
            </w:r>
            <w:r w:rsidR="003127C2">
              <w:rPr>
                <w:rFonts w:ascii="Cambria" w:eastAsia="Calibri" w:hAnsi="Cambria" w:cs="Times New Roman"/>
              </w:rPr>
              <w:t xml:space="preserve"> </w:t>
            </w:r>
            <w:r w:rsidRPr="00544695">
              <w:rPr>
                <w:rFonts w:ascii="Cambria" w:eastAsia="Calibri" w:hAnsi="Cambria" w:cs="Times New Roman"/>
                <w:i/>
              </w:rPr>
              <w:t>Paul Harris</w:t>
            </w:r>
          </w:p>
          <w:p w14:paraId="4D9E6F3D" w14:textId="77777777" w:rsidR="00A93788" w:rsidRPr="00F914E3" w:rsidRDefault="00544695" w:rsidP="005027E4">
            <w:pPr>
              <w:pStyle w:val="ListParagraph"/>
              <w:numPr>
                <w:ilvl w:val="0"/>
                <w:numId w:val="22"/>
              </w:numPr>
              <w:shd w:val="clear" w:color="auto" w:fill="FFFFFF"/>
              <w:spacing w:before="120" w:after="120" w:line="240" w:lineRule="auto"/>
              <w:textAlignment w:val="baseline"/>
              <w:rPr>
                <w:rFonts w:ascii="Cambria" w:eastAsia="Calibri" w:hAnsi="Cambria" w:cs="Times New Roman"/>
              </w:rPr>
            </w:pPr>
            <w:r w:rsidRPr="00F914E3">
              <w:rPr>
                <w:rFonts w:ascii="Cambria" w:eastAsia="Calibri" w:hAnsi="Cambria" w:cs="Times New Roman"/>
              </w:rPr>
              <w:t xml:space="preserve">The </w:t>
            </w:r>
            <w:r w:rsidR="00A93788" w:rsidRPr="00F914E3">
              <w:rPr>
                <w:rFonts w:ascii="Cambria" w:eastAsia="Calibri" w:hAnsi="Cambria" w:cs="Times New Roman"/>
              </w:rPr>
              <w:t xml:space="preserve">current </w:t>
            </w:r>
            <w:r w:rsidRPr="00F914E3">
              <w:rPr>
                <w:rFonts w:ascii="Cambria" w:eastAsia="Calibri" w:hAnsi="Cambria" w:cs="Times New Roman"/>
              </w:rPr>
              <w:t>policy is designed to optimize transparency, inclusiveness, and simplicity for the Network.</w:t>
            </w:r>
          </w:p>
          <w:p w14:paraId="2FDABDAA" w14:textId="307EF433" w:rsidR="007A4F42" w:rsidRPr="00F914E3" w:rsidRDefault="00544695" w:rsidP="005027E4">
            <w:pPr>
              <w:pStyle w:val="ListParagraph"/>
              <w:numPr>
                <w:ilvl w:val="0"/>
                <w:numId w:val="22"/>
              </w:numPr>
              <w:shd w:val="clear" w:color="auto" w:fill="FFFFFF"/>
              <w:spacing w:before="120" w:after="120" w:line="240" w:lineRule="auto"/>
              <w:textAlignment w:val="baseline"/>
              <w:rPr>
                <w:rFonts w:ascii="Cambria" w:eastAsia="Calibri" w:hAnsi="Cambria" w:cs="Times New Roman"/>
              </w:rPr>
            </w:pPr>
            <w:r w:rsidRPr="00F914E3">
              <w:rPr>
                <w:rFonts w:ascii="Cambria" w:eastAsia="Calibri" w:hAnsi="Cambria" w:cs="Times New Roman"/>
              </w:rPr>
              <w:t xml:space="preserve">After some discussion from members about expanding the number of participating sites required for a paper to be considered a “Network publication”, the group agreed to keep the policy the same as it was during Phase II. Therefore, </w:t>
            </w:r>
            <w:r w:rsidRPr="00F914E3">
              <w:rPr>
                <w:rFonts w:ascii="Cambria" w:eastAsia="Calibri" w:hAnsi="Cambria" w:cs="Times New Roman"/>
                <w:b/>
              </w:rPr>
              <w:t>2 or more sites participation</w:t>
            </w:r>
            <w:r w:rsidRPr="00F914E3">
              <w:rPr>
                <w:rFonts w:ascii="Cambria" w:eastAsia="Calibri" w:hAnsi="Cambria" w:cs="Times New Roman"/>
              </w:rPr>
              <w:t xml:space="preserve"> on a paper will be considered a “Network publication.”</w:t>
            </w:r>
          </w:p>
          <w:p w14:paraId="5333B5AD" w14:textId="742B7389" w:rsidR="00006734" w:rsidRPr="00F914E3" w:rsidRDefault="00006734" w:rsidP="009F5A4E">
            <w:pPr>
              <w:pStyle w:val="ListParagraph"/>
            </w:pPr>
          </w:p>
        </w:tc>
      </w:tr>
      <w:tr w:rsidR="00B25B6C" w:rsidRPr="00B25B6C" w14:paraId="3D326321" w14:textId="77777777" w:rsidTr="005027E4">
        <w:trPr>
          <w:trHeight w:val="246"/>
        </w:trPr>
        <w:tc>
          <w:tcPr>
            <w:tcW w:w="11179" w:type="dxa"/>
            <w:tcBorders>
              <w:top w:val="single" w:sz="8" w:space="0" w:color="auto"/>
              <w:left w:val="single" w:sz="8" w:space="0" w:color="auto"/>
              <w:bottom w:val="single" w:sz="8" w:space="0" w:color="auto"/>
              <w:right w:val="single" w:sz="8" w:space="0" w:color="auto"/>
            </w:tcBorders>
            <w:shd w:val="clear" w:color="auto" w:fill="008BCC"/>
            <w:tcMar>
              <w:top w:w="58" w:type="dxa"/>
              <w:left w:w="86" w:type="dxa"/>
              <w:bottom w:w="58" w:type="dxa"/>
              <w:right w:w="86" w:type="dxa"/>
            </w:tcMar>
            <w:vAlign w:val="center"/>
          </w:tcPr>
          <w:p w14:paraId="45FAAFAD" w14:textId="459B90E9" w:rsidR="00B25B6C" w:rsidRPr="005027E4" w:rsidRDefault="00743B73" w:rsidP="00743B73">
            <w:pPr>
              <w:spacing w:before="120" w:after="120" w:line="240" w:lineRule="auto"/>
              <w:rPr>
                <w:rFonts w:ascii="Cambria" w:eastAsia="Calibri" w:hAnsi="Cambria" w:cs="Times New Roman"/>
                <w:b/>
                <w:bCs/>
                <w:color w:val="FFFFFF" w:themeColor="background1"/>
              </w:rPr>
            </w:pPr>
            <w:r w:rsidRPr="005027E4">
              <w:rPr>
                <w:rFonts w:ascii="Cambria" w:eastAsia="Calibri" w:hAnsi="Cambria" w:cs="Times New Roman"/>
                <w:b/>
                <w:bCs/>
                <w:color w:val="FFFFFF" w:themeColor="background1"/>
              </w:rPr>
              <w:lastRenderedPageBreak/>
              <w:t>Day 2: Half-day Session</w:t>
            </w:r>
          </w:p>
        </w:tc>
      </w:tr>
      <w:tr w:rsidR="00B25B6C" w:rsidRPr="00B25B6C" w14:paraId="32FE7E95" w14:textId="77777777" w:rsidTr="008A205B">
        <w:trPr>
          <w:trHeight w:val="246"/>
        </w:trPr>
        <w:tc>
          <w:tcPr>
            <w:tcW w:w="11179" w:type="dxa"/>
            <w:tcBorders>
              <w:top w:val="single" w:sz="8" w:space="0" w:color="auto"/>
              <w:left w:val="single" w:sz="8" w:space="0" w:color="auto"/>
              <w:bottom w:val="single" w:sz="8" w:space="0" w:color="auto"/>
              <w:right w:val="single" w:sz="8" w:space="0" w:color="auto"/>
            </w:tcBorders>
            <w:shd w:val="clear" w:color="auto" w:fill="auto"/>
            <w:tcMar>
              <w:top w:w="58" w:type="dxa"/>
              <w:left w:w="86" w:type="dxa"/>
              <w:bottom w:w="58" w:type="dxa"/>
              <w:right w:w="86" w:type="dxa"/>
            </w:tcMar>
            <w:vAlign w:val="center"/>
          </w:tcPr>
          <w:p w14:paraId="52D31798" w14:textId="033888A1" w:rsidR="003127C2" w:rsidRPr="0089769B" w:rsidRDefault="002927C8" w:rsidP="003127C2">
            <w:p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u w:val="single"/>
                <w:bdr w:val="none" w:sz="0" w:space="0" w:color="auto" w:frame="1"/>
              </w:rPr>
              <w:t xml:space="preserve">Precision Medicine Initiative </w:t>
            </w:r>
            <w:r w:rsidR="00074D3F">
              <w:rPr>
                <w:rFonts w:ascii="Cambria" w:eastAsia="Calibri" w:hAnsi="Cambria" w:cs="Times New Roman"/>
                <w:u w:val="single"/>
                <w:bdr w:val="none" w:sz="0" w:space="0" w:color="auto" w:frame="1"/>
              </w:rPr>
              <w:t>– Cohort Pro</w:t>
            </w:r>
            <w:r w:rsidR="0001794A">
              <w:rPr>
                <w:rFonts w:ascii="Cambria" w:eastAsia="Calibri" w:hAnsi="Cambria" w:cs="Times New Roman"/>
                <w:u w:val="single"/>
                <w:bdr w:val="none" w:sz="0" w:space="0" w:color="auto" w:frame="1"/>
              </w:rPr>
              <w:t>gram</w:t>
            </w:r>
            <w:r w:rsidR="00074D3F">
              <w:rPr>
                <w:rFonts w:ascii="Cambria" w:eastAsia="Calibri" w:hAnsi="Cambria" w:cs="Times New Roman"/>
                <w:u w:val="single"/>
                <w:bdr w:val="none" w:sz="0" w:space="0" w:color="auto" w:frame="1"/>
              </w:rPr>
              <w:t xml:space="preserve"> Presentation</w:t>
            </w:r>
            <w:r w:rsidR="003127C2" w:rsidRPr="00B25B6C">
              <w:rPr>
                <w:rFonts w:ascii="Cambria" w:eastAsia="Calibri" w:hAnsi="Cambria" w:cs="Times New Roman"/>
              </w:rPr>
              <w:t> </w:t>
            </w:r>
            <w:r w:rsidR="003127C2">
              <w:rPr>
                <w:rFonts w:ascii="Cambria" w:eastAsia="Calibri" w:hAnsi="Cambria" w:cs="Times New Roman"/>
              </w:rPr>
              <w:t>–</w:t>
            </w:r>
            <w:r w:rsidR="003127C2" w:rsidRPr="00B25B6C">
              <w:rPr>
                <w:rFonts w:ascii="Cambria" w:eastAsia="Calibri" w:hAnsi="Cambria" w:cs="Times New Roman"/>
              </w:rPr>
              <w:t xml:space="preserve"> </w:t>
            </w:r>
            <w:r>
              <w:rPr>
                <w:rFonts w:ascii="Cambria" w:eastAsia="Calibri" w:hAnsi="Cambria" w:cs="Times New Roman"/>
                <w:i/>
              </w:rPr>
              <w:t>Josh Denny</w:t>
            </w:r>
          </w:p>
          <w:p w14:paraId="061ED1AD" w14:textId="2ADE4661" w:rsidR="00336BF8" w:rsidRDefault="00336BF8"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FY2016 Proposed Support for the PMI = $215 Million ($200 M for the NIH, $10M fir the FDA, and $5M for the Office of the National Coordinator for Health Information Technology.</w:t>
            </w:r>
          </w:p>
          <w:p w14:paraId="74D17974" w14:textId="7E0F6A6A" w:rsidR="0001794A" w:rsidRPr="009F5A4E" w:rsidRDefault="00074D3F">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PMI Cohort will </w:t>
            </w:r>
            <w:r w:rsidR="00443C17">
              <w:rPr>
                <w:rFonts w:ascii="Cambria" w:eastAsia="Calibri" w:hAnsi="Cambria" w:cs="Times New Roman"/>
                <w:bdr w:val="none" w:sz="0" w:space="0" w:color="auto" w:frame="1"/>
              </w:rPr>
              <w:t>consist of</w:t>
            </w:r>
            <w:r>
              <w:rPr>
                <w:rFonts w:ascii="Cambria" w:eastAsia="Calibri" w:hAnsi="Cambria" w:cs="Times New Roman"/>
                <w:bdr w:val="none" w:sz="0" w:space="0" w:color="auto" w:frame="1"/>
              </w:rPr>
              <w:t xml:space="preserve"> 1 million newly r</w:t>
            </w:r>
            <w:r w:rsidR="00336BF8">
              <w:rPr>
                <w:rFonts w:ascii="Cambria" w:eastAsia="Calibri" w:hAnsi="Cambria" w:cs="Times New Roman"/>
                <w:bdr w:val="none" w:sz="0" w:space="0" w:color="auto" w:frame="1"/>
              </w:rPr>
              <w:t>ecruited subjects and volunteers</w:t>
            </w:r>
            <w:r w:rsidR="00443C17">
              <w:rPr>
                <w:rFonts w:ascii="Cambria" w:eastAsia="Calibri" w:hAnsi="Cambria" w:cs="Times New Roman"/>
                <w:bdr w:val="none" w:sz="0" w:space="0" w:color="auto" w:frame="1"/>
              </w:rPr>
              <w:t>.</w:t>
            </w:r>
            <w:r w:rsidR="00503A59">
              <w:rPr>
                <w:rFonts w:ascii="Cambria" w:eastAsia="Calibri" w:hAnsi="Cambria" w:cs="Times New Roman"/>
                <w:bdr w:val="none" w:sz="0" w:space="0" w:color="auto" w:frame="1"/>
              </w:rPr>
              <w:t xml:space="preserve"> </w:t>
            </w:r>
            <w:r w:rsidR="00443C17" w:rsidRPr="009F5A4E">
              <w:rPr>
                <w:rFonts w:ascii="Cambria" w:eastAsia="Calibri" w:hAnsi="Cambria" w:cs="Times New Roman"/>
                <w:bdr w:val="none" w:sz="0" w:space="0" w:color="auto" w:frame="1"/>
              </w:rPr>
              <w:t>Emphasis has been placed on b</w:t>
            </w:r>
            <w:r w:rsidR="0001794A" w:rsidRPr="009F5A4E">
              <w:rPr>
                <w:rFonts w:ascii="Cambria" w:eastAsia="Calibri" w:hAnsi="Cambria" w:cs="Times New Roman"/>
                <w:bdr w:val="none" w:sz="0" w:space="0" w:color="auto" w:frame="1"/>
              </w:rPr>
              <w:t xml:space="preserve">roadly representing US population: all ages, all US regions, all stages of disease and variety of indications; special considerations for recruiting children, </w:t>
            </w:r>
            <w:proofErr w:type="spellStart"/>
            <w:r w:rsidR="0001794A" w:rsidRPr="009F5A4E">
              <w:rPr>
                <w:rFonts w:ascii="Cambria" w:eastAsia="Calibri" w:hAnsi="Cambria" w:cs="Times New Roman"/>
                <w:bdr w:val="none" w:sz="0" w:space="0" w:color="auto" w:frame="1"/>
              </w:rPr>
              <w:t>decisionally</w:t>
            </w:r>
            <w:proofErr w:type="spellEnd"/>
            <w:r w:rsidR="0001794A" w:rsidRPr="009F5A4E">
              <w:rPr>
                <w:rFonts w:ascii="Cambria" w:eastAsia="Calibri" w:hAnsi="Cambria" w:cs="Times New Roman"/>
                <w:bdr w:val="none" w:sz="0" w:space="0" w:color="auto" w:frame="1"/>
              </w:rPr>
              <w:t xml:space="preserve"> impaired and incarcerated people.</w:t>
            </w:r>
          </w:p>
          <w:p w14:paraId="2ED3EEF6" w14:textId="4E8A96BE" w:rsidR="00074D3F" w:rsidRDefault="00074D3F"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All </w:t>
            </w:r>
            <w:r w:rsidR="0001794A">
              <w:rPr>
                <w:rFonts w:ascii="Cambria" w:eastAsia="Calibri" w:hAnsi="Cambria" w:cs="Times New Roman"/>
                <w:bdr w:val="none" w:sz="0" w:space="0" w:color="auto" w:frame="1"/>
              </w:rPr>
              <w:t xml:space="preserve">in cohort </w:t>
            </w:r>
            <w:r>
              <w:rPr>
                <w:rFonts w:ascii="Cambria" w:eastAsia="Calibri" w:hAnsi="Cambria" w:cs="Times New Roman"/>
                <w:bdr w:val="none" w:sz="0" w:space="0" w:color="auto" w:frame="1"/>
              </w:rPr>
              <w:t>will have an initial health evaluation</w:t>
            </w:r>
            <w:r w:rsidR="00443C17">
              <w:rPr>
                <w:rFonts w:ascii="Cambria" w:eastAsia="Calibri" w:hAnsi="Cambria" w:cs="Times New Roman"/>
                <w:bdr w:val="none" w:sz="0" w:space="0" w:color="auto" w:frame="1"/>
              </w:rPr>
              <w:t>.</w:t>
            </w:r>
          </w:p>
          <w:p w14:paraId="7CB84D99" w14:textId="77777777" w:rsidR="0001794A" w:rsidRDefault="00074D3F"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Governance</w:t>
            </w:r>
            <w:r w:rsidR="00F914E3" w:rsidRPr="00F914E3">
              <w:rPr>
                <w:rFonts w:ascii="Cambria" w:eastAsia="Calibri" w:hAnsi="Cambria" w:cs="Times New Roman"/>
                <w:bdr w:val="none" w:sz="0" w:space="0" w:color="auto" w:frame="1"/>
              </w:rPr>
              <w:t xml:space="preserve"> is still being worked out, but looking for a more simplifi</w:t>
            </w:r>
            <w:r w:rsidR="00F914E3">
              <w:rPr>
                <w:rFonts w:ascii="Cambria" w:eastAsia="Calibri" w:hAnsi="Cambria" w:cs="Times New Roman"/>
                <w:bdr w:val="none" w:sz="0" w:space="0" w:color="auto" w:frame="1"/>
              </w:rPr>
              <w:t>ed model of data access than</w:t>
            </w:r>
            <w:r w:rsidR="00F914E3" w:rsidRPr="00F914E3">
              <w:rPr>
                <w:rFonts w:ascii="Cambria" w:eastAsia="Calibri" w:hAnsi="Cambria" w:cs="Times New Roman"/>
                <w:bdr w:val="none" w:sz="0" w:space="0" w:color="auto" w:frame="1"/>
              </w:rPr>
              <w:t xml:space="preserve"> </w:t>
            </w:r>
            <w:proofErr w:type="spellStart"/>
            <w:r w:rsidR="00F914E3" w:rsidRPr="00F914E3">
              <w:rPr>
                <w:rFonts w:ascii="Cambria" w:eastAsia="Calibri" w:hAnsi="Cambria" w:cs="Times New Roman"/>
                <w:bdr w:val="none" w:sz="0" w:space="0" w:color="auto" w:frame="1"/>
              </w:rPr>
              <w:t>dbGaP</w:t>
            </w:r>
            <w:proofErr w:type="spellEnd"/>
            <w:r w:rsidR="0001794A">
              <w:rPr>
                <w:rFonts w:ascii="Cambria" w:eastAsia="Calibri" w:hAnsi="Cambria" w:cs="Times New Roman"/>
                <w:bdr w:val="none" w:sz="0" w:space="0" w:color="auto" w:frame="1"/>
              </w:rPr>
              <w:t xml:space="preserve">. </w:t>
            </w:r>
          </w:p>
          <w:p w14:paraId="39D742AA" w14:textId="35C5D941" w:rsidR="0001794A" w:rsidRDefault="0001794A"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Interactive participation model, with participant involvement at all levels, plus return of results and data access for participants</w:t>
            </w:r>
            <w:r w:rsidR="00443C17">
              <w:rPr>
                <w:rFonts w:ascii="Cambria" w:eastAsia="Calibri" w:hAnsi="Cambria" w:cs="Times New Roman"/>
                <w:bdr w:val="none" w:sz="0" w:space="0" w:color="auto" w:frame="1"/>
              </w:rPr>
              <w:t>.</w:t>
            </w:r>
          </w:p>
          <w:p w14:paraId="2C0782BE" w14:textId="022C717A" w:rsidR="0001794A" w:rsidRDefault="0001794A"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Single IRB; Broad consent sought</w:t>
            </w:r>
            <w:r w:rsidR="00443C17">
              <w:rPr>
                <w:rFonts w:ascii="Cambria" w:eastAsia="Calibri" w:hAnsi="Cambria" w:cs="Times New Roman"/>
                <w:bdr w:val="none" w:sz="0" w:space="0" w:color="auto" w:frame="1"/>
              </w:rPr>
              <w:t>.</w:t>
            </w:r>
          </w:p>
          <w:p w14:paraId="0C0DF0C2" w14:textId="7E0A0725" w:rsidR="00F914E3" w:rsidRDefault="0001794A"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Operational structure will include participant health provider organization sites and a</w:t>
            </w:r>
            <w:r w:rsidR="00074D3F">
              <w:rPr>
                <w:rFonts w:ascii="Cambria" w:eastAsia="Calibri" w:hAnsi="Cambria" w:cs="Times New Roman"/>
                <w:bdr w:val="none" w:sz="0" w:space="0" w:color="auto" w:frame="1"/>
              </w:rPr>
              <w:t xml:space="preserve"> coordinating center </w:t>
            </w:r>
            <w:r>
              <w:rPr>
                <w:rFonts w:ascii="Cambria" w:eastAsia="Calibri" w:hAnsi="Cambria" w:cs="Times New Roman"/>
                <w:bdr w:val="none" w:sz="0" w:space="0" w:color="auto" w:frame="1"/>
              </w:rPr>
              <w:t xml:space="preserve">for managing data flow between </w:t>
            </w:r>
            <w:r w:rsidR="002E41B8">
              <w:rPr>
                <w:rFonts w:ascii="Cambria" w:eastAsia="Calibri" w:hAnsi="Cambria" w:cs="Times New Roman"/>
                <w:bdr w:val="none" w:sz="0" w:space="0" w:color="auto" w:frame="1"/>
              </w:rPr>
              <w:t>HPOs, participants, and researchers</w:t>
            </w:r>
            <w:r w:rsidR="00443C17">
              <w:rPr>
                <w:rFonts w:ascii="Cambria" w:eastAsia="Calibri" w:hAnsi="Cambria" w:cs="Times New Roman"/>
                <w:bdr w:val="none" w:sz="0" w:space="0" w:color="auto" w:frame="1"/>
              </w:rPr>
              <w:t>.</w:t>
            </w:r>
          </w:p>
          <w:p w14:paraId="7A5B762A" w14:textId="61C10EA1" w:rsidR="002E41B8" w:rsidRPr="00F914E3" w:rsidRDefault="002E41B8"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Possible data sources include EHR data, </w:t>
            </w:r>
            <w:proofErr w:type="spellStart"/>
            <w:r>
              <w:rPr>
                <w:rFonts w:ascii="Cambria" w:eastAsia="Calibri" w:hAnsi="Cambria" w:cs="Times New Roman"/>
                <w:bdr w:val="none" w:sz="0" w:space="0" w:color="auto" w:frame="1"/>
              </w:rPr>
              <w:t>biospecimen</w:t>
            </w:r>
            <w:proofErr w:type="spellEnd"/>
            <w:r>
              <w:rPr>
                <w:rFonts w:ascii="Cambria" w:eastAsia="Calibri" w:hAnsi="Cambria" w:cs="Times New Roman"/>
                <w:bdr w:val="none" w:sz="0" w:space="0" w:color="auto" w:frame="1"/>
              </w:rPr>
              <w:t xml:space="preserve">, self-report measures, baseline exam, and </w:t>
            </w:r>
            <w:proofErr w:type="spellStart"/>
            <w:r>
              <w:rPr>
                <w:rFonts w:ascii="Cambria" w:eastAsia="Calibri" w:hAnsi="Cambria" w:cs="Times New Roman"/>
                <w:bdr w:val="none" w:sz="0" w:space="0" w:color="auto" w:frame="1"/>
              </w:rPr>
              <w:t>mHealth</w:t>
            </w:r>
            <w:proofErr w:type="spellEnd"/>
            <w:r>
              <w:rPr>
                <w:rFonts w:ascii="Cambria" w:eastAsia="Calibri" w:hAnsi="Cambria" w:cs="Times New Roman"/>
                <w:bdr w:val="none" w:sz="0" w:space="0" w:color="auto" w:frame="1"/>
              </w:rPr>
              <w:t xml:space="preserve"> data</w:t>
            </w:r>
            <w:r w:rsidR="00443C17">
              <w:rPr>
                <w:rFonts w:ascii="Cambria" w:eastAsia="Calibri" w:hAnsi="Cambria" w:cs="Times New Roman"/>
                <w:bdr w:val="none" w:sz="0" w:space="0" w:color="auto" w:frame="1"/>
              </w:rPr>
              <w:t>.</w:t>
            </w:r>
          </w:p>
          <w:p w14:paraId="4FB3CDCF" w14:textId="195EEB5F" w:rsidR="00F914E3" w:rsidRPr="00F914E3" w:rsidRDefault="002E41B8"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A</w:t>
            </w:r>
            <w:r w:rsidR="00F914E3" w:rsidRPr="00F914E3">
              <w:rPr>
                <w:rFonts w:ascii="Cambria" w:eastAsia="Calibri" w:hAnsi="Cambria" w:cs="Times New Roman"/>
                <w:bdr w:val="none" w:sz="0" w:space="0" w:color="auto" w:frame="1"/>
              </w:rPr>
              <w:t xml:space="preserve"> </w:t>
            </w:r>
            <w:r w:rsidR="00074D3F">
              <w:rPr>
                <w:rFonts w:ascii="Cambria" w:eastAsia="Calibri" w:hAnsi="Cambria" w:cs="Times New Roman"/>
                <w:bdr w:val="none" w:sz="0" w:space="0" w:color="auto" w:frame="1"/>
              </w:rPr>
              <w:t>core</w:t>
            </w:r>
            <w:r w:rsidR="00F914E3" w:rsidRPr="00F914E3">
              <w:rPr>
                <w:rFonts w:ascii="Cambria" w:eastAsia="Calibri" w:hAnsi="Cambria" w:cs="Times New Roman"/>
                <w:bdr w:val="none" w:sz="0" w:space="0" w:color="auto" w:frame="1"/>
              </w:rPr>
              <w:t xml:space="preserve"> </w:t>
            </w:r>
            <w:r>
              <w:rPr>
                <w:rFonts w:ascii="Cambria" w:eastAsia="Calibri" w:hAnsi="Cambria" w:cs="Times New Roman"/>
                <w:bdr w:val="none" w:sz="0" w:space="0" w:color="auto" w:frame="1"/>
              </w:rPr>
              <w:t>minimal data set will be defined</w:t>
            </w:r>
            <w:r w:rsidR="00F914E3" w:rsidRPr="00F914E3">
              <w:rPr>
                <w:rFonts w:ascii="Cambria" w:eastAsia="Calibri" w:hAnsi="Cambria" w:cs="Times New Roman"/>
                <w:bdr w:val="none" w:sz="0" w:space="0" w:color="auto" w:frame="1"/>
              </w:rPr>
              <w:t xml:space="preserve">, so </w:t>
            </w:r>
            <w:r w:rsidR="00074D3F">
              <w:rPr>
                <w:rFonts w:ascii="Cambria" w:eastAsia="Calibri" w:hAnsi="Cambria" w:cs="Times New Roman"/>
                <w:bdr w:val="none" w:sz="0" w:space="0" w:color="auto" w:frame="1"/>
              </w:rPr>
              <w:t xml:space="preserve">that queries can be </w:t>
            </w:r>
            <w:r w:rsidR="00443C17">
              <w:rPr>
                <w:rFonts w:ascii="Cambria" w:eastAsia="Calibri" w:hAnsi="Cambria" w:cs="Times New Roman"/>
                <w:bdr w:val="none" w:sz="0" w:space="0" w:color="auto" w:frame="1"/>
              </w:rPr>
              <w:t xml:space="preserve">run </w:t>
            </w:r>
            <w:r w:rsidR="00074D3F">
              <w:rPr>
                <w:rFonts w:ascii="Cambria" w:eastAsia="Calibri" w:hAnsi="Cambria" w:cs="Times New Roman"/>
                <w:bdr w:val="none" w:sz="0" w:space="0" w:color="auto" w:frame="1"/>
              </w:rPr>
              <w:t>on core</w:t>
            </w:r>
            <w:r w:rsidR="00F914E3" w:rsidRPr="00F914E3">
              <w:rPr>
                <w:rFonts w:ascii="Cambria" w:eastAsia="Calibri" w:hAnsi="Cambria" w:cs="Times New Roman"/>
                <w:bdr w:val="none" w:sz="0" w:space="0" w:color="auto" w:frame="1"/>
              </w:rPr>
              <w:t xml:space="preserve"> data</w:t>
            </w:r>
            <w:r w:rsidR="00443C17">
              <w:rPr>
                <w:rFonts w:ascii="Cambria" w:eastAsia="Calibri" w:hAnsi="Cambria" w:cs="Times New Roman"/>
                <w:bdr w:val="none" w:sz="0" w:space="0" w:color="auto" w:frame="1"/>
              </w:rPr>
              <w:t>.</w:t>
            </w:r>
          </w:p>
          <w:p w14:paraId="6E178444" w14:textId="26E20764" w:rsidR="00F914E3" w:rsidRPr="00F914E3" w:rsidRDefault="00882A90"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The PMI group is </w:t>
            </w:r>
            <w:r w:rsidR="00F914E3" w:rsidRPr="00F914E3">
              <w:rPr>
                <w:rFonts w:ascii="Cambria" w:eastAsia="Calibri" w:hAnsi="Cambria" w:cs="Times New Roman"/>
                <w:bdr w:val="none" w:sz="0" w:space="0" w:color="auto" w:frame="1"/>
              </w:rPr>
              <w:t xml:space="preserve">trying to take lessons learned from </w:t>
            </w:r>
            <w:r w:rsidR="00503A59">
              <w:rPr>
                <w:rFonts w:ascii="Cambria" w:eastAsia="Calibri" w:hAnsi="Cambria" w:cs="Times New Roman"/>
                <w:bdr w:val="none" w:sz="0" w:space="0" w:color="auto" w:frame="1"/>
              </w:rPr>
              <w:t xml:space="preserve">the </w:t>
            </w:r>
            <w:r w:rsidR="00F914E3" w:rsidRPr="00F914E3">
              <w:rPr>
                <w:rFonts w:ascii="Cambria" w:eastAsia="Calibri" w:hAnsi="Cambria" w:cs="Times New Roman"/>
                <w:bdr w:val="none" w:sz="0" w:space="0" w:color="auto" w:frame="1"/>
              </w:rPr>
              <w:t>N</w:t>
            </w:r>
            <w:r w:rsidR="00503A59">
              <w:rPr>
                <w:rFonts w:ascii="Cambria" w:eastAsia="Calibri" w:hAnsi="Cambria" w:cs="Times New Roman"/>
                <w:bdr w:val="none" w:sz="0" w:space="0" w:color="auto" w:frame="1"/>
              </w:rPr>
              <w:t xml:space="preserve">ational </w:t>
            </w:r>
            <w:r w:rsidR="00F914E3" w:rsidRPr="00F914E3">
              <w:rPr>
                <w:rFonts w:ascii="Cambria" w:eastAsia="Calibri" w:hAnsi="Cambria" w:cs="Times New Roman"/>
                <w:bdr w:val="none" w:sz="0" w:space="0" w:color="auto" w:frame="1"/>
              </w:rPr>
              <w:t>C</w:t>
            </w:r>
            <w:r w:rsidR="00503A59">
              <w:rPr>
                <w:rFonts w:ascii="Cambria" w:eastAsia="Calibri" w:hAnsi="Cambria" w:cs="Times New Roman"/>
                <w:bdr w:val="none" w:sz="0" w:space="0" w:color="auto" w:frame="1"/>
              </w:rPr>
              <w:t xml:space="preserve">hildren’s </w:t>
            </w:r>
            <w:r w:rsidR="00F914E3" w:rsidRPr="00F914E3">
              <w:rPr>
                <w:rFonts w:ascii="Cambria" w:eastAsia="Calibri" w:hAnsi="Cambria" w:cs="Times New Roman"/>
                <w:bdr w:val="none" w:sz="0" w:space="0" w:color="auto" w:frame="1"/>
              </w:rPr>
              <w:t>S</w:t>
            </w:r>
            <w:r w:rsidR="00503A59">
              <w:rPr>
                <w:rFonts w:ascii="Cambria" w:eastAsia="Calibri" w:hAnsi="Cambria" w:cs="Times New Roman"/>
                <w:bdr w:val="none" w:sz="0" w:space="0" w:color="auto" w:frame="1"/>
              </w:rPr>
              <w:t>tudy</w:t>
            </w:r>
            <w:r w:rsidR="00443C17">
              <w:rPr>
                <w:rFonts w:ascii="Cambria" w:eastAsia="Calibri" w:hAnsi="Cambria" w:cs="Times New Roman"/>
                <w:bdr w:val="none" w:sz="0" w:space="0" w:color="auto" w:frame="1"/>
              </w:rPr>
              <w:t>.</w:t>
            </w:r>
          </w:p>
          <w:p w14:paraId="2CC9287A" w14:textId="4BF31E1C" w:rsidR="00F914E3" w:rsidRPr="00F914E3" w:rsidRDefault="00503A59"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M</w:t>
            </w:r>
            <w:r w:rsidR="00F914E3" w:rsidRPr="00F914E3">
              <w:rPr>
                <w:rFonts w:ascii="Cambria" w:eastAsia="Calibri" w:hAnsi="Cambria" w:cs="Times New Roman"/>
                <w:bdr w:val="none" w:sz="0" w:space="0" w:color="auto" w:frame="1"/>
              </w:rPr>
              <w:t xml:space="preserve">ethod for determining site based application – Committee encouraged diverse application of </w:t>
            </w:r>
            <w:r w:rsidR="00882A90">
              <w:rPr>
                <w:rFonts w:ascii="Cambria" w:eastAsia="Calibri" w:hAnsi="Cambria" w:cs="Times New Roman"/>
                <w:bdr w:val="none" w:sz="0" w:space="0" w:color="auto" w:frame="1"/>
              </w:rPr>
              <w:t>participants.</w:t>
            </w:r>
            <w:r w:rsidR="00F914E3" w:rsidRPr="00F914E3">
              <w:rPr>
                <w:rFonts w:ascii="Cambria" w:eastAsia="Calibri" w:hAnsi="Cambria" w:cs="Times New Roman"/>
                <w:bdr w:val="none" w:sz="0" w:space="0" w:color="auto" w:frame="1"/>
              </w:rPr>
              <w:t xml:space="preserve"> RFAs </w:t>
            </w:r>
            <w:r w:rsidR="00882A90">
              <w:rPr>
                <w:rFonts w:ascii="Cambria" w:eastAsia="Calibri" w:hAnsi="Cambria" w:cs="Times New Roman"/>
                <w:bdr w:val="none" w:sz="0" w:space="0" w:color="auto" w:frame="1"/>
              </w:rPr>
              <w:t xml:space="preserve">will likely be the </w:t>
            </w:r>
            <w:r w:rsidR="00F914E3" w:rsidRPr="00F914E3">
              <w:rPr>
                <w:rFonts w:ascii="Cambria" w:eastAsia="Calibri" w:hAnsi="Cambria" w:cs="Times New Roman"/>
                <w:bdr w:val="none" w:sz="0" w:space="0" w:color="auto" w:frame="1"/>
              </w:rPr>
              <w:t>method for applying</w:t>
            </w:r>
            <w:r w:rsidR="00882A90">
              <w:rPr>
                <w:rFonts w:ascii="Cambria" w:eastAsia="Calibri" w:hAnsi="Cambria" w:cs="Times New Roman"/>
                <w:bdr w:val="none" w:sz="0" w:space="0" w:color="auto" w:frame="1"/>
              </w:rPr>
              <w:t>.</w:t>
            </w:r>
          </w:p>
          <w:p w14:paraId="18376075" w14:textId="48D6FB01" w:rsidR="00F914E3" w:rsidRPr="00F914E3" w:rsidRDefault="00F914E3" w:rsidP="00F914E3">
            <w:pPr>
              <w:pStyle w:val="ListParagraph"/>
              <w:numPr>
                <w:ilvl w:val="0"/>
                <w:numId w:val="21"/>
              </w:numPr>
              <w:shd w:val="clear" w:color="auto" w:fill="FFFFFF"/>
              <w:spacing w:after="0" w:line="240" w:lineRule="auto"/>
              <w:textAlignment w:val="baseline"/>
              <w:rPr>
                <w:rFonts w:ascii="Cambria" w:eastAsia="Calibri" w:hAnsi="Cambria" w:cs="Times New Roman"/>
                <w:bdr w:val="none" w:sz="0" w:space="0" w:color="auto" w:frame="1"/>
              </w:rPr>
            </w:pPr>
            <w:r w:rsidRPr="00F914E3">
              <w:rPr>
                <w:rFonts w:ascii="Cambria" w:eastAsia="Calibri" w:hAnsi="Cambria" w:cs="Times New Roman"/>
                <w:bdr w:val="none" w:sz="0" w:space="0" w:color="auto" w:frame="1"/>
              </w:rPr>
              <w:t xml:space="preserve">Each </w:t>
            </w:r>
            <w:r w:rsidR="00882A90">
              <w:rPr>
                <w:rFonts w:ascii="Cambria" w:eastAsia="Calibri" w:hAnsi="Cambria" w:cs="Times New Roman"/>
                <w:bdr w:val="none" w:sz="0" w:space="0" w:color="auto" w:frame="1"/>
              </w:rPr>
              <w:t xml:space="preserve">involved </w:t>
            </w:r>
            <w:r w:rsidRPr="00F914E3">
              <w:rPr>
                <w:rFonts w:ascii="Cambria" w:eastAsia="Calibri" w:hAnsi="Cambria" w:cs="Times New Roman"/>
                <w:bdr w:val="none" w:sz="0" w:space="0" w:color="auto" w:frame="1"/>
              </w:rPr>
              <w:t xml:space="preserve">site would have deep </w:t>
            </w:r>
            <w:r w:rsidR="00503A59">
              <w:rPr>
                <w:rFonts w:ascii="Cambria" w:eastAsia="Calibri" w:hAnsi="Cambria" w:cs="Times New Roman"/>
                <w:bdr w:val="none" w:sz="0" w:space="0" w:color="auto" w:frame="1"/>
              </w:rPr>
              <w:t xml:space="preserve">EMR </w:t>
            </w:r>
            <w:r w:rsidRPr="00F914E3">
              <w:rPr>
                <w:rFonts w:ascii="Cambria" w:eastAsia="Calibri" w:hAnsi="Cambria" w:cs="Times New Roman"/>
                <w:bdr w:val="none" w:sz="0" w:space="0" w:color="auto" w:frame="1"/>
              </w:rPr>
              <w:t xml:space="preserve">data provided for their </w:t>
            </w:r>
            <w:r w:rsidR="00503A59">
              <w:rPr>
                <w:rFonts w:ascii="Cambria" w:eastAsia="Calibri" w:hAnsi="Cambria" w:cs="Times New Roman"/>
                <w:bdr w:val="none" w:sz="0" w:space="0" w:color="auto" w:frame="1"/>
              </w:rPr>
              <w:t xml:space="preserve">participants </w:t>
            </w:r>
            <w:r w:rsidRPr="00F914E3">
              <w:rPr>
                <w:rFonts w:ascii="Cambria" w:eastAsia="Calibri" w:hAnsi="Cambria" w:cs="Times New Roman"/>
                <w:bdr w:val="none" w:sz="0" w:space="0" w:color="auto" w:frame="1"/>
              </w:rPr>
              <w:t xml:space="preserve">and </w:t>
            </w:r>
            <w:r w:rsidR="00882A90">
              <w:rPr>
                <w:rFonts w:ascii="Cambria" w:eastAsia="Calibri" w:hAnsi="Cambria" w:cs="Times New Roman"/>
                <w:bdr w:val="none" w:sz="0" w:space="0" w:color="auto" w:frame="1"/>
              </w:rPr>
              <w:t xml:space="preserve">they </w:t>
            </w:r>
            <w:r w:rsidRPr="00F914E3">
              <w:rPr>
                <w:rFonts w:ascii="Cambria" w:eastAsia="Calibri" w:hAnsi="Cambria" w:cs="Times New Roman"/>
                <w:bdr w:val="none" w:sz="0" w:space="0" w:color="auto" w:frame="1"/>
              </w:rPr>
              <w:t xml:space="preserve">can </w:t>
            </w:r>
            <w:r w:rsidR="00882A90">
              <w:rPr>
                <w:rFonts w:ascii="Cambria" w:eastAsia="Calibri" w:hAnsi="Cambria" w:cs="Times New Roman"/>
                <w:bdr w:val="none" w:sz="0" w:space="0" w:color="auto" w:frame="1"/>
              </w:rPr>
              <w:t xml:space="preserve">also perform </w:t>
            </w:r>
            <w:r w:rsidRPr="00F914E3">
              <w:rPr>
                <w:rFonts w:ascii="Cambria" w:eastAsia="Calibri" w:hAnsi="Cambria" w:cs="Times New Roman"/>
                <w:bdr w:val="none" w:sz="0" w:space="0" w:color="auto" w:frame="1"/>
              </w:rPr>
              <w:t>site</w:t>
            </w:r>
            <w:r w:rsidR="00882A90">
              <w:rPr>
                <w:rFonts w:ascii="Cambria" w:eastAsia="Calibri" w:hAnsi="Cambria" w:cs="Times New Roman"/>
                <w:bdr w:val="none" w:sz="0" w:space="0" w:color="auto" w:frame="1"/>
              </w:rPr>
              <w:t>-</w:t>
            </w:r>
            <w:r w:rsidRPr="00F914E3">
              <w:rPr>
                <w:rFonts w:ascii="Cambria" w:eastAsia="Calibri" w:hAnsi="Cambria" w:cs="Times New Roman"/>
                <w:bdr w:val="none" w:sz="0" w:space="0" w:color="auto" w:frame="1"/>
              </w:rPr>
              <w:t>based studies</w:t>
            </w:r>
            <w:r w:rsidR="00882A90">
              <w:rPr>
                <w:rFonts w:ascii="Cambria" w:eastAsia="Calibri" w:hAnsi="Cambria" w:cs="Times New Roman"/>
                <w:bdr w:val="none" w:sz="0" w:space="0" w:color="auto" w:frame="1"/>
              </w:rPr>
              <w:t>.</w:t>
            </w:r>
          </w:p>
          <w:p w14:paraId="4D9FD53F" w14:textId="14C04851" w:rsidR="00E7269A" w:rsidRDefault="00E7269A" w:rsidP="009F5A4E">
            <w:pPr>
              <w:shd w:val="clear" w:color="auto" w:fill="FFFFFF"/>
              <w:spacing w:before="240" w:after="120"/>
              <w:textAlignment w:val="baseline"/>
              <w:rPr>
                <w:rFonts w:ascii="Cambria" w:eastAsia="Calibri" w:hAnsi="Cambria" w:cs="Times New Roman"/>
                <w:u w:val="single"/>
                <w:bdr w:val="none" w:sz="0" w:space="0" w:color="auto" w:frame="1"/>
              </w:rPr>
            </w:pPr>
            <w:r>
              <w:rPr>
                <w:rFonts w:ascii="Cambria" w:eastAsia="Calibri" w:hAnsi="Cambria" w:cs="Times New Roman"/>
                <w:u w:val="single"/>
                <w:bdr w:val="none" w:sz="0" w:space="0" w:color="auto" w:frame="1"/>
              </w:rPr>
              <w:t xml:space="preserve">Return of Results / ELSI Workgroup Report </w:t>
            </w:r>
            <w:r w:rsidRPr="00E7269A">
              <w:rPr>
                <w:rFonts w:ascii="Cambria" w:eastAsia="Calibri" w:hAnsi="Cambria" w:cs="Times New Roman"/>
                <w:i/>
                <w:bdr w:val="none" w:sz="0" w:space="0" w:color="auto" w:frame="1"/>
              </w:rPr>
              <w:t>– Ingrid Holm &amp; Iftikhar Kullo</w:t>
            </w:r>
          </w:p>
          <w:p w14:paraId="2FA31A2D" w14:textId="3876EC4C" w:rsidR="00E7269A" w:rsidRDefault="007C27CA"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The co-chairs presented the</w:t>
            </w:r>
            <w:r w:rsidR="00324112">
              <w:rPr>
                <w:rFonts w:ascii="Cambria" w:eastAsia="Calibri" w:hAnsi="Cambria" w:cs="Times New Roman"/>
                <w:bdr w:val="none" w:sz="0" w:space="0" w:color="auto" w:frame="1"/>
              </w:rPr>
              <w:t xml:space="preserve"> ROR/ELSI </w:t>
            </w:r>
            <w:r>
              <w:rPr>
                <w:rFonts w:ascii="Cambria" w:eastAsia="Calibri" w:hAnsi="Cambria" w:cs="Times New Roman"/>
                <w:bdr w:val="none" w:sz="0" w:space="0" w:color="auto" w:frame="1"/>
              </w:rPr>
              <w:t xml:space="preserve">mission statement and charter. Overlaps </w:t>
            </w:r>
            <w:r w:rsidR="0092445A">
              <w:rPr>
                <w:rFonts w:ascii="Cambria" w:eastAsia="Calibri" w:hAnsi="Cambria" w:cs="Times New Roman"/>
                <w:bdr w:val="none" w:sz="0" w:space="0" w:color="auto" w:frame="1"/>
              </w:rPr>
              <w:t>with EHRI, Clinica</w:t>
            </w:r>
            <w:r w:rsidR="00324112">
              <w:rPr>
                <w:rFonts w:ascii="Cambria" w:eastAsia="Calibri" w:hAnsi="Cambria" w:cs="Times New Roman"/>
                <w:bdr w:val="none" w:sz="0" w:space="0" w:color="auto" w:frame="1"/>
              </w:rPr>
              <w:t xml:space="preserve">l Annotations, and Outcomes WG missions were </w:t>
            </w:r>
            <w:r w:rsidR="0092445A">
              <w:rPr>
                <w:rFonts w:ascii="Cambria" w:eastAsia="Calibri" w:hAnsi="Cambria" w:cs="Times New Roman"/>
                <w:bdr w:val="none" w:sz="0" w:space="0" w:color="auto" w:frame="1"/>
              </w:rPr>
              <w:t xml:space="preserve">noted, and </w:t>
            </w:r>
            <w:r w:rsidR="00324112">
              <w:rPr>
                <w:rFonts w:ascii="Cambria" w:eastAsia="Calibri" w:hAnsi="Cambria" w:cs="Times New Roman"/>
                <w:bdr w:val="none" w:sz="0" w:space="0" w:color="auto" w:frame="1"/>
              </w:rPr>
              <w:t xml:space="preserve">a joint monthly call with the Clinical Annotation WG proposed </w:t>
            </w:r>
            <w:r>
              <w:rPr>
                <w:rFonts w:ascii="Cambria" w:eastAsia="Calibri" w:hAnsi="Cambria" w:cs="Times New Roman"/>
                <w:bdr w:val="none" w:sz="0" w:space="0" w:color="auto" w:frame="1"/>
              </w:rPr>
              <w:t xml:space="preserve"> </w:t>
            </w:r>
          </w:p>
          <w:p w14:paraId="61E99A67" w14:textId="77777777" w:rsidR="00EE1ACF" w:rsidRDefault="00EE1ACF"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Initial Plans:</w:t>
            </w:r>
          </w:p>
          <w:p w14:paraId="50952290" w14:textId="5ABADACB" w:rsidR="00EE1ACF" w:rsidRDefault="00324112"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D</w:t>
            </w:r>
            <w:r w:rsidR="00EE1ACF">
              <w:rPr>
                <w:rFonts w:ascii="Cambria" w:eastAsia="Calibri" w:hAnsi="Cambria" w:cs="Times New Roman"/>
                <w:bdr w:val="none" w:sz="0" w:space="0" w:color="auto" w:frame="1"/>
              </w:rPr>
              <w:t xml:space="preserve">evelop and publish </w:t>
            </w:r>
            <w:r>
              <w:rPr>
                <w:rFonts w:ascii="Cambria" w:eastAsia="Calibri" w:hAnsi="Cambria" w:cs="Times New Roman"/>
                <w:bdr w:val="none" w:sz="0" w:space="0" w:color="auto" w:frame="1"/>
              </w:rPr>
              <w:t xml:space="preserve">Network ROR </w:t>
            </w:r>
            <w:r w:rsidR="00EE1ACF">
              <w:rPr>
                <w:rFonts w:ascii="Cambria" w:eastAsia="Calibri" w:hAnsi="Cambria" w:cs="Times New Roman"/>
                <w:bdr w:val="none" w:sz="0" w:space="0" w:color="auto" w:frame="1"/>
              </w:rPr>
              <w:t>standards within the first 6 months</w:t>
            </w:r>
            <w:r>
              <w:rPr>
                <w:rFonts w:ascii="Cambria" w:eastAsia="Calibri" w:hAnsi="Cambria" w:cs="Times New Roman"/>
                <w:bdr w:val="none" w:sz="0" w:space="0" w:color="auto" w:frame="1"/>
              </w:rPr>
              <w:t xml:space="preserve"> (March 2016)</w:t>
            </w:r>
            <w:r w:rsidR="00EE1ACF">
              <w:rPr>
                <w:rFonts w:ascii="Cambria" w:eastAsia="Calibri" w:hAnsi="Cambria" w:cs="Times New Roman"/>
                <w:bdr w:val="none" w:sz="0" w:space="0" w:color="auto" w:frame="1"/>
              </w:rPr>
              <w:t>.</w:t>
            </w:r>
          </w:p>
          <w:p w14:paraId="6B8B9C49" w14:textId="52C125C3" w:rsidR="00EE1ACF" w:rsidRDefault="00324112"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Develop jointly</w:t>
            </w:r>
            <w:r w:rsidR="00EE1ACF">
              <w:rPr>
                <w:rFonts w:ascii="Cambria" w:eastAsia="Calibri" w:hAnsi="Cambria" w:cs="Times New Roman"/>
                <w:bdr w:val="none" w:sz="0" w:space="0" w:color="auto" w:frame="1"/>
              </w:rPr>
              <w:t xml:space="preserve"> with the Clinical Annotation WG </w:t>
            </w:r>
            <w:r>
              <w:rPr>
                <w:rFonts w:ascii="Cambria" w:eastAsia="Calibri" w:hAnsi="Cambria" w:cs="Times New Roman"/>
                <w:bdr w:val="none" w:sz="0" w:space="0" w:color="auto" w:frame="1"/>
              </w:rPr>
              <w:t xml:space="preserve">and </w:t>
            </w:r>
            <w:proofErr w:type="spellStart"/>
            <w:r>
              <w:rPr>
                <w:rFonts w:ascii="Cambria" w:eastAsia="Calibri" w:hAnsi="Cambria" w:cs="Times New Roman"/>
                <w:bdr w:val="none" w:sz="0" w:space="0" w:color="auto" w:frame="1"/>
              </w:rPr>
              <w:t>ClinGen</w:t>
            </w:r>
            <w:proofErr w:type="spellEnd"/>
            <w:r>
              <w:rPr>
                <w:rFonts w:ascii="Cambria" w:eastAsia="Calibri" w:hAnsi="Cambria" w:cs="Times New Roman"/>
                <w:bdr w:val="none" w:sz="0" w:space="0" w:color="auto" w:frame="1"/>
              </w:rPr>
              <w:t xml:space="preserve"> (several members overlap with that Network) the </w:t>
            </w:r>
            <w:r w:rsidR="00EE1ACF">
              <w:rPr>
                <w:rFonts w:ascii="Cambria" w:eastAsia="Calibri" w:hAnsi="Cambria" w:cs="Times New Roman"/>
                <w:bdr w:val="none" w:sz="0" w:space="0" w:color="auto" w:frame="1"/>
              </w:rPr>
              <w:t xml:space="preserve">process and criteria for </w:t>
            </w:r>
            <w:r>
              <w:rPr>
                <w:rFonts w:ascii="Cambria" w:eastAsia="Calibri" w:hAnsi="Cambria" w:cs="Times New Roman"/>
                <w:bdr w:val="none" w:sz="0" w:space="0" w:color="auto" w:frame="1"/>
              </w:rPr>
              <w:t xml:space="preserve">determining variant </w:t>
            </w:r>
            <w:proofErr w:type="spellStart"/>
            <w:r w:rsidR="00EE1ACF">
              <w:rPr>
                <w:rFonts w:ascii="Cambria" w:eastAsia="Calibri" w:hAnsi="Cambria" w:cs="Times New Roman"/>
                <w:bdr w:val="none" w:sz="0" w:space="0" w:color="auto" w:frame="1"/>
              </w:rPr>
              <w:t>actionability</w:t>
            </w:r>
            <w:proofErr w:type="spellEnd"/>
            <w:r w:rsidR="00EE1ACF">
              <w:rPr>
                <w:rFonts w:ascii="Cambria" w:eastAsia="Calibri" w:hAnsi="Cambria" w:cs="Times New Roman"/>
                <w:bdr w:val="none" w:sz="0" w:space="0" w:color="auto" w:frame="1"/>
              </w:rPr>
              <w:t xml:space="preserve"> </w:t>
            </w:r>
            <w:r>
              <w:rPr>
                <w:rFonts w:ascii="Cambria" w:eastAsia="Calibri" w:hAnsi="Cambria" w:cs="Times New Roman"/>
                <w:bdr w:val="none" w:sz="0" w:space="0" w:color="auto" w:frame="1"/>
              </w:rPr>
              <w:t>f</w:t>
            </w:r>
            <w:r w:rsidR="00EE1ACF">
              <w:rPr>
                <w:rFonts w:ascii="Cambria" w:eastAsia="Calibri" w:hAnsi="Cambria" w:cs="Times New Roman"/>
                <w:bdr w:val="none" w:sz="0" w:space="0" w:color="auto" w:frame="1"/>
              </w:rPr>
              <w:t>or return</w:t>
            </w:r>
            <w:r w:rsidR="00F5516A">
              <w:rPr>
                <w:rFonts w:ascii="Cambria" w:eastAsia="Calibri" w:hAnsi="Cambria" w:cs="Times New Roman"/>
                <w:bdr w:val="none" w:sz="0" w:space="0" w:color="auto" w:frame="1"/>
              </w:rPr>
              <w:t>.</w:t>
            </w:r>
          </w:p>
          <w:p w14:paraId="53E02663" w14:textId="471EEEAA" w:rsidR="00EE1ACF" w:rsidRDefault="00324112"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S</w:t>
            </w:r>
            <w:r w:rsidR="00EE1ACF">
              <w:rPr>
                <w:rFonts w:ascii="Cambria" w:eastAsia="Calibri" w:hAnsi="Cambria" w:cs="Times New Roman"/>
                <w:bdr w:val="none" w:sz="0" w:space="0" w:color="auto" w:frame="1"/>
              </w:rPr>
              <w:t>urvey site</w:t>
            </w:r>
            <w:r>
              <w:rPr>
                <w:rFonts w:ascii="Cambria" w:eastAsia="Calibri" w:hAnsi="Cambria" w:cs="Times New Roman"/>
                <w:bdr w:val="none" w:sz="0" w:space="0" w:color="auto" w:frame="1"/>
              </w:rPr>
              <w:t>s</w:t>
            </w:r>
            <w:r w:rsidR="00EE1ACF">
              <w:rPr>
                <w:rFonts w:ascii="Cambria" w:eastAsia="Calibri" w:hAnsi="Cambria" w:cs="Times New Roman"/>
                <w:bdr w:val="none" w:sz="0" w:space="0" w:color="auto" w:frame="1"/>
              </w:rPr>
              <w:t xml:space="preserve"> </w:t>
            </w:r>
            <w:r>
              <w:rPr>
                <w:rFonts w:ascii="Cambria" w:eastAsia="Calibri" w:hAnsi="Cambria" w:cs="Times New Roman"/>
                <w:bdr w:val="none" w:sz="0" w:space="0" w:color="auto" w:frame="1"/>
              </w:rPr>
              <w:t>for their ROR approach</w:t>
            </w:r>
            <w:r w:rsidR="00EE1ACF">
              <w:rPr>
                <w:rFonts w:ascii="Cambria" w:eastAsia="Calibri" w:hAnsi="Cambria" w:cs="Times New Roman"/>
                <w:bdr w:val="none" w:sz="0" w:space="0" w:color="auto" w:frame="1"/>
              </w:rPr>
              <w:t>, including overall process, approach to consenting, patient/physician education plans, etc.</w:t>
            </w:r>
          </w:p>
          <w:p w14:paraId="3FB24381" w14:textId="42885AC3" w:rsidR="005027E4" w:rsidRPr="005027E4" w:rsidRDefault="005027E4" w:rsidP="005027E4">
            <w:pPr>
              <w:shd w:val="clear" w:color="auto" w:fill="FFFFFF"/>
              <w:spacing w:before="120" w:after="120"/>
              <w:textAlignment w:val="baseline"/>
              <w:rPr>
                <w:rFonts w:ascii="Cambria" w:eastAsia="Calibri" w:hAnsi="Cambria" w:cs="Times New Roman"/>
                <w:b/>
                <w:bdr w:val="none" w:sz="0" w:space="0" w:color="auto" w:frame="1"/>
              </w:rPr>
            </w:pPr>
            <w:r w:rsidRPr="005027E4">
              <w:rPr>
                <w:rFonts w:ascii="Cambria" w:eastAsia="Calibri" w:hAnsi="Cambria" w:cs="Times New Roman"/>
                <w:b/>
                <w:bdr w:val="none" w:sz="0" w:space="0" w:color="auto" w:frame="1"/>
              </w:rPr>
              <w:t xml:space="preserve">ACTION ITEM: </w:t>
            </w:r>
            <w:r w:rsidRPr="005027E4">
              <w:rPr>
                <w:rFonts w:ascii="Cambria" w:eastAsia="Times New Roman" w:hAnsi="Cambria"/>
                <w:b/>
              </w:rPr>
              <w:t>The eMERGE ROR/ELSI Workgroup will be invited to CSER ROR monthly calls.</w:t>
            </w:r>
          </w:p>
          <w:p w14:paraId="62DF598F" w14:textId="163D4AB5" w:rsidR="00E7269A" w:rsidRDefault="00E7269A" w:rsidP="009F5A4E">
            <w:pPr>
              <w:shd w:val="clear" w:color="auto" w:fill="FFFFFF"/>
              <w:spacing w:before="240" w:after="120"/>
              <w:textAlignment w:val="baseline"/>
              <w:rPr>
                <w:rFonts w:ascii="Cambria" w:eastAsia="Calibri" w:hAnsi="Cambria" w:cs="Times New Roman"/>
                <w:bdr w:val="none" w:sz="0" w:space="0" w:color="auto" w:frame="1"/>
              </w:rPr>
            </w:pPr>
            <w:r w:rsidRPr="00B977BA">
              <w:rPr>
                <w:rFonts w:ascii="Cambria" w:eastAsia="Calibri" w:hAnsi="Cambria" w:cs="Times New Roman"/>
                <w:u w:val="single"/>
                <w:bdr w:val="none" w:sz="0" w:space="0" w:color="auto" w:frame="1"/>
              </w:rPr>
              <w:t>Clinical Annotation Workgroup Report</w:t>
            </w:r>
            <w:r>
              <w:rPr>
                <w:rFonts w:ascii="Cambria" w:eastAsia="Calibri" w:hAnsi="Cambria" w:cs="Times New Roman"/>
                <w:bdr w:val="none" w:sz="0" w:space="0" w:color="auto" w:frame="1"/>
              </w:rPr>
              <w:t xml:space="preserve"> – </w:t>
            </w:r>
            <w:r w:rsidRPr="00B977BA">
              <w:rPr>
                <w:rFonts w:ascii="Cambria" w:eastAsia="Calibri" w:hAnsi="Cambria" w:cs="Times New Roman"/>
                <w:i/>
                <w:bdr w:val="none" w:sz="0" w:space="0" w:color="auto" w:frame="1"/>
              </w:rPr>
              <w:t>Heidi Rehm</w:t>
            </w:r>
          </w:p>
          <w:p w14:paraId="023BCB3D" w14:textId="2604CDB8" w:rsidR="00E7269A" w:rsidRDefault="0029590C"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This workgroup defined their role as ‘focusing on activities that build consistency of approaches to the gene and variant interpretation across </w:t>
            </w:r>
            <w:proofErr w:type="gramStart"/>
            <w:r>
              <w:rPr>
                <w:rFonts w:ascii="Cambria" w:eastAsia="Calibri" w:hAnsi="Cambria" w:cs="Times New Roman"/>
                <w:bdr w:val="none" w:sz="0" w:space="0" w:color="auto" w:frame="1"/>
              </w:rPr>
              <w:t>the eMERGE</w:t>
            </w:r>
            <w:proofErr w:type="gramEnd"/>
            <w:r>
              <w:rPr>
                <w:rFonts w:ascii="Cambria" w:eastAsia="Calibri" w:hAnsi="Cambria" w:cs="Times New Roman"/>
                <w:bdr w:val="none" w:sz="0" w:space="0" w:color="auto" w:frame="1"/>
              </w:rPr>
              <w:t xml:space="preserve"> sequencing centers and study sites, as well as support contribution to public knowledge bases.’</w:t>
            </w:r>
          </w:p>
          <w:p w14:paraId="4E449B8B" w14:textId="331B8F55" w:rsidR="0029590C" w:rsidRDefault="0029590C"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The group will apply the </w:t>
            </w:r>
            <w:proofErr w:type="spellStart"/>
            <w:r>
              <w:rPr>
                <w:rFonts w:ascii="Cambria" w:eastAsia="Calibri" w:hAnsi="Cambria" w:cs="Times New Roman"/>
                <w:bdr w:val="none" w:sz="0" w:space="0" w:color="auto" w:frame="1"/>
              </w:rPr>
              <w:t>ClinGen</w:t>
            </w:r>
            <w:proofErr w:type="spellEnd"/>
            <w:r>
              <w:rPr>
                <w:rFonts w:ascii="Cambria" w:eastAsia="Calibri" w:hAnsi="Cambria" w:cs="Times New Roman"/>
                <w:bdr w:val="none" w:sz="0" w:space="0" w:color="auto" w:frame="1"/>
              </w:rPr>
              <w:t xml:space="preserve"> approach to gene-disease validity assessment to all genes on the panel.</w:t>
            </w:r>
            <w:r w:rsidR="002D3792">
              <w:rPr>
                <w:rFonts w:ascii="Cambria" w:eastAsia="Calibri" w:hAnsi="Cambria" w:cs="Times New Roman"/>
                <w:bdr w:val="none" w:sz="0" w:space="0" w:color="auto" w:frame="1"/>
              </w:rPr>
              <w:t xml:space="preserve"> </w:t>
            </w:r>
            <w:r w:rsidR="002D3792" w:rsidRPr="002D3792">
              <w:rPr>
                <w:rFonts w:ascii="Cambria" w:eastAsia="Calibri" w:hAnsi="Cambria" w:cs="Times New Roman"/>
                <w:bdr w:val="none" w:sz="0" w:space="0" w:color="auto" w:frame="1"/>
              </w:rPr>
              <w:t>The Gene-Disease Validity classification was reviewed as well.</w:t>
            </w:r>
          </w:p>
          <w:p w14:paraId="435690D6" w14:textId="6AFF3D3A" w:rsidR="002D3792" w:rsidRPr="002D3792" w:rsidRDefault="002D3792"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A collaboration with the ROR/ELSI WG was proposed so that the groups can gather feedback and develop consensus on standard language used in clinical reports from the CSGs.</w:t>
            </w:r>
          </w:p>
          <w:p w14:paraId="34979CCB" w14:textId="78B7EC54" w:rsidR="00E7269A" w:rsidRDefault="00B977BA" w:rsidP="009F5A4E">
            <w:pPr>
              <w:shd w:val="clear" w:color="auto" w:fill="FFFFFF"/>
              <w:spacing w:before="240" w:after="120"/>
              <w:textAlignment w:val="baseline"/>
              <w:rPr>
                <w:rFonts w:ascii="Cambria" w:eastAsia="Calibri" w:hAnsi="Cambria" w:cs="Times New Roman"/>
                <w:bdr w:val="none" w:sz="0" w:space="0" w:color="auto" w:frame="1"/>
              </w:rPr>
            </w:pPr>
            <w:proofErr w:type="spellStart"/>
            <w:r w:rsidRPr="00B977BA">
              <w:rPr>
                <w:rFonts w:ascii="Cambria" w:eastAsia="Calibri" w:hAnsi="Cambria" w:cs="Times New Roman"/>
                <w:u w:val="single"/>
                <w:bdr w:val="none" w:sz="0" w:space="0" w:color="auto" w:frame="1"/>
              </w:rPr>
              <w:t>PGx</w:t>
            </w:r>
            <w:proofErr w:type="spellEnd"/>
            <w:r w:rsidRPr="00B977BA">
              <w:rPr>
                <w:rFonts w:ascii="Cambria" w:eastAsia="Calibri" w:hAnsi="Cambria" w:cs="Times New Roman"/>
                <w:u w:val="single"/>
                <w:bdr w:val="none" w:sz="0" w:space="0" w:color="auto" w:frame="1"/>
              </w:rPr>
              <w:t xml:space="preserve"> Update</w:t>
            </w:r>
            <w:r>
              <w:rPr>
                <w:rFonts w:ascii="Cambria" w:eastAsia="Calibri" w:hAnsi="Cambria" w:cs="Times New Roman"/>
                <w:bdr w:val="none" w:sz="0" w:space="0" w:color="auto" w:frame="1"/>
              </w:rPr>
              <w:t xml:space="preserve"> – </w:t>
            </w:r>
            <w:r w:rsidRPr="00B977BA">
              <w:rPr>
                <w:rFonts w:ascii="Cambria" w:eastAsia="Calibri" w:hAnsi="Cambria" w:cs="Times New Roman"/>
                <w:i/>
                <w:bdr w:val="none" w:sz="0" w:space="0" w:color="auto" w:frame="1"/>
              </w:rPr>
              <w:t xml:space="preserve">Laura </w:t>
            </w:r>
            <w:r w:rsidR="007C27CA">
              <w:rPr>
                <w:rFonts w:ascii="Cambria" w:eastAsia="Calibri" w:hAnsi="Cambria" w:cs="Times New Roman"/>
                <w:i/>
                <w:bdr w:val="none" w:sz="0" w:space="0" w:color="auto" w:frame="1"/>
              </w:rPr>
              <w:t>Rasmussen-</w:t>
            </w:r>
            <w:r w:rsidRPr="00B977BA">
              <w:rPr>
                <w:rFonts w:ascii="Cambria" w:eastAsia="Calibri" w:hAnsi="Cambria" w:cs="Times New Roman"/>
                <w:i/>
                <w:bdr w:val="none" w:sz="0" w:space="0" w:color="auto" w:frame="1"/>
              </w:rPr>
              <w:t>Torvik</w:t>
            </w:r>
          </w:p>
          <w:p w14:paraId="38001BC0" w14:textId="1E4951D6" w:rsidR="00B977BA" w:rsidRDefault="00DE2857"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Six</w:t>
            </w:r>
            <w:r w:rsidR="00F113EE">
              <w:rPr>
                <w:rFonts w:ascii="Cambria" w:eastAsia="Calibri" w:hAnsi="Cambria" w:cs="Times New Roman"/>
                <w:bdr w:val="none" w:sz="0" w:space="0" w:color="auto" w:frame="1"/>
              </w:rPr>
              <w:t xml:space="preserve"> of 10 sites have returned all results from the project. Barriers for returning results were identified by the WG, and included physician pushback, manual data entry, and operational issues related to timely CLIA validation.</w:t>
            </w:r>
          </w:p>
          <w:p w14:paraId="1C781DA9" w14:textId="692A0AFE" w:rsidR="00F113EE" w:rsidRDefault="00F113EE"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The 5 </w:t>
            </w:r>
            <w:proofErr w:type="spellStart"/>
            <w:r>
              <w:rPr>
                <w:rFonts w:ascii="Cambria" w:eastAsia="Calibri" w:hAnsi="Cambria" w:cs="Times New Roman"/>
                <w:bdr w:val="none" w:sz="0" w:space="0" w:color="auto" w:frame="1"/>
              </w:rPr>
              <w:t>PGx</w:t>
            </w:r>
            <w:proofErr w:type="spellEnd"/>
            <w:r>
              <w:rPr>
                <w:rFonts w:ascii="Cambria" w:eastAsia="Calibri" w:hAnsi="Cambria" w:cs="Times New Roman"/>
                <w:bdr w:val="none" w:sz="0" w:space="0" w:color="auto" w:frame="1"/>
              </w:rPr>
              <w:t xml:space="preserve"> phenotypes are in varying stages of completion. </w:t>
            </w:r>
            <w:r w:rsidR="00C513B4">
              <w:rPr>
                <w:rFonts w:ascii="Cambria" w:eastAsia="Calibri" w:hAnsi="Cambria" w:cs="Times New Roman"/>
                <w:bdr w:val="none" w:sz="0" w:space="0" w:color="auto" w:frame="1"/>
              </w:rPr>
              <w:t>MACE/</w:t>
            </w:r>
            <w:proofErr w:type="spellStart"/>
            <w:r w:rsidR="00C513B4">
              <w:rPr>
                <w:rFonts w:ascii="Cambria" w:eastAsia="Calibri" w:hAnsi="Cambria" w:cs="Times New Roman"/>
                <w:bdr w:val="none" w:sz="0" w:space="0" w:color="auto" w:frame="1"/>
              </w:rPr>
              <w:t>Clopidogrel</w:t>
            </w:r>
            <w:proofErr w:type="spellEnd"/>
            <w:r w:rsidR="00C513B4">
              <w:rPr>
                <w:rFonts w:ascii="Cambria" w:eastAsia="Calibri" w:hAnsi="Cambria" w:cs="Times New Roman"/>
                <w:bdr w:val="none" w:sz="0" w:space="0" w:color="auto" w:frame="1"/>
              </w:rPr>
              <w:t xml:space="preserve"> and Lipids have completed site validation, and are undergoing analysis. Intractable Epilepsy is almost finished with secondary validation, and Methylphenidate is still in algorithm development as additional patients were added to the project at a late stage.</w:t>
            </w:r>
          </w:p>
          <w:p w14:paraId="0CF4B39A" w14:textId="2ADEF506" w:rsidR="00C513B4" w:rsidRDefault="00C513B4"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Moving forward into Phase III, the </w:t>
            </w:r>
            <w:proofErr w:type="spellStart"/>
            <w:r>
              <w:rPr>
                <w:rFonts w:ascii="Cambria" w:eastAsia="Calibri" w:hAnsi="Cambria" w:cs="Times New Roman"/>
                <w:bdr w:val="none" w:sz="0" w:space="0" w:color="auto" w:frame="1"/>
              </w:rPr>
              <w:t>PGx</w:t>
            </w:r>
            <w:proofErr w:type="spellEnd"/>
            <w:r>
              <w:rPr>
                <w:rFonts w:ascii="Cambria" w:eastAsia="Calibri" w:hAnsi="Cambria" w:cs="Times New Roman"/>
                <w:bdr w:val="none" w:sz="0" w:space="0" w:color="auto" w:frame="1"/>
              </w:rPr>
              <w:t xml:space="preserve"> workgroup will be folded into the new Outcomes WG as a standing agenda item. Former </w:t>
            </w:r>
            <w:proofErr w:type="spellStart"/>
            <w:r>
              <w:rPr>
                <w:rFonts w:ascii="Cambria" w:eastAsia="Calibri" w:hAnsi="Cambria" w:cs="Times New Roman"/>
                <w:bdr w:val="none" w:sz="0" w:space="0" w:color="auto" w:frame="1"/>
              </w:rPr>
              <w:t>PGx</w:t>
            </w:r>
            <w:proofErr w:type="spellEnd"/>
            <w:r>
              <w:rPr>
                <w:rFonts w:ascii="Cambria" w:eastAsia="Calibri" w:hAnsi="Cambria" w:cs="Times New Roman"/>
                <w:bdr w:val="none" w:sz="0" w:space="0" w:color="auto" w:frame="1"/>
              </w:rPr>
              <w:t xml:space="preserve"> workgroup members were encouraged to join the Outcomes WG.</w:t>
            </w:r>
          </w:p>
          <w:p w14:paraId="23C56EF8" w14:textId="79CB406E" w:rsidR="00B977BA" w:rsidRDefault="00B977BA" w:rsidP="009F5A4E">
            <w:pPr>
              <w:shd w:val="clear" w:color="auto" w:fill="FFFFFF"/>
              <w:spacing w:before="240" w:after="120"/>
              <w:textAlignment w:val="baseline"/>
              <w:rPr>
                <w:rFonts w:ascii="Cambria" w:eastAsia="Calibri" w:hAnsi="Cambria" w:cs="Times New Roman"/>
                <w:bdr w:val="none" w:sz="0" w:space="0" w:color="auto" w:frame="1"/>
              </w:rPr>
            </w:pPr>
            <w:r w:rsidRPr="00B977BA">
              <w:rPr>
                <w:rFonts w:ascii="Cambria" w:eastAsia="Calibri" w:hAnsi="Cambria" w:cs="Times New Roman"/>
                <w:u w:val="single"/>
                <w:bdr w:val="none" w:sz="0" w:space="0" w:color="auto" w:frame="1"/>
              </w:rPr>
              <w:t>EHRI Workgroup Report</w:t>
            </w:r>
            <w:r>
              <w:rPr>
                <w:rFonts w:ascii="Cambria" w:eastAsia="Calibri" w:hAnsi="Cambria" w:cs="Times New Roman"/>
                <w:bdr w:val="none" w:sz="0" w:space="0" w:color="auto" w:frame="1"/>
              </w:rPr>
              <w:t xml:space="preserve"> – </w:t>
            </w:r>
            <w:r w:rsidRPr="00B977BA">
              <w:rPr>
                <w:rFonts w:ascii="Cambria" w:eastAsia="Calibri" w:hAnsi="Cambria" w:cs="Times New Roman"/>
                <w:i/>
                <w:bdr w:val="none" w:sz="0" w:space="0" w:color="auto" w:frame="1"/>
              </w:rPr>
              <w:t>Sandy Aronson</w:t>
            </w:r>
          </w:p>
          <w:p w14:paraId="0573C48F" w14:textId="65165EA2" w:rsidR="00B977BA" w:rsidRDefault="005C4177"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S</w:t>
            </w:r>
            <w:r w:rsidR="009768F2">
              <w:rPr>
                <w:rFonts w:ascii="Cambria" w:eastAsia="Calibri" w:hAnsi="Cambria" w:cs="Times New Roman"/>
                <w:bdr w:val="none" w:sz="0" w:space="0" w:color="auto" w:frame="1"/>
              </w:rPr>
              <w:t xml:space="preserve">pecific task areas </w:t>
            </w:r>
            <w:r>
              <w:rPr>
                <w:rFonts w:ascii="Cambria" w:eastAsia="Calibri" w:hAnsi="Cambria" w:cs="Times New Roman"/>
                <w:bdr w:val="none" w:sz="0" w:space="0" w:color="auto" w:frame="1"/>
              </w:rPr>
              <w:t>for this group are</w:t>
            </w:r>
            <w:r w:rsidR="009768F2">
              <w:rPr>
                <w:rFonts w:ascii="Cambria" w:eastAsia="Calibri" w:hAnsi="Cambria" w:cs="Times New Roman"/>
                <w:bdr w:val="none" w:sz="0" w:space="0" w:color="auto" w:frame="1"/>
              </w:rPr>
              <w:t>:</w:t>
            </w:r>
          </w:p>
          <w:p w14:paraId="420FAFFD" w14:textId="57348069" w:rsidR="009768F2" w:rsidRDefault="009768F2"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Engineering:</w:t>
            </w:r>
            <w:r>
              <w:t xml:space="preserve"> </w:t>
            </w:r>
            <w:r w:rsidRPr="009768F2">
              <w:rPr>
                <w:rFonts w:ascii="Cambria" w:eastAsia="Calibri" w:hAnsi="Cambria" w:cs="Times New Roman"/>
                <w:bdr w:val="none" w:sz="0" w:space="0" w:color="auto" w:frame="1"/>
              </w:rPr>
              <w:t>Establish, document and seek to continuously improve</w:t>
            </w:r>
            <w:r>
              <w:rPr>
                <w:rFonts w:ascii="Cambria" w:eastAsia="Calibri" w:hAnsi="Cambria" w:cs="Times New Roman"/>
                <w:bdr w:val="none" w:sz="0" w:space="0" w:color="auto" w:frame="1"/>
              </w:rPr>
              <w:t xml:space="preserve"> </w:t>
            </w:r>
            <w:r w:rsidRPr="009768F2">
              <w:rPr>
                <w:rFonts w:ascii="Cambria" w:eastAsia="Calibri" w:hAnsi="Cambria" w:cs="Times New Roman"/>
                <w:bdr w:val="none" w:sz="0" w:space="0" w:color="auto" w:frame="1"/>
              </w:rPr>
              <w:t>process flows for delivery of eMERGE reports and data</w:t>
            </w:r>
            <w:r>
              <w:rPr>
                <w:rFonts w:ascii="Cambria" w:eastAsia="Calibri" w:hAnsi="Cambria" w:cs="Times New Roman"/>
                <w:bdr w:val="none" w:sz="0" w:space="0" w:color="auto" w:frame="1"/>
              </w:rPr>
              <w:t>.</w:t>
            </w:r>
          </w:p>
          <w:p w14:paraId="481976E3" w14:textId="09D5FE1F" w:rsidR="009768F2" w:rsidRPr="009768F2" w:rsidRDefault="009768F2" w:rsidP="00866CA2">
            <w:pPr>
              <w:pStyle w:val="ListParagraph"/>
              <w:numPr>
                <w:ilvl w:val="2"/>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Significant engagement from all sites was stressed as being a requirement for this task area.</w:t>
            </w:r>
          </w:p>
          <w:p w14:paraId="434931E7" w14:textId="142F1503" w:rsidR="009768F2" w:rsidRPr="009768F2" w:rsidRDefault="009768F2"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Science: Experiment with innovative approaches that g</w:t>
            </w:r>
            <w:r w:rsidRPr="009768F2">
              <w:rPr>
                <w:rFonts w:ascii="Cambria" w:eastAsia="Calibri" w:hAnsi="Cambria" w:cs="Times New Roman"/>
                <w:bdr w:val="none" w:sz="0" w:space="0" w:color="auto" w:frame="1"/>
              </w:rPr>
              <w:t>o</w:t>
            </w:r>
            <w:r>
              <w:rPr>
                <w:rFonts w:ascii="Cambria" w:eastAsia="Calibri" w:hAnsi="Cambria" w:cs="Times New Roman"/>
                <w:bdr w:val="none" w:sz="0" w:space="0" w:color="auto" w:frame="1"/>
              </w:rPr>
              <w:t xml:space="preserve"> beyond core requirements and evaluate t</w:t>
            </w:r>
            <w:r w:rsidRPr="009768F2">
              <w:rPr>
                <w:rFonts w:ascii="Cambria" w:eastAsia="Calibri" w:hAnsi="Cambria" w:cs="Times New Roman"/>
                <w:bdr w:val="none" w:sz="0" w:space="0" w:color="auto" w:frame="1"/>
              </w:rPr>
              <w:t>heir</w:t>
            </w:r>
            <w:r>
              <w:rPr>
                <w:rFonts w:ascii="Cambria" w:eastAsia="Calibri" w:hAnsi="Cambria" w:cs="Times New Roman"/>
                <w:bdr w:val="none" w:sz="0" w:space="0" w:color="auto" w:frame="1"/>
              </w:rPr>
              <w:t xml:space="preserve"> e</w:t>
            </w:r>
            <w:r w:rsidRPr="009768F2">
              <w:rPr>
                <w:rFonts w:ascii="Cambria" w:eastAsia="Calibri" w:hAnsi="Cambria" w:cs="Times New Roman"/>
                <w:bdr w:val="none" w:sz="0" w:space="0" w:color="auto" w:frame="1"/>
              </w:rPr>
              <w:t>ffectiveness</w:t>
            </w:r>
            <w:r>
              <w:rPr>
                <w:rFonts w:ascii="Cambria" w:eastAsia="Calibri" w:hAnsi="Cambria" w:cs="Times New Roman"/>
                <w:bdr w:val="none" w:sz="0" w:space="0" w:color="auto" w:frame="1"/>
              </w:rPr>
              <w:t>.</w:t>
            </w:r>
          </w:p>
          <w:p w14:paraId="26BE3C23" w14:textId="2639694F" w:rsidR="009768F2" w:rsidRDefault="009768F2"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9768F2">
              <w:rPr>
                <w:rFonts w:ascii="Cambria" w:eastAsia="Calibri" w:hAnsi="Cambria" w:cs="Times New Roman"/>
                <w:bdr w:val="none" w:sz="0" w:space="0" w:color="auto" w:frame="1"/>
              </w:rPr>
              <w:t>Community: Liaise with other groups, engage in collaborative</w:t>
            </w:r>
            <w:r>
              <w:rPr>
                <w:rFonts w:ascii="Cambria" w:eastAsia="Calibri" w:hAnsi="Cambria" w:cs="Times New Roman"/>
                <w:bdr w:val="none" w:sz="0" w:space="0" w:color="auto" w:frame="1"/>
              </w:rPr>
              <w:t xml:space="preserve"> </w:t>
            </w:r>
            <w:r w:rsidRPr="009768F2">
              <w:rPr>
                <w:rFonts w:ascii="Cambria" w:eastAsia="Calibri" w:hAnsi="Cambria" w:cs="Times New Roman"/>
                <w:bdr w:val="none" w:sz="0" w:space="0" w:color="auto" w:frame="1"/>
              </w:rPr>
              <w:t xml:space="preserve">projects, </w:t>
            </w:r>
            <w:r w:rsidR="00F5516A" w:rsidRPr="009768F2">
              <w:rPr>
                <w:rFonts w:ascii="Cambria" w:eastAsia="Calibri" w:hAnsi="Cambria" w:cs="Times New Roman"/>
                <w:bdr w:val="none" w:sz="0" w:space="0" w:color="auto" w:frame="1"/>
              </w:rPr>
              <w:t>and disseminate</w:t>
            </w:r>
            <w:r w:rsidRPr="009768F2">
              <w:rPr>
                <w:rFonts w:ascii="Cambria" w:eastAsia="Calibri" w:hAnsi="Cambria" w:cs="Times New Roman"/>
                <w:bdr w:val="none" w:sz="0" w:space="0" w:color="auto" w:frame="1"/>
              </w:rPr>
              <w:t xml:space="preserve"> learning and best practices</w:t>
            </w:r>
            <w:r>
              <w:rPr>
                <w:rFonts w:ascii="Cambria" w:eastAsia="Calibri" w:hAnsi="Cambria" w:cs="Times New Roman"/>
                <w:bdr w:val="none" w:sz="0" w:space="0" w:color="auto" w:frame="1"/>
              </w:rPr>
              <w:t>.</w:t>
            </w:r>
          </w:p>
          <w:p w14:paraId="2B787B28" w14:textId="0389CA3A" w:rsidR="009768F2" w:rsidRDefault="009768F2"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The group </w:t>
            </w:r>
            <w:r w:rsidR="005C4177">
              <w:rPr>
                <w:rFonts w:ascii="Cambria" w:eastAsia="Calibri" w:hAnsi="Cambria" w:cs="Times New Roman"/>
                <w:bdr w:val="none" w:sz="0" w:space="0" w:color="auto" w:frame="1"/>
              </w:rPr>
              <w:t xml:space="preserve">wants to </w:t>
            </w:r>
            <w:r>
              <w:rPr>
                <w:rFonts w:ascii="Cambria" w:eastAsia="Calibri" w:hAnsi="Cambria" w:cs="Times New Roman"/>
                <w:bdr w:val="none" w:sz="0" w:space="0" w:color="auto" w:frame="1"/>
              </w:rPr>
              <w:t>serve as a resource for the Network to help determine feasibility with current EHR infrastructure.</w:t>
            </w:r>
          </w:p>
          <w:p w14:paraId="7F609703" w14:textId="581FD455" w:rsidR="005C4177" w:rsidRDefault="005C4177"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Sandy Aronson is a developer of </w:t>
            </w:r>
            <w:proofErr w:type="spellStart"/>
            <w:r>
              <w:rPr>
                <w:rFonts w:ascii="Cambria" w:eastAsia="Calibri" w:hAnsi="Cambria" w:cs="Times New Roman"/>
                <w:bdr w:val="none" w:sz="0" w:space="0" w:color="auto" w:frame="1"/>
              </w:rPr>
              <w:t>GeneInsight</w:t>
            </w:r>
            <w:proofErr w:type="spellEnd"/>
            <w:r>
              <w:rPr>
                <w:rFonts w:ascii="Cambria" w:eastAsia="Calibri" w:hAnsi="Cambria" w:cs="Times New Roman"/>
                <w:bdr w:val="none" w:sz="0" w:space="0" w:color="auto" w:frame="1"/>
              </w:rPr>
              <w:t xml:space="preserve">, and will be very helpful in understanding </w:t>
            </w:r>
            <w:proofErr w:type="spellStart"/>
            <w:r>
              <w:rPr>
                <w:rFonts w:ascii="Cambria" w:eastAsia="Calibri" w:hAnsi="Cambria" w:cs="Times New Roman"/>
                <w:bdr w:val="none" w:sz="0" w:space="0" w:color="auto" w:frame="1"/>
              </w:rPr>
              <w:t>GeneInsight</w:t>
            </w:r>
            <w:proofErr w:type="spellEnd"/>
            <w:r>
              <w:rPr>
                <w:rFonts w:ascii="Cambria" w:eastAsia="Calibri" w:hAnsi="Cambria" w:cs="Times New Roman"/>
                <w:bdr w:val="none" w:sz="0" w:space="0" w:color="auto" w:frame="1"/>
              </w:rPr>
              <w:t xml:space="preserve"> to specific EHRI workflow questions</w:t>
            </w:r>
          </w:p>
          <w:p w14:paraId="512096E2" w14:textId="1D6CE8AE" w:rsidR="009768F2" w:rsidRPr="009768F2" w:rsidRDefault="009768F2"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The workgroup </w:t>
            </w:r>
            <w:r w:rsidR="00702817">
              <w:rPr>
                <w:rFonts w:ascii="Cambria" w:eastAsia="Calibri" w:hAnsi="Cambria" w:cs="Times New Roman"/>
                <w:bdr w:val="none" w:sz="0" w:space="0" w:color="auto" w:frame="1"/>
              </w:rPr>
              <w:t>will have</w:t>
            </w:r>
            <w:r>
              <w:rPr>
                <w:rFonts w:ascii="Cambria" w:eastAsia="Calibri" w:hAnsi="Cambria" w:cs="Times New Roman"/>
                <w:bdr w:val="none" w:sz="0" w:space="0" w:color="auto" w:frame="1"/>
              </w:rPr>
              <w:t xml:space="preserve"> process flow documentation and </w:t>
            </w:r>
            <w:r w:rsidR="00702817">
              <w:rPr>
                <w:rFonts w:ascii="Cambria" w:eastAsia="Calibri" w:hAnsi="Cambria" w:cs="Times New Roman"/>
                <w:bdr w:val="none" w:sz="0" w:space="0" w:color="auto" w:frame="1"/>
              </w:rPr>
              <w:t xml:space="preserve">a </w:t>
            </w:r>
            <w:r>
              <w:rPr>
                <w:rFonts w:ascii="Cambria" w:eastAsia="Calibri" w:hAnsi="Cambria" w:cs="Times New Roman"/>
                <w:bdr w:val="none" w:sz="0" w:space="0" w:color="auto" w:frame="1"/>
              </w:rPr>
              <w:t>list of strategic projects by the Jan. 2016 SC Meeting.</w:t>
            </w:r>
          </w:p>
          <w:p w14:paraId="672E803A" w14:textId="1F321F08" w:rsidR="00B977BA" w:rsidRDefault="00B977BA" w:rsidP="009F5A4E">
            <w:pPr>
              <w:shd w:val="clear" w:color="auto" w:fill="FFFFFF"/>
              <w:spacing w:before="240" w:after="120"/>
              <w:textAlignment w:val="baseline"/>
              <w:rPr>
                <w:rFonts w:ascii="Cambria" w:eastAsia="Calibri" w:hAnsi="Cambria" w:cs="Times New Roman"/>
                <w:bdr w:val="none" w:sz="0" w:space="0" w:color="auto" w:frame="1"/>
              </w:rPr>
            </w:pPr>
            <w:r w:rsidRPr="00B977BA">
              <w:rPr>
                <w:rFonts w:ascii="Cambria" w:eastAsia="Calibri" w:hAnsi="Cambria" w:cs="Times New Roman"/>
                <w:u w:val="single"/>
                <w:bdr w:val="none" w:sz="0" w:space="0" w:color="auto" w:frame="1"/>
              </w:rPr>
              <w:t>Columbia Site Presentation</w:t>
            </w:r>
            <w:r>
              <w:rPr>
                <w:rFonts w:ascii="Cambria" w:eastAsia="Calibri" w:hAnsi="Cambria" w:cs="Times New Roman"/>
                <w:bdr w:val="none" w:sz="0" w:space="0" w:color="auto" w:frame="1"/>
              </w:rPr>
              <w:t xml:space="preserve"> – </w:t>
            </w:r>
            <w:r w:rsidRPr="00B977BA">
              <w:rPr>
                <w:rFonts w:ascii="Cambria" w:eastAsia="Calibri" w:hAnsi="Cambria" w:cs="Times New Roman"/>
                <w:i/>
                <w:bdr w:val="none" w:sz="0" w:space="0" w:color="auto" w:frame="1"/>
              </w:rPr>
              <w:t xml:space="preserve">Chunhua Weng, Ali Gharavi, </w:t>
            </w:r>
            <w:r w:rsidR="00690CE3">
              <w:rPr>
                <w:rFonts w:ascii="Cambria" w:eastAsia="Calibri" w:hAnsi="Cambria" w:cs="Times New Roman"/>
                <w:i/>
                <w:bdr w:val="none" w:sz="0" w:space="0" w:color="auto" w:frame="1"/>
              </w:rPr>
              <w:t xml:space="preserve">&amp; </w:t>
            </w:r>
            <w:r w:rsidRPr="00B977BA">
              <w:rPr>
                <w:rFonts w:ascii="Cambria" w:eastAsia="Calibri" w:hAnsi="Cambria" w:cs="Times New Roman"/>
                <w:i/>
                <w:bdr w:val="none" w:sz="0" w:space="0" w:color="auto" w:frame="1"/>
              </w:rPr>
              <w:t>George Hripcsak</w:t>
            </w:r>
          </w:p>
          <w:p w14:paraId="6FDF5653" w14:textId="2BD8C5DA" w:rsidR="00B977BA" w:rsidRDefault="00F923BD"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Columbia provided an overview of their site, which is new to eMERGE Phase III. Their program, called GENIE (Genomic Integration with EHR), </w:t>
            </w:r>
            <w:r w:rsidR="00A47A8F">
              <w:rPr>
                <w:rFonts w:ascii="Cambria" w:eastAsia="Calibri" w:hAnsi="Cambria" w:cs="Times New Roman"/>
                <w:bdr w:val="none" w:sz="0" w:space="0" w:color="auto" w:frame="1"/>
              </w:rPr>
              <w:t>will work to fulfill the following site aims:</w:t>
            </w:r>
          </w:p>
          <w:p w14:paraId="38FF9F94" w14:textId="77777777" w:rsidR="00A47A8F" w:rsidRPr="00A47A8F" w:rsidRDefault="00A47A8F"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A47A8F">
              <w:rPr>
                <w:rFonts w:ascii="Cambria" w:eastAsia="Calibri" w:hAnsi="Cambria" w:cs="Times New Roman"/>
                <w:bdr w:val="none" w:sz="0" w:space="0" w:color="auto" w:frame="1"/>
              </w:rPr>
              <w:t>Advance next-generation phenotyping</w:t>
            </w:r>
          </w:p>
          <w:p w14:paraId="4199B639" w14:textId="2D623FE0" w:rsidR="00A47A8F" w:rsidRPr="00A47A8F" w:rsidRDefault="00A47A8F"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A47A8F">
              <w:rPr>
                <w:rFonts w:ascii="Cambria" w:eastAsia="Calibri" w:hAnsi="Cambria" w:cs="Times New Roman"/>
                <w:bdr w:val="none" w:sz="0" w:space="0" w:color="auto" w:frame="1"/>
              </w:rPr>
              <w:t>Perform genetic association studies of rare variants</w:t>
            </w:r>
          </w:p>
          <w:p w14:paraId="40F09128" w14:textId="2D3943F3" w:rsidR="00A47A8F" w:rsidRPr="00A47A8F" w:rsidRDefault="00A47A8F"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A47A8F">
              <w:rPr>
                <w:rFonts w:ascii="Cambria" w:eastAsia="Calibri" w:hAnsi="Cambria" w:cs="Times New Roman"/>
                <w:bdr w:val="none" w:sz="0" w:space="0" w:color="auto" w:frame="1"/>
              </w:rPr>
              <w:t>Develop practical, scalable learning mechanisms for returning results</w:t>
            </w:r>
          </w:p>
          <w:p w14:paraId="67FD8D50" w14:textId="08F09760" w:rsidR="00A47A8F" w:rsidRPr="00A47A8F" w:rsidRDefault="00A47A8F"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A47A8F">
              <w:rPr>
                <w:rFonts w:ascii="Cambria" w:eastAsia="Calibri" w:hAnsi="Cambria" w:cs="Times New Roman"/>
                <w:bdr w:val="none" w:sz="0" w:space="0" w:color="auto" w:frame="1"/>
              </w:rPr>
              <w:t>Provide genomic decision support</w:t>
            </w:r>
          </w:p>
          <w:p w14:paraId="7FE82210" w14:textId="10EBE60A" w:rsidR="00A47A8F" w:rsidRDefault="00A47A8F"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A47A8F">
              <w:rPr>
                <w:rFonts w:ascii="Cambria" w:eastAsia="Calibri" w:hAnsi="Cambria" w:cs="Times New Roman"/>
                <w:bdr w:val="none" w:sz="0" w:space="0" w:color="auto" w:frame="1"/>
              </w:rPr>
              <w:t>Disseminate data, tools, algorithms, and best practices</w:t>
            </w:r>
          </w:p>
          <w:p w14:paraId="44E4CEE5" w14:textId="1D796F43" w:rsidR="00A47A8F" w:rsidRDefault="0023745D"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Columbia’s biobank contains over 26,000 samples.</w:t>
            </w:r>
          </w:p>
          <w:p w14:paraId="56AE0FC4" w14:textId="45E82835" w:rsidR="0023745D" w:rsidRDefault="0023745D"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Of GENIE’s </w:t>
            </w:r>
            <w:r w:rsidR="00A475B4">
              <w:rPr>
                <w:rFonts w:ascii="Cambria" w:eastAsia="Calibri" w:hAnsi="Cambria" w:cs="Times New Roman"/>
                <w:bdr w:val="none" w:sz="0" w:space="0" w:color="auto" w:frame="1"/>
              </w:rPr>
              <w:t xml:space="preserve">submissions </w:t>
            </w:r>
            <w:r>
              <w:rPr>
                <w:rFonts w:ascii="Cambria" w:eastAsia="Calibri" w:hAnsi="Cambria" w:cs="Times New Roman"/>
                <w:bdr w:val="none" w:sz="0" w:space="0" w:color="auto" w:frame="1"/>
              </w:rPr>
              <w:t xml:space="preserve">to </w:t>
            </w:r>
            <w:proofErr w:type="spellStart"/>
            <w:r>
              <w:rPr>
                <w:rFonts w:ascii="Cambria" w:eastAsia="Calibri" w:hAnsi="Cambria" w:cs="Times New Roman"/>
                <w:bdr w:val="none" w:sz="0" w:space="0" w:color="auto" w:frame="1"/>
              </w:rPr>
              <w:t>dbGaP</w:t>
            </w:r>
            <w:proofErr w:type="spellEnd"/>
            <w:r>
              <w:rPr>
                <w:rFonts w:ascii="Cambria" w:eastAsia="Calibri" w:hAnsi="Cambria" w:cs="Times New Roman"/>
                <w:bdr w:val="none" w:sz="0" w:space="0" w:color="auto" w:frame="1"/>
              </w:rPr>
              <w:t xml:space="preserve">, 40% </w:t>
            </w:r>
            <w:r w:rsidR="00FB08AD">
              <w:rPr>
                <w:rFonts w:ascii="Cambria" w:eastAsia="Calibri" w:hAnsi="Cambria" w:cs="Times New Roman"/>
                <w:bdr w:val="none" w:sz="0" w:space="0" w:color="auto" w:frame="1"/>
              </w:rPr>
              <w:t>are</w:t>
            </w:r>
            <w:r>
              <w:rPr>
                <w:rFonts w:ascii="Cambria" w:eastAsia="Calibri" w:hAnsi="Cambria" w:cs="Times New Roman"/>
                <w:bdr w:val="none" w:sz="0" w:space="0" w:color="auto" w:frame="1"/>
              </w:rPr>
              <w:t xml:space="preserve"> related to kidney disease phenotypes, 12% for congenital heart defects, and 12% for Alzheimer’s disease.</w:t>
            </w:r>
          </w:p>
          <w:p w14:paraId="6A8E512E" w14:textId="7D2535E0" w:rsidR="00DB427D" w:rsidRDefault="00A475B4"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They have</w:t>
            </w:r>
            <w:r w:rsidR="00DB427D">
              <w:rPr>
                <w:rFonts w:ascii="Cambria" w:eastAsia="Calibri" w:hAnsi="Cambria" w:cs="Times New Roman"/>
                <w:bdr w:val="none" w:sz="0" w:space="0" w:color="auto" w:frame="1"/>
              </w:rPr>
              <w:t xml:space="preserve"> extensive experience with phenotyping, as well as the </w:t>
            </w:r>
            <w:r w:rsidR="00BD694A">
              <w:rPr>
                <w:rFonts w:ascii="Cambria" w:eastAsia="Calibri" w:hAnsi="Cambria" w:cs="Times New Roman"/>
                <w:bdr w:val="none" w:sz="0" w:space="0" w:color="auto" w:frame="1"/>
              </w:rPr>
              <w:t xml:space="preserve">ability to draw </w:t>
            </w:r>
            <w:r w:rsidR="00F5516A">
              <w:rPr>
                <w:rFonts w:ascii="Cambria" w:eastAsia="Calibri" w:hAnsi="Cambria" w:cs="Times New Roman"/>
                <w:bdr w:val="none" w:sz="0" w:space="0" w:color="auto" w:frame="1"/>
              </w:rPr>
              <w:t>phenotyping standards</w:t>
            </w:r>
            <w:r w:rsidR="00BD694A">
              <w:rPr>
                <w:rFonts w:ascii="Cambria" w:eastAsia="Calibri" w:hAnsi="Cambria" w:cs="Times New Roman"/>
                <w:bdr w:val="none" w:sz="0" w:space="0" w:color="auto" w:frame="1"/>
              </w:rPr>
              <w:t xml:space="preserve"> from</w:t>
            </w:r>
            <w:r w:rsidR="00DB427D">
              <w:rPr>
                <w:rFonts w:ascii="Cambria" w:eastAsia="Calibri" w:hAnsi="Cambria" w:cs="Times New Roman"/>
                <w:bdr w:val="none" w:sz="0" w:space="0" w:color="auto" w:frame="1"/>
              </w:rPr>
              <w:t xml:space="preserve"> OHDSI (Observations Health Data Sciences and Informatics</w:t>
            </w:r>
            <w:r w:rsidR="00BD694A">
              <w:rPr>
                <w:rFonts w:ascii="Cambria" w:eastAsia="Calibri" w:hAnsi="Cambria" w:cs="Times New Roman"/>
                <w:bdr w:val="none" w:sz="0" w:space="0" w:color="auto" w:frame="1"/>
              </w:rPr>
              <w:t>) as a unique resource for the Network.</w:t>
            </w:r>
          </w:p>
          <w:p w14:paraId="61A3B93F" w14:textId="2B135C45" w:rsidR="00DB427D" w:rsidRDefault="00FB08AD"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For ROR, </w:t>
            </w:r>
            <w:r w:rsidR="00BD694A">
              <w:rPr>
                <w:rFonts w:ascii="Cambria" w:eastAsia="Calibri" w:hAnsi="Cambria" w:cs="Times New Roman"/>
                <w:bdr w:val="none" w:sz="0" w:space="0" w:color="auto" w:frame="1"/>
              </w:rPr>
              <w:t>Columbia used a dashboard-based approach, a tool called Harvest. The tool highlights keywords related to the phenotype being queried, and clicking on the keyword will then highlight a timestamped portion of the patient’s timeline.</w:t>
            </w:r>
          </w:p>
          <w:p w14:paraId="5DF5D426" w14:textId="2AD14A65" w:rsidR="00BD694A" w:rsidRDefault="00BD694A"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Contributions of genomic discovery from Columbia were also highlighted.</w:t>
            </w:r>
          </w:p>
          <w:p w14:paraId="3A1FD730" w14:textId="7667484A" w:rsidR="00BD694A" w:rsidRDefault="00BD694A"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Educational resources from Columbia were highlighted. The site currently holds a monthly seminar on ELSI issues with leading experts, as well as offering weekly year-long courses in precision medicine. Columbia also has 5 post-doctoral fellows annually that specifically investigate ELSI and precision medicine issues.</w:t>
            </w:r>
          </w:p>
          <w:p w14:paraId="23E8D489" w14:textId="24A8DDEE" w:rsidR="00B977BA" w:rsidRDefault="00B977BA" w:rsidP="009F5A4E">
            <w:pPr>
              <w:shd w:val="clear" w:color="auto" w:fill="FFFFFF"/>
              <w:spacing w:before="240" w:after="120"/>
              <w:textAlignment w:val="baseline"/>
              <w:rPr>
                <w:rFonts w:ascii="Cambria" w:eastAsia="Calibri" w:hAnsi="Cambria" w:cs="Times New Roman"/>
                <w:bdr w:val="none" w:sz="0" w:space="0" w:color="auto" w:frame="1"/>
              </w:rPr>
            </w:pPr>
            <w:r w:rsidRPr="00B977BA">
              <w:rPr>
                <w:rFonts w:ascii="Cambria" w:eastAsia="Calibri" w:hAnsi="Cambria" w:cs="Times New Roman"/>
                <w:u w:val="single"/>
                <w:bdr w:val="none" w:sz="0" w:space="0" w:color="auto" w:frame="1"/>
              </w:rPr>
              <w:t>Outcomes Workgroup Report</w:t>
            </w:r>
            <w:r>
              <w:rPr>
                <w:rFonts w:ascii="Cambria" w:eastAsia="Calibri" w:hAnsi="Cambria" w:cs="Times New Roman"/>
                <w:bdr w:val="none" w:sz="0" w:space="0" w:color="auto" w:frame="1"/>
              </w:rPr>
              <w:t xml:space="preserve"> – </w:t>
            </w:r>
            <w:r w:rsidRPr="00B977BA">
              <w:rPr>
                <w:rFonts w:ascii="Cambria" w:eastAsia="Calibri" w:hAnsi="Cambria" w:cs="Times New Roman"/>
                <w:i/>
                <w:bdr w:val="none" w:sz="0" w:space="0" w:color="auto" w:frame="1"/>
              </w:rPr>
              <w:t>Hakon Hakonarson &amp; Josh Peterson</w:t>
            </w:r>
          </w:p>
          <w:p w14:paraId="7D56BDB6" w14:textId="20C21129" w:rsidR="00B977BA" w:rsidRDefault="00DB040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The co-chairs reviewed carryover process outcomes measure from Phase II. All </w:t>
            </w:r>
            <w:r w:rsidR="002B4225">
              <w:rPr>
                <w:rFonts w:ascii="Cambria" w:eastAsia="Calibri" w:hAnsi="Cambria" w:cs="Times New Roman"/>
                <w:bdr w:val="none" w:sz="0" w:space="0" w:color="auto" w:frame="1"/>
              </w:rPr>
              <w:t xml:space="preserve">process </w:t>
            </w:r>
            <w:proofErr w:type="gramStart"/>
            <w:r w:rsidR="002B4225">
              <w:rPr>
                <w:rFonts w:ascii="Cambria" w:eastAsia="Calibri" w:hAnsi="Cambria" w:cs="Times New Roman"/>
                <w:bdr w:val="none" w:sz="0" w:space="0" w:color="auto" w:frame="1"/>
              </w:rPr>
              <w:t xml:space="preserve">outcomes </w:t>
            </w:r>
            <w:r>
              <w:rPr>
                <w:rFonts w:ascii="Cambria" w:eastAsia="Calibri" w:hAnsi="Cambria" w:cs="Times New Roman"/>
                <w:bdr w:val="none" w:sz="0" w:space="0" w:color="auto" w:frame="1"/>
              </w:rPr>
              <w:t xml:space="preserve"> projects</w:t>
            </w:r>
            <w:proofErr w:type="gramEnd"/>
            <w:r>
              <w:rPr>
                <w:rFonts w:ascii="Cambria" w:eastAsia="Calibri" w:hAnsi="Cambria" w:cs="Times New Roman"/>
                <w:bdr w:val="none" w:sz="0" w:space="0" w:color="auto" w:frame="1"/>
              </w:rPr>
              <w:t xml:space="preserve"> are wrapping up data collected, and some have already </w:t>
            </w:r>
            <w:r w:rsidR="002B4225">
              <w:rPr>
                <w:rFonts w:ascii="Cambria" w:eastAsia="Calibri" w:hAnsi="Cambria" w:cs="Times New Roman"/>
                <w:bdr w:val="none" w:sz="0" w:space="0" w:color="auto" w:frame="1"/>
              </w:rPr>
              <w:t xml:space="preserve">working on </w:t>
            </w:r>
            <w:r>
              <w:rPr>
                <w:rFonts w:ascii="Cambria" w:eastAsia="Calibri" w:hAnsi="Cambria" w:cs="Times New Roman"/>
                <w:bdr w:val="none" w:sz="0" w:space="0" w:color="auto" w:frame="1"/>
              </w:rPr>
              <w:t>publications.</w:t>
            </w:r>
          </w:p>
          <w:p w14:paraId="70BA41A0" w14:textId="1C5E7ED3" w:rsidR="00DB0400" w:rsidRDefault="00DB040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sidRPr="00DB0400">
              <w:rPr>
                <w:rFonts w:ascii="Cambria" w:eastAsia="Calibri" w:hAnsi="Cambria" w:cs="Times New Roman"/>
                <w:bdr w:val="none" w:sz="0" w:space="0" w:color="auto" w:frame="1"/>
              </w:rPr>
              <w:t>The Outcomes workgroup will develop cross-site metrics to track the implementation and impact of eMERGE III. The workgroup will focus on answering the overarching question of whether eMERGE III generated genomic results changes health care utilization and impacts patients and families.</w:t>
            </w:r>
          </w:p>
          <w:p w14:paraId="7034234A" w14:textId="14AC0A55" w:rsidR="00DB0400" w:rsidRDefault="00DB040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The following objectives for the workgroup were developed:</w:t>
            </w:r>
          </w:p>
          <w:p w14:paraId="1F9D859F" w14:textId="73FECED6" w:rsidR="00DB0400" w:rsidRDefault="00DB040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DB0400">
              <w:rPr>
                <w:rFonts w:ascii="Cambria" w:eastAsia="Calibri" w:hAnsi="Cambria" w:cs="Times New Roman"/>
                <w:bdr w:val="none" w:sz="0" w:space="0" w:color="auto" w:frame="1"/>
              </w:rPr>
              <w:t>Define and pr</w:t>
            </w:r>
            <w:r>
              <w:rPr>
                <w:rFonts w:ascii="Cambria" w:eastAsia="Calibri" w:hAnsi="Cambria" w:cs="Times New Roman"/>
                <w:bdr w:val="none" w:sz="0" w:space="0" w:color="auto" w:frame="1"/>
              </w:rPr>
              <w:t>ioritize eMERGE III outcomes.</w:t>
            </w:r>
          </w:p>
          <w:p w14:paraId="641ADDBD" w14:textId="1151E83F" w:rsidR="00DB0400" w:rsidRDefault="00DB040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DB0400">
              <w:rPr>
                <w:rFonts w:ascii="Cambria" w:eastAsia="Calibri" w:hAnsi="Cambria" w:cs="Times New Roman"/>
                <w:bdr w:val="none" w:sz="0" w:space="0" w:color="auto" w:frame="1"/>
              </w:rPr>
              <w:t>Designate ma</w:t>
            </w:r>
            <w:r>
              <w:rPr>
                <w:rFonts w:ascii="Cambria" w:eastAsia="Calibri" w:hAnsi="Cambria" w:cs="Times New Roman"/>
                <w:bdr w:val="none" w:sz="0" w:space="0" w:color="auto" w:frame="1"/>
              </w:rPr>
              <w:t>ndatory vs optional outcomes.</w:t>
            </w:r>
          </w:p>
          <w:p w14:paraId="0156B144" w14:textId="0E478026" w:rsidR="00DB0400" w:rsidRDefault="00DB040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DB0400">
              <w:rPr>
                <w:rFonts w:ascii="Cambria" w:eastAsia="Calibri" w:hAnsi="Cambria" w:cs="Times New Roman"/>
                <w:bdr w:val="none" w:sz="0" w:space="0" w:color="auto" w:frame="1"/>
              </w:rPr>
              <w:t>Develop a framework to guide out</w:t>
            </w:r>
            <w:r>
              <w:rPr>
                <w:rFonts w:ascii="Cambria" w:eastAsia="Calibri" w:hAnsi="Cambria" w:cs="Times New Roman"/>
                <w:bdr w:val="none" w:sz="0" w:space="0" w:color="auto" w:frame="1"/>
              </w:rPr>
              <w:t>come assessment at all sites.</w:t>
            </w:r>
          </w:p>
          <w:p w14:paraId="10B3BE2F" w14:textId="680BDB50" w:rsidR="00DB0400" w:rsidRDefault="00DB040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DB0400">
              <w:rPr>
                <w:rFonts w:ascii="Cambria" w:eastAsia="Calibri" w:hAnsi="Cambria" w:cs="Times New Roman"/>
                <w:bdr w:val="none" w:sz="0" w:space="0" w:color="auto" w:frame="1"/>
              </w:rPr>
              <w:t>Develop a repo</w:t>
            </w:r>
            <w:r>
              <w:rPr>
                <w:rFonts w:ascii="Cambria" w:eastAsia="Calibri" w:hAnsi="Cambria" w:cs="Times New Roman"/>
                <w:bdr w:val="none" w:sz="0" w:space="0" w:color="auto" w:frame="1"/>
              </w:rPr>
              <w:t>rting mechanism and schedule.</w:t>
            </w:r>
          </w:p>
          <w:p w14:paraId="27150C83" w14:textId="3ED86D8F" w:rsidR="00DB0400" w:rsidRDefault="00DB040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Follow through on </w:t>
            </w:r>
            <w:proofErr w:type="spellStart"/>
            <w:r>
              <w:rPr>
                <w:rFonts w:ascii="Cambria" w:eastAsia="Calibri" w:hAnsi="Cambria" w:cs="Times New Roman"/>
                <w:bdr w:val="none" w:sz="0" w:space="0" w:color="auto" w:frame="1"/>
              </w:rPr>
              <w:t>eMERGE</w:t>
            </w:r>
            <w:proofErr w:type="spellEnd"/>
            <w:r>
              <w:rPr>
                <w:rFonts w:ascii="Cambria" w:eastAsia="Calibri" w:hAnsi="Cambria" w:cs="Times New Roman"/>
                <w:bdr w:val="none" w:sz="0" w:space="0" w:color="auto" w:frame="1"/>
              </w:rPr>
              <w:t xml:space="preserve"> </w:t>
            </w:r>
            <w:proofErr w:type="spellStart"/>
            <w:r>
              <w:rPr>
                <w:rFonts w:ascii="Cambria" w:eastAsia="Calibri" w:hAnsi="Cambria" w:cs="Times New Roman"/>
                <w:bdr w:val="none" w:sz="0" w:space="0" w:color="auto" w:frame="1"/>
              </w:rPr>
              <w:t>PG</w:t>
            </w:r>
            <w:r w:rsidRPr="00DB0400">
              <w:rPr>
                <w:rFonts w:ascii="Cambria" w:eastAsia="Calibri" w:hAnsi="Cambria" w:cs="Times New Roman"/>
                <w:bdr w:val="none" w:sz="0" w:space="0" w:color="auto" w:frame="1"/>
              </w:rPr>
              <w:t>x</w:t>
            </w:r>
            <w:proofErr w:type="spellEnd"/>
            <w:r w:rsidRPr="00DB0400">
              <w:rPr>
                <w:rFonts w:ascii="Cambria" w:eastAsia="Calibri" w:hAnsi="Cambria" w:cs="Times New Roman"/>
                <w:bdr w:val="none" w:sz="0" w:space="0" w:color="auto" w:frame="1"/>
              </w:rPr>
              <w:t xml:space="preserve"> evaluation plans</w:t>
            </w:r>
            <w:r>
              <w:rPr>
                <w:rFonts w:ascii="Cambria" w:eastAsia="Calibri" w:hAnsi="Cambria" w:cs="Times New Roman"/>
                <w:bdr w:val="none" w:sz="0" w:space="0" w:color="auto" w:frame="1"/>
              </w:rPr>
              <w:t>.</w:t>
            </w:r>
          </w:p>
          <w:p w14:paraId="0FEFDEB2" w14:textId="5B4499A8" w:rsidR="00DB0400" w:rsidRDefault="00DB040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The group will focus primarily on process outcomes, health outcomes, and economic outcomes.</w:t>
            </w:r>
          </w:p>
          <w:p w14:paraId="71C7A1DD" w14:textId="77777777" w:rsidR="00DB0400" w:rsidRDefault="00DB040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Prior to the January 2016 SC Meeting, the group will have:</w:t>
            </w:r>
          </w:p>
          <w:p w14:paraId="12998157" w14:textId="38EFCE06" w:rsidR="00DB0400" w:rsidRDefault="00DB040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Identified an outcomes representative at each site.</w:t>
            </w:r>
          </w:p>
          <w:p w14:paraId="29920BFD" w14:textId="69334346" w:rsidR="00DB0400" w:rsidRDefault="00DB040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Created an Outcomes Map (outcomes impact analysis).</w:t>
            </w:r>
          </w:p>
          <w:p w14:paraId="5C27FAF3" w14:textId="5AA222AC" w:rsidR="00DB0400" w:rsidRDefault="00DB040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Drafted a prioritization survey.</w:t>
            </w:r>
          </w:p>
          <w:p w14:paraId="31B9666D" w14:textId="4A15D6F6" w:rsidR="00DB0400" w:rsidRDefault="00DB040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Established sub working groups.</w:t>
            </w:r>
          </w:p>
          <w:p w14:paraId="5C518415" w14:textId="72825F5D" w:rsidR="00B977BA" w:rsidRDefault="00B977BA" w:rsidP="009F5A4E">
            <w:pPr>
              <w:shd w:val="clear" w:color="auto" w:fill="FFFFFF"/>
              <w:spacing w:before="240" w:after="120"/>
              <w:textAlignment w:val="baseline"/>
              <w:rPr>
                <w:rFonts w:ascii="Cambria" w:eastAsia="Calibri" w:hAnsi="Cambria" w:cs="Times New Roman"/>
                <w:bdr w:val="none" w:sz="0" w:space="0" w:color="auto" w:frame="1"/>
              </w:rPr>
            </w:pPr>
            <w:r w:rsidRPr="00B977BA">
              <w:rPr>
                <w:rFonts w:ascii="Cambria" w:eastAsia="Calibri" w:hAnsi="Cambria" w:cs="Times New Roman"/>
                <w:u w:val="single"/>
                <w:bdr w:val="none" w:sz="0" w:space="0" w:color="auto" w:frame="1"/>
              </w:rPr>
              <w:t>Genomics Workgroup Report</w:t>
            </w:r>
            <w:r>
              <w:rPr>
                <w:rFonts w:ascii="Cambria" w:eastAsia="Calibri" w:hAnsi="Cambria" w:cs="Times New Roman"/>
                <w:bdr w:val="none" w:sz="0" w:space="0" w:color="auto" w:frame="1"/>
              </w:rPr>
              <w:t xml:space="preserve"> – </w:t>
            </w:r>
            <w:proofErr w:type="spellStart"/>
            <w:r w:rsidRPr="00B977BA">
              <w:rPr>
                <w:rFonts w:ascii="Cambria" w:eastAsia="Calibri" w:hAnsi="Cambria" w:cs="Times New Roman"/>
                <w:i/>
                <w:bdr w:val="none" w:sz="0" w:space="0" w:color="auto" w:frame="1"/>
              </w:rPr>
              <w:t>Sekar</w:t>
            </w:r>
            <w:proofErr w:type="spellEnd"/>
            <w:r w:rsidRPr="00B977BA">
              <w:rPr>
                <w:rFonts w:ascii="Cambria" w:eastAsia="Calibri" w:hAnsi="Cambria" w:cs="Times New Roman"/>
                <w:i/>
                <w:bdr w:val="none" w:sz="0" w:space="0" w:color="auto" w:frame="1"/>
              </w:rPr>
              <w:t xml:space="preserve"> </w:t>
            </w:r>
            <w:r>
              <w:rPr>
                <w:rFonts w:ascii="Cambria" w:eastAsia="Calibri" w:hAnsi="Cambria" w:cs="Times New Roman"/>
                <w:i/>
                <w:bdr w:val="none" w:sz="0" w:space="0" w:color="auto" w:frame="1"/>
              </w:rPr>
              <w:t>Kathiresan &amp;</w:t>
            </w:r>
            <w:r w:rsidRPr="00B977BA">
              <w:rPr>
                <w:rFonts w:ascii="Cambria" w:eastAsia="Calibri" w:hAnsi="Cambria" w:cs="Times New Roman"/>
                <w:i/>
                <w:bdr w:val="none" w:sz="0" w:space="0" w:color="auto" w:frame="1"/>
              </w:rPr>
              <w:t xml:space="preserve"> Megan </w:t>
            </w:r>
            <w:r w:rsidR="009F5A4E">
              <w:rPr>
                <w:rFonts w:ascii="Cambria" w:eastAsia="Calibri" w:hAnsi="Cambria" w:cs="Times New Roman"/>
                <w:i/>
                <w:bdr w:val="none" w:sz="0" w:space="0" w:color="auto" w:frame="1"/>
              </w:rPr>
              <w:t>Roy-</w:t>
            </w:r>
            <w:r w:rsidRPr="00B977BA">
              <w:rPr>
                <w:rFonts w:ascii="Cambria" w:eastAsia="Calibri" w:hAnsi="Cambria" w:cs="Times New Roman"/>
                <w:i/>
                <w:bdr w:val="none" w:sz="0" w:space="0" w:color="auto" w:frame="1"/>
              </w:rPr>
              <w:t>Puckelwartz</w:t>
            </w:r>
          </w:p>
          <w:p w14:paraId="21A9F10D" w14:textId="77334F07" w:rsidR="00B977BA" w:rsidRDefault="00DB040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The WG will </w:t>
            </w:r>
            <w:r w:rsidRPr="00DB0400">
              <w:rPr>
                <w:rFonts w:ascii="Cambria" w:eastAsia="Calibri" w:hAnsi="Cambria" w:cs="Times New Roman"/>
                <w:bdr w:val="none" w:sz="0" w:space="0" w:color="auto" w:frame="1"/>
              </w:rPr>
              <w:t>identify best practices and facilitate analyses to assess the phenotypic impact of common and rare variant data arising from eMERGE II and III.</w:t>
            </w:r>
          </w:p>
          <w:p w14:paraId="7EF20DD0" w14:textId="128113B7" w:rsidR="00663380" w:rsidRDefault="0066338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The group will focus on additional validation/replication/analysis of Phase</w:t>
            </w:r>
            <w:r w:rsidR="0095288F">
              <w:rPr>
                <w:rFonts w:ascii="Cambria" w:eastAsia="Calibri" w:hAnsi="Cambria" w:cs="Times New Roman"/>
                <w:bdr w:val="none" w:sz="0" w:space="0" w:color="auto" w:frame="1"/>
              </w:rPr>
              <w:t xml:space="preserve"> I &amp; II GWAS datasets. They will also coordinate</w:t>
            </w:r>
            <w:r>
              <w:rPr>
                <w:rFonts w:ascii="Cambria" w:eastAsia="Calibri" w:hAnsi="Cambria" w:cs="Times New Roman"/>
                <w:bdr w:val="none" w:sz="0" w:space="0" w:color="auto" w:frame="1"/>
              </w:rPr>
              <w:t xml:space="preserve"> the integration of GWAS from the new sites in Phase III (this process will likely take 6-9 months).</w:t>
            </w:r>
          </w:p>
          <w:p w14:paraId="23995A8B" w14:textId="330563DC" w:rsidR="00663380" w:rsidRDefault="0066338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Co-chairs discussed their intent to i</w:t>
            </w:r>
            <w:r w:rsidRPr="00663380">
              <w:rPr>
                <w:rFonts w:ascii="Cambria" w:eastAsia="Calibri" w:hAnsi="Cambria" w:cs="Times New Roman"/>
                <w:bdr w:val="none" w:sz="0" w:space="0" w:color="auto" w:frame="1"/>
              </w:rPr>
              <w:t>nteract with the CC and SC to identify and test possible QC and analysis pipelines for rare variant association testing</w:t>
            </w:r>
            <w:r>
              <w:rPr>
                <w:rFonts w:ascii="Cambria" w:eastAsia="Calibri" w:hAnsi="Cambria" w:cs="Times New Roman"/>
                <w:bdr w:val="none" w:sz="0" w:space="0" w:color="auto" w:frame="1"/>
              </w:rPr>
              <w:t>.</w:t>
            </w:r>
          </w:p>
          <w:p w14:paraId="70D4B55A" w14:textId="0DB43AC4" w:rsidR="00663380" w:rsidRDefault="0066338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Collaboration will take place with the Phenotyping WG to:</w:t>
            </w:r>
          </w:p>
          <w:p w14:paraId="61D0FA4B" w14:textId="55191A86" w:rsidR="00663380" w:rsidRDefault="0066338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663380">
              <w:rPr>
                <w:rFonts w:ascii="Cambria" w:eastAsia="Calibri" w:hAnsi="Cambria" w:cs="Times New Roman"/>
                <w:bdr w:val="none" w:sz="0" w:space="0" w:color="auto" w:frame="1"/>
              </w:rPr>
              <w:t>Identify/co</w:t>
            </w:r>
            <w:r>
              <w:rPr>
                <w:rFonts w:ascii="Cambria" w:eastAsia="Calibri" w:hAnsi="Cambria" w:cs="Times New Roman"/>
                <w:bdr w:val="none" w:sz="0" w:space="0" w:color="auto" w:frame="1"/>
              </w:rPr>
              <w:t>mpile existing phenotype data.</w:t>
            </w:r>
          </w:p>
          <w:p w14:paraId="0D21CE44" w14:textId="3F1B5EA5" w:rsidR="00663380" w:rsidRDefault="0066338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663380">
              <w:rPr>
                <w:rFonts w:ascii="Cambria" w:eastAsia="Calibri" w:hAnsi="Cambria" w:cs="Times New Roman"/>
                <w:bdr w:val="none" w:sz="0" w:space="0" w:color="auto" w:frame="1"/>
              </w:rPr>
              <w:t>Systematically evalua</w:t>
            </w:r>
            <w:r>
              <w:rPr>
                <w:rFonts w:ascii="Cambria" w:eastAsia="Calibri" w:hAnsi="Cambria" w:cs="Times New Roman"/>
                <w:bdr w:val="none" w:sz="0" w:space="0" w:color="auto" w:frame="1"/>
              </w:rPr>
              <w:t>te where data can be enhanced.</w:t>
            </w:r>
          </w:p>
          <w:p w14:paraId="2965D181" w14:textId="180AC339" w:rsidR="00663380" w:rsidRPr="00866CA2" w:rsidRDefault="0066338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663380">
              <w:rPr>
                <w:rFonts w:ascii="Cambria" w:eastAsia="Calibri" w:hAnsi="Cambria" w:cs="Times New Roman"/>
                <w:bdr w:val="none" w:sz="0" w:space="0" w:color="auto" w:frame="1"/>
              </w:rPr>
              <w:t xml:space="preserve">Prioritize data </w:t>
            </w:r>
            <w:r w:rsidRPr="00866CA2">
              <w:rPr>
                <w:rFonts w:ascii="Cambria" w:eastAsia="Calibri" w:hAnsi="Cambria" w:cs="Times New Roman"/>
                <w:bdr w:val="none" w:sz="0" w:space="0" w:color="auto" w:frame="1"/>
              </w:rPr>
              <w:t>points that would be most powerful for both eMERGE II and eMERGE III data.</w:t>
            </w:r>
          </w:p>
          <w:p w14:paraId="563F3037" w14:textId="6FF02F08" w:rsidR="00663380" w:rsidRPr="00866CA2" w:rsidRDefault="0066338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866CA2">
              <w:rPr>
                <w:rFonts w:ascii="Cambria" w:eastAsia="Calibri" w:hAnsi="Cambria" w:cs="Times New Roman"/>
                <w:bdr w:val="none" w:sz="0" w:space="0" w:color="auto" w:frame="1"/>
              </w:rPr>
              <w:t>Implement processes to procure highest priority data and hasten experimental progress.</w:t>
            </w:r>
          </w:p>
          <w:p w14:paraId="6C493120" w14:textId="4EEE9621" w:rsidR="00663380" w:rsidRPr="00866CA2" w:rsidRDefault="00663380" w:rsidP="00866CA2">
            <w:pPr>
              <w:pStyle w:val="ListParagraph"/>
              <w:numPr>
                <w:ilvl w:val="1"/>
                <w:numId w:val="18"/>
              </w:numPr>
              <w:shd w:val="clear" w:color="auto" w:fill="FFFFFF"/>
              <w:spacing w:before="120" w:after="120"/>
              <w:textAlignment w:val="baseline"/>
              <w:rPr>
                <w:rFonts w:ascii="Cambria" w:eastAsia="Calibri" w:hAnsi="Cambria" w:cs="Times New Roman"/>
                <w:bdr w:val="none" w:sz="0" w:space="0" w:color="auto" w:frame="1"/>
              </w:rPr>
            </w:pPr>
            <w:r w:rsidRPr="00866CA2">
              <w:rPr>
                <w:rFonts w:ascii="Cambria" w:eastAsia="Calibri" w:hAnsi="Cambria" w:cs="Times New Roman"/>
                <w:bdr w:val="none" w:sz="0" w:space="0" w:color="auto" w:frame="1"/>
              </w:rPr>
              <w:t>These initiatives will be prioritized over the next few months.</w:t>
            </w:r>
          </w:p>
          <w:p w14:paraId="7DCDCD37" w14:textId="21453316" w:rsidR="00866CA2" w:rsidRPr="00BE57FB" w:rsidRDefault="00A475B4" w:rsidP="00BE57FB">
            <w:pPr>
              <w:pStyle w:val="ListParagraph"/>
              <w:numPr>
                <w:ilvl w:val="0"/>
                <w:numId w:val="18"/>
              </w:numPr>
              <w:rPr>
                <w:rFonts w:ascii="Cambria" w:hAnsi="Cambria"/>
              </w:rPr>
            </w:pPr>
            <w:r>
              <w:rPr>
                <w:rFonts w:ascii="Cambria" w:hAnsi="Cambria"/>
              </w:rPr>
              <w:t xml:space="preserve">The SC discussed the request to implement all 41 eMERGE phenotypes across all pre-e3 data.  </w:t>
            </w:r>
            <w:r w:rsidR="00866CA2" w:rsidRPr="00866CA2">
              <w:rPr>
                <w:rFonts w:ascii="Cambria" w:hAnsi="Cambria"/>
              </w:rPr>
              <w:t xml:space="preserve">NHGRI has </w:t>
            </w:r>
            <w:r>
              <w:rPr>
                <w:rFonts w:ascii="Cambria" w:hAnsi="Cambria"/>
              </w:rPr>
              <w:t>provided</w:t>
            </w:r>
            <w:r w:rsidR="00866CA2" w:rsidRPr="00866CA2">
              <w:rPr>
                <w:rFonts w:ascii="Cambria" w:hAnsi="Cambria"/>
              </w:rPr>
              <w:t xml:space="preserve"> sites </w:t>
            </w:r>
            <w:r>
              <w:rPr>
                <w:rFonts w:ascii="Cambria" w:hAnsi="Cambria"/>
              </w:rPr>
              <w:t xml:space="preserve">with </w:t>
            </w:r>
            <w:r w:rsidR="00866CA2" w:rsidRPr="00866CA2">
              <w:rPr>
                <w:rFonts w:ascii="Cambria" w:hAnsi="Cambria"/>
              </w:rPr>
              <w:t xml:space="preserve">a priority list for running Phase II phenotypes –Rongling commented that the sites committed to completing their lists within 6 months- 1 year. </w:t>
            </w:r>
            <w:r w:rsidR="00866CA2">
              <w:rPr>
                <w:rFonts w:ascii="Cambria" w:hAnsi="Cambria"/>
              </w:rPr>
              <w:t xml:space="preserve">There was hesitation about the feasibility of </w:t>
            </w:r>
            <w:r w:rsidR="00866CA2" w:rsidRPr="00866CA2">
              <w:rPr>
                <w:rFonts w:ascii="Cambria" w:hAnsi="Cambria"/>
              </w:rPr>
              <w:t>running all 4</w:t>
            </w:r>
            <w:r>
              <w:rPr>
                <w:rFonts w:ascii="Cambria" w:hAnsi="Cambria"/>
              </w:rPr>
              <w:t>1</w:t>
            </w:r>
            <w:r w:rsidR="00866CA2" w:rsidRPr="00866CA2">
              <w:rPr>
                <w:rFonts w:ascii="Cambria" w:hAnsi="Cambria"/>
              </w:rPr>
              <w:t xml:space="preserve"> phenotypes in th</w:t>
            </w:r>
            <w:r w:rsidR="00866CA2">
              <w:rPr>
                <w:rFonts w:ascii="Cambria" w:hAnsi="Cambria"/>
              </w:rPr>
              <w:t xml:space="preserve">at time frame. Harvard </w:t>
            </w:r>
            <w:r w:rsidR="00866CA2" w:rsidRPr="00866CA2">
              <w:rPr>
                <w:rFonts w:ascii="Cambria" w:hAnsi="Cambria"/>
              </w:rPr>
              <w:t xml:space="preserve">suggested case counts for a few ICD9 codes per phenotype first to determine which phenotypes can be run. </w:t>
            </w:r>
          </w:p>
          <w:p w14:paraId="1101E05C" w14:textId="214DB55B" w:rsidR="00B977BA" w:rsidRDefault="00B977BA" w:rsidP="009F5A4E">
            <w:pPr>
              <w:shd w:val="clear" w:color="auto" w:fill="FFFFFF"/>
              <w:spacing w:before="240" w:after="120"/>
              <w:textAlignment w:val="baseline"/>
              <w:rPr>
                <w:rFonts w:ascii="Cambria" w:eastAsia="Calibri" w:hAnsi="Cambria" w:cs="Times New Roman"/>
                <w:bdr w:val="none" w:sz="0" w:space="0" w:color="auto" w:frame="1"/>
              </w:rPr>
            </w:pPr>
            <w:r w:rsidRPr="00B977BA">
              <w:rPr>
                <w:rFonts w:ascii="Cambria" w:eastAsia="Calibri" w:hAnsi="Cambria" w:cs="Times New Roman"/>
                <w:u w:val="single"/>
                <w:bdr w:val="none" w:sz="0" w:space="0" w:color="auto" w:frame="1"/>
              </w:rPr>
              <w:t>Harvard Site Report</w:t>
            </w:r>
            <w:r>
              <w:rPr>
                <w:rFonts w:ascii="Cambria" w:eastAsia="Calibri" w:hAnsi="Cambria" w:cs="Times New Roman"/>
                <w:bdr w:val="none" w:sz="0" w:space="0" w:color="auto" w:frame="1"/>
              </w:rPr>
              <w:t xml:space="preserve"> – </w:t>
            </w:r>
            <w:r w:rsidRPr="00B977BA">
              <w:rPr>
                <w:rFonts w:ascii="Cambria" w:eastAsia="Calibri" w:hAnsi="Cambria" w:cs="Times New Roman"/>
                <w:i/>
                <w:bdr w:val="none" w:sz="0" w:space="0" w:color="auto" w:frame="1"/>
              </w:rPr>
              <w:t>Scott Weiss</w:t>
            </w:r>
          </w:p>
          <w:p w14:paraId="3D332ADE" w14:textId="0B53C29E" w:rsidR="00B977BA" w:rsidRDefault="00BE57FB"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Harvard’s biobank is comprised of 50,000 patients (with a goal of 75,000 by 2018), and they also have access to 4 million patients through the Partners Health Biobank Portal.</w:t>
            </w:r>
          </w:p>
          <w:p w14:paraId="28E29AD3" w14:textId="76C5A243" w:rsidR="00922D6F" w:rsidRDefault="00922D6F"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Harvard is </w:t>
            </w:r>
            <w:r w:rsidR="00A475B4">
              <w:rPr>
                <w:rFonts w:ascii="Cambria" w:eastAsia="Calibri" w:hAnsi="Cambria" w:cs="Times New Roman"/>
                <w:bdr w:val="none" w:sz="0" w:space="0" w:color="auto" w:frame="1"/>
              </w:rPr>
              <w:t>submitting</w:t>
            </w:r>
            <w:r>
              <w:rPr>
                <w:rFonts w:ascii="Cambria" w:eastAsia="Calibri" w:hAnsi="Cambria" w:cs="Times New Roman"/>
                <w:bdr w:val="none" w:sz="0" w:space="0" w:color="auto" w:frame="1"/>
              </w:rPr>
              <w:t xml:space="preserve"> 25,000 subjects linked to all phenotypes that can be run. 5,000 subjects have been genotyped and deposited to </w:t>
            </w:r>
            <w:proofErr w:type="spellStart"/>
            <w:r>
              <w:rPr>
                <w:rFonts w:ascii="Cambria" w:eastAsia="Calibri" w:hAnsi="Cambria" w:cs="Times New Roman"/>
                <w:bdr w:val="none" w:sz="0" w:space="0" w:color="auto" w:frame="1"/>
              </w:rPr>
              <w:t>dbGaP</w:t>
            </w:r>
            <w:proofErr w:type="spellEnd"/>
            <w:r>
              <w:rPr>
                <w:rFonts w:ascii="Cambria" w:eastAsia="Calibri" w:hAnsi="Cambria" w:cs="Times New Roman"/>
                <w:bdr w:val="none" w:sz="0" w:space="0" w:color="auto" w:frame="1"/>
              </w:rPr>
              <w:t xml:space="preserve">, and have also been sent to UW for imputation. Children are not consented in Harvard’s biobank, so they are not part of </w:t>
            </w:r>
            <w:proofErr w:type="gramStart"/>
            <w:r>
              <w:rPr>
                <w:rFonts w:ascii="Cambria" w:eastAsia="Calibri" w:hAnsi="Cambria" w:cs="Times New Roman"/>
                <w:bdr w:val="none" w:sz="0" w:space="0" w:color="auto" w:frame="1"/>
              </w:rPr>
              <w:t>the eMERGE</w:t>
            </w:r>
            <w:proofErr w:type="gramEnd"/>
            <w:r>
              <w:rPr>
                <w:rFonts w:ascii="Cambria" w:eastAsia="Calibri" w:hAnsi="Cambria" w:cs="Times New Roman"/>
                <w:bdr w:val="none" w:sz="0" w:space="0" w:color="auto" w:frame="1"/>
              </w:rPr>
              <w:t xml:space="preserve"> study set.</w:t>
            </w:r>
          </w:p>
          <w:p w14:paraId="62CEF239" w14:textId="16EEEB4A" w:rsidR="00BE57FB" w:rsidRDefault="00BE57FB"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 xml:space="preserve">An overview and workflow of </w:t>
            </w:r>
            <w:proofErr w:type="spellStart"/>
            <w:r>
              <w:rPr>
                <w:rFonts w:ascii="Cambria" w:eastAsia="Calibri" w:hAnsi="Cambria" w:cs="Times New Roman"/>
                <w:bdr w:val="none" w:sz="0" w:space="0" w:color="auto" w:frame="1"/>
              </w:rPr>
              <w:t>GeneInsight</w:t>
            </w:r>
            <w:proofErr w:type="spellEnd"/>
            <w:r>
              <w:rPr>
                <w:rFonts w:ascii="Cambria" w:eastAsia="Calibri" w:hAnsi="Cambria" w:cs="Times New Roman"/>
                <w:bdr w:val="none" w:sz="0" w:space="0" w:color="auto" w:frame="1"/>
              </w:rPr>
              <w:t xml:space="preserve"> was provided. </w:t>
            </w:r>
            <w:proofErr w:type="spellStart"/>
            <w:r>
              <w:rPr>
                <w:rFonts w:ascii="Cambria" w:eastAsia="Calibri" w:hAnsi="Cambria" w:cs="Times New Roman"/>
                <w:bdr w:val="none" w:sz="0" w:space="0" w:color="auto" w:frame="1"/>
              </w:rPr>
              <w:t>GeneInsight</w:t>
            </w:r>
            <w:proofErr w:type="spellEnd"/>
            <w:r>
              <w:rPr>
                <w:rFonts w:ascii="Cambria" w:eastAsia="Calibri" w:hAnsi="Cambria" w:cs="Times New Roman"/>
                <w:bdr w:val="none" w:sz="0" w:space="0" w:color="auto" w:frame="1"/>
              </w:rPr>
              <w:t xml:space="preserve"> i</w:t>
            </w:r>
            <w:r w:rsidR="00A475B4">
              <w:rPr>
                <w:rFonts w:ascii="Cambria" w:eastAsia="Calibri" w:hAnsi="Cambria" w:cs="Times New Roman"/>
                <w:bdr w:val="none" w:sz="0" w:space="0" w:color="auto" w:frame="1"/>
              </w:rPr>
              <w:t>s</w:t>
            </w:r>
            <w:r>
              <w:rPr>
                <w:rFonts w:ascii="Cambria" w:eastAsia="Calibri" w:hAnsi="Cambria" w:cs="Times New Roman"/>
                <w:bdr w:val="none" w:sz="0" w:space="0" w:color="auto" w:frame="1"/>
              </w:rPr>
              <w:t xml:space="preserve"> an IT platform developed at Partners that helps streamline EHR data.</w:t>
            </w:r>
          </w:p>
          <w:p w14:paraId="77AC4049" w14:textId="56852D0C" w:rsidR="00B977BA" w:rsidRDefault="00B977BA" w:rsidP="009F5A4E">
            <w:pPr>
              <w:shd w:val="clear" w:color="auto" w:fill="FFFFFF"/>
              <w:spacing w:before="240" w:after="120"/>
              <w:textAlignment w:val="baseline"/>
              <w:rPr>
                <w:rFonts w:ascii="Cambria" w:eastAsia="Calibri" w:hAnsi="Cambria" w:cs="Times New Roman"/>
                <w:bdr w:val="none" w:sz="0" w:space="0" w:color="auto" w:frame="1"/>
              </w:rPr>
            </w:pPr>
            <w:r w:rsidRPr="00B977BA">
              <w:rPr>
                <w:rFonts w:ascii="Cambria" w:eastAsia="Calibri" w:hAnsi="Cambria" w:cs="Times New Roman"/>
                <w:u w:val="single"/>
                <w:bdr w:val="none" w:sz="0" w:space="0" w:color="auto" w:frame="1"/>
              </w:rPr>
              <w:t>Phenotyping Workgroup Report</w:t>
            </w:r>
            <w:r>
              <w:rPr>
                <w:rFonts w:ascii="Cambria" w:eastAsia="Calibri" w:hAnsi="Cambria" w:cs="Times New Roman"/>
                <w:bdr w:val="none" w:sz="0" w:space="0" w:color="auto" w:frame="1"/>
              </w:rPr>
              <w:t xml:space="preserve"> – </w:t>
            </w:r>
            <w:r w:rsidRPr="00B977BA">
              <w:rPr>
                <w:rFonts w:ascii="Cambria" w:eastAsia="Calibri" w:hAnsi="Cambria" w:cs="Times New Roman"/>
                <w:i/>
                <w:bdr w:val="none" w:sz="0" w:space="0" w:color="auto" w:frame="1"/>
              </w:rPr>
              <w:t>Josh Denny &amp; George Hripcsak</w:t>
            </w:r>
          </w:p>
          <w:p w14:paraId="4E1DFC0D" w14:textId="36754521" w:rsidR="00B977BA" w:rsidRDefault="00882A9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The phenotyping workgroup will carry out core functions on phenotyping in eMERGE III, and will develop next-generation phenotyping methods.</w:t>
            </w:r>
          </w:p>
          <w:p w14:paraId="4BE9CA52" w14:textId="5D8C51F9" w:rsidR="00882A90" w:rsidRDefault="00882A90" w:rsidP="00866CA2">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For phase III, the WG will expand beyond clean case/controls, and will also include ‘gray’ cases in the middle.</w:t>
            </w:r>
          </w:p>
          <w:p w14:paraId="5111CD51" w14:textId="4AA7BEEE" w:rsidR="00B25B6C" w:rsidRPr="005027E4" w:rsidRDefault="005027E4" w:rsidP="005027E4">
            <w:pPr>
              <w:pStyle w:val="ListParagraph"/>
              <w:numPr>
                <w:ilvl w:val="0"/>
                <w:numId w:val="18"/>
              </w:numPr>
              <w:shd w:val="clear" w:color="auto" w:fill="FFFFFF"/>
              <w:spacing w:before="120" w:after="120"/>
              <w:textAlignment w:val="baseline"/>
              <w:rPr>
                <w:rFonts w:ascii="Cambria" w:eastAsia="Calibri" w:hAnsi="Cambria" w:cs="Times New Roman"/>
                <w:bdr w:val="none" w:sz="0" w:space="0" w:color="auto" w:frame="1"/>
              </w:rPr>
            </w:pPr>
            <w:r>
              <w:rPr>
                <w:rFonts w:ascii="Cambria" w:eastAsia="Calibri" w:hAnsi="Cambria" w:cs="Times New Roman"/>
                <w:bdr w:val="none" w:sz="0" w:space="0" w:color="auto" w:frame="1"/>
              </w:rPr>
              <w:t>The WG will work to identify what factors will help get Phase II phenotypes to GWAS status.</w:t>
            </w:r>
          </w:p>
        </w:tc>
      </w:tr>
      <w:tr w:rsidR="00B25B6C" w:rsidRPr="00B25B6C" w14:paraId="4DE59A2C" w14:textId="77777777" w:rsidTr="008A205B">
        <w:trPr>
          <w:trHeight w:val="642"/>
        </w:trPr>
        <w:tc>
          <w:tcPr>
            <w:tcW w:w="11179" w:type="dxa"/>
            <w:tcBorders>
              <w:top w:val="single" w:sz="8" w:space="0" w:color="auto"/>
              <w:left w:val="single" w:sz="8" w:space="0" w:color="auto"/>
              <w:bottom w:val="single" w:sz="8" w:space="0" w:color="auto"/>
              <w:right w:val="single" w:sz="8" w:space="0" w:color="auto"/>
            </w:tcBorders>
            <w:tcMar>
              <w:top w:w="58" w:type="dxa"/>
              <w:left w:w="86" w:type="dxa"/>
              <w:bottom w:w="58" w:type="dxa"/>
              <w:right w:w="86" w:type="dxa"/>
            </w:tcMar>
            <w:vAlign w:val="center"/>
          </w:tcPr>
          <w:p w14:paraId="684AF205" w14:textId="77777777" w:rsidR="00B25B6C" w:rsidRPr="00B25B6C" w:rsidRDefault="00B25B6C" w:rsidP="00B25B6C">
            <w:pPr>
              <w:spacing w:before="120" w:after="120" w:line="240" w:lineRule="auto"/>
              <w:rPr>
                <w:rFonts w:ascii="Cambria" w:eastAsia="Calibri" w:hAnsi="Cambria" w:cs="Times New Roman"/>
                <w:b/>
                <w:bCs/>
              </w:rPr>
            </w:pPr>
            <w:r w:rsidRPr="00B25B6C">
              <w:rPr>
                <w:rFonts w:ascii="Cambria" w:eastAsia="Calibri" w:hAnsi="Cambria" w:cs="Times New Roman"/>
                <w:b/>
                <w:bCs/>
              </w:rPr>
              <w:t>Summary of Action Items:</w:t>
            </w:r>
          </w:p>
          <w:p w14:paraId="6035FA71" w14:textId="0B91A92A" w:rsidR="00F66224" w:rsidRPr="00F66224" w:rsidRDefault="00F66224" w:rsidP="00F66224">
            <w:pPr>
              <w:numPr>
                <w:ilvl w:val="0"/>
                <w:numId w:val="4"/>
              </w:numPr>
              <w:spacing w:after="0" w:line="240" w:lineRule="auto"/>
              <w:rPr>
                <w:rFonts w:ascii="Cambria" w:eastAsia="Times New Roman" w:hAnsi="Cambria"/>
              </w:rPr>
            </w:pPr>
            <w:r>
              <w:rPr>
                <w:rFonts w:ascii="Cambria" w:eastAsia="Times New Roman" w:hAnsi="Cambria"/>
              </w:rPr>
              <w:t xml:space="preserve">The </w:t>
            </w:r>
            <w:r w:rsidRPr="00F66224">
              <w:rPr>
                <w:rFonts w:ascii="Cambria" w:eastAsia="Times New Roman" w:hAnsi="Cambria"/>
              </w:rPr>
              <w:t>CSGs will pre-curate common actionable variants.</w:t>
            </w:r>
          </w:p>
          <w:p w14:paraId="11D5ADA0" w14:textId="6E136F45" w:rsidR="00F66224" w:rsidRPr="00F66224" w:rsidRDefault="00F66224" w:rsidP="00F66224">
            <w:pPr>
              <w:numPr>
                <w:ilvl w:val="0"/>
                <w:numId w:val="4"/>
              </w:numPr>
              <w:spacing w:after="0" w:line="240" w:lineRule="auto"/>
              <w:rPr>
                <w:rFonts w:ascii="Cambria" w:eastAsia="Times New Roman" w:hAnsi="Cambria"/>
              </w:rPr>
            </w:pPr>
            <w:r w:rsidRPr="00F66224">
              <w:rPr>
                <w:rFonts w:ascii="Cambria" w:eastAsia="Times New Roman" w:hAnsi="Cambria"/>
              </w:rPr>
              <w:t>The CSGs will harmonize clinical variant classification between themselves.</w:t>
            </w:r>
          </w:p>
          <w:p w14:paraId="18FDD00B" w14:textId="7AA0A10D" w:rsidR="00F66224" w:rsidRPr="00F66224" w:rsidRDefault="00F66224" w:rsidP="009F5A4E">
            <w:pPr>
              <w:numPr>
                <w:ilvl w:val="0"/>
                <w:numId w:val="4"/>
              </w:numPr>
              <w:spacing w:after="0" w:line="240" w:lineRule="auto"/>
              <w:rPr>
                <w:rFonts w:ascii="Cambria" w:eastAsia="Times New Roman" w:hAnsi="Cambria"/>
              </w:rPr>
            </w:pPr>
            <w:r w:rsidRPr="00F66224">
              <w:rPr>
                <w:rFonts w:ascii="Cambria" w:eastAsia="Times New Roman" w:hAnsi="Cambria"/>
              </w:rPr>
              <w:t>The CSGs will compare report formats.</w:t>
            </w:r>
          </w:p>
          <w:p w14:paraId="44D8A898" w14:textId="3D8DCDF4" w:rsidR="00F66224" w:rsidRPr="00F66224" w:rsidRDefault="00F66224" w:rsidP="009F5A4E">
            <w:pPr>
              <w:numPr>
                <w:ilvl w:val="0"/>
                <w:numId w:val="4"/>
              </w:numPr>
              <w:spacing w:after="0" w:line="240" w:lineRule="auto"/>
              <w:rPr>
                <w:rFonts w:ascii="Cambria" w:eastAsia="Times New Roman" w:hAnsi="Cambria"/>
              </w:rPr>
            </w:pPr>
            <w:r w:rsidRPr="009F5A4E">
              <w:rPr>
                <w:rFonts w:ascii="Cambria" w:eastAsia="Calibri" w:hAnsi="Cambria" w:cs="Times New Roman"/>
              </w:rPr>
              <w:t>The CC will create a matrix of phenotype by participant and association results by phenotype for internetwork collaboration.</w:t>
            </w:r>
          </w:p>
          <w:p w14:paraId="407F0D02" w14:textId="77777777" w:rsidR="00882A90" w:rsidRPr="00F66224" w:rsidRDefault="00882A90" w:rsidP="00882A90">
            <w:pPr>
              <w:numPr>
                <w:ilvl w:val="0"/>
                <w:numId w:val="4"/>
              </w:numPr>
              <w:spacing w:after="0" w:line="240" w:lineRule="auto"/>
              <w:rPr>
                <w:rFonts w:ascii="Cambria" w:eastAsia="Times New Roman" w:hAnsi="Cambria"/>
              </w:rPr>
            </w:pPr>
            <w:r w:rsidRPr="00F66224">
              <w:rPr>
                <w:rFonts w:ascii="Cambria" w:eastAsia="Times New Roman" w:hAnsi="Cambria"/>
              </w:rPr>
              <w:t>The CSG/CC Group will discuss creating a matrix of the final gene/SNP list.</w:t>
            </w:r>
          </w:p>
          <w:p w14:paraId="6522D1DA" w14:textId="49E740A4" w:rsidR="00882A90" w:rsidRPr="00F66224" w:rsidRDefault="00882A90" w:rsidP="00882A90">
            <w:pPr>
              <w:numPr>
                <w:ilvl w:val="0"/>
                <w:numId w:val="4"/>
              </w:numPr>
              <w:spacing w:after="0" w:line="240" w:lineRule="auto"/>
              <w:rPr>
                <w:rFonts w:ascii="Cambria" w:eastAsia="Times New Roman" w:hAnsi="Cambria"/>
              </w:rPr>
            </w:pPr>
            <w:r w:rsidRPr="00F66224">
              <w:rPr>
                <w:rFonts w:ascii="Cambria" w:eastAsia="Times New Roman" w:hAnsi="Cambria"/>
              </w:rPr>
              <w:t xml:space="preserve">The CC will facilitate Network efforts to annotate the gene/SNP list to include information about phenotypes of each and sample ascertainment. </w:t>
            </w:r>
          </w:p>
          <w:p w14:paraId="03D98705" w14:textId="77777777" w:rsidR="00882A90" w:rsidRPr="00F66224" w:rsidRDefault="00882A90" w:rsidP="00882A90">
            <w:pPr>
              <w:numPr>
                <w:ilvl w:val="0"/>
                <w:numId w:val="4"/>
              </w:numPr>
              <w:spacing w:after="0" w:line="240" w:lineRule="auto"/>
              <w:rPr>
                <w:rFonts w:ascii="Cambria" w:eastAsia="Times New Roman" w:hAnsi="Cambria"/>
              </w:rPr>
            </w:pPr>
            <w:r w:rsidRPr="00F66224">
              <w:rPr>
                <w:rFonts w:ascii="Cambria" w:eastAsia="Times New Roman" w:hAnsi="Cambria"/>
              </w:rPr>
              <w:t xml:space="preserve">The CC will work with the Network to catalog planned eMERGE 3 genomic submission data and provide directions for submission.  </w:t>
            </w:r>
          </w:p>
          <w:p w14:paraId="4B1D70BB" w14:textId="0ED1F130" w:rsidR="00882A90" w:rsidRPr="005027E4" w:rsidRDefault="00882A90" w:rsidP="00F5516A">
            <w:pPr>
              <w:numPr>
                <w:ilvl w:val="0"/>
                <w:numId w:val="4"/>
              </w:numPr>
              <w:spacing w:after="0" w:line="240" w:lineRule="auto"/>
              <w:rPr>
                <w:rFonts w:ascii="Cambria" w:eastAsia="Times New Roman" w:hAnsi="Cambria"/>
              </w:rPr>
            </w:pPr>
            <w:r w:rsidRPr="00F66224">
              <w:rPr>
                <w:rFonts w:ascii="Cambria" w:eastAsia="Times New Roman" w:hAnsi="Cambria"/>
              </w:rPr>
              <w:t>The CC will work with the Network to expand the existing combined data set with case/control status. Details on how this data can be made available</w:t>
            </w:r>
            <w:r w:rsidRPr="005027E4">
              <w:rPr>
                <w:rFonts w:ascii="Cambria" w:eastAsia="Times New Roman" w:hAnsi="Cambria"/>
              </w:rPr>
              <w:t xml:space="preserve"> to the Network to be discussed on the October PI call.</w:t>
            </w:r>
          </w:p>
          <w:p w14:paraId="437A8C53" w14:textId="20022F01" w:rsidR="00882A90" w:rsidRPr="005027E4" w:rsidRDefault="005027E4">
            <w:pPr>
              <w:numPr>
                <w:ilvl w:val="0"/>
                <w:numId w:val="4"/>
              </w:numPr>
              <w:spacing w:after="0" w:line="240" w:lineRule="auto"/>
              <w:rPr>
                <w:rFonts w:ascii="Cambria" w:eastAsia="Times New Roman" w:hAnsi="Cambria"/>
              </w:rPr>
            </w:pPr>
            <w:r>
              <w:rPr>
                <w:rFonts w:ascii="Cambria" w:eastAsia="Times New Roman" w:hAnsi="Cambria"/>
              </w:rPr>
              <w:t>The CC will p</w:t>
            </w:r>
            <w:r w:rsidR="00882A90" w:rsidRPr="005027E4">
              <w:rPr>
                <w:rFonts w:ascii="Cambria" w:eastAsia="Times New Roman" w:hAnsi="Cambria"/>
              </w:rPr>
              <w:t>rovide targeted information to the Network to explain what phenotypic data is currently available and the existing workflow to access this data based on the Publications Policy.</w:t>
            </w:r>
          </w:p>
          <w:p w14:paraId="4F66368D" w14:textId="66C52E9A" w:rsidR="00882A90" w:rsidRPr="005027E4" w:rsidRDefault="00882A90">
            <w:pPr>
              <w:numPr>
                <w:ilvl w:val="0"/>
                <w:numId w:val="4"/>
              </w:numPr>
              <w:spacing w:after="0" w:line="240" w:lineRule="auto"/>
              <w:rPr>
                <w:rFonts w:ascii="Cambria" w:eastAsia="Times New Roman" w:hAnsi="Cambria"/>
              </w:rPr>
            </w:pPr>
            <w:r w:rsidRPr="005027E4">
              <w:rPr>
                <w:rFonts w:ascii="Cambria" w:eastAsia="Times New Roman" w:hAnsi="Cambria"/>
              </w:rPr>
              <w:t>The CC will work with co-chairs to begin scheduling monthly workgroup calls.</w:t>
            </w:r>
          </w:p>
          <w:p w14:paraId="39AD7170" w14:textId="650FE674" w:rsidR="006D0A4C" w:rsidRPr="004229F4" w:rsidRDefault="00882A90" w:rsidP="009F5A4E">
            <w:pPr>
              <w:numPr>
                <w:ilvl w:val="0"/>
                <w:numId w:val="4"/>
              </w:numPr>
              <w:spacing w:after="120" w:line="240" w:lineRule="auto"/>
              <w:rPr>
                <w:rFonts w:ascii="Cambria" w:eastAsia="Calibri" w:hAnsi="Cambria" w:cs="Times New Roman"/>
              </w:rPr>
            </w:pPr>
            <w:r w:rsidRPr="005027E4">
              <w:rPr>
                <w:rFonts w:ascii="Cambria" w:eastAsia="Times New Roman" w:hAnsi="Cambria"/>
              </w:rPr>
              <w:t>The eMERGE ROR/ELSI Workgroup will be invited to CSER ROR monthly calls</w:t>
            </w:r>
            <w:r w:rsidR="005027E4">
              <w:rPr>
                <w:rFonts w:ascii="Cambria" w:eastAsia="Times New Roman" w:hAnsi="Cambria"/>
              </w:rPr>
              <w:t>.</w:t>
            </w:r>
          </w:p>
        </w:tc>
      </w:tr>
      <w:tr w:rsidR="00B25B6C" w:rsidRPr="00B25B6C" w14:paraId="66172607" w14:textId="77777777" w:rsidTr="008A205B">
        <w:trPr>
          <w:trHeight w:val="291"/>
        </w:trPr>
        <w:tc>
          <w:tcPr>
            <w:tcW w:w="11179" w:type="dxa"/>
            <w:tcBorders>
              <w:top w:val="single" w:sz="8" w:space="0" w:color="auto"/>
              <w:left w:val="single" w:sz="8" w:space="0" w:color="auto"/>
              <w:bottom w:val="double" w:sz="4" w:space="0" w:color="auto"/>
              <w:right w:val="single" w:sz="8" w:space="0" w:color="auto"/>
            </w:tcBorders>
            <w:tcMar>
              <w:top w:w="58" w:type="dxa"/>
              <w:left w:w="86" w:type="dxa"/>
              <w:bottom w:w="58" w:type="dxa"/>
              <w:right w:w="86" w:type="dxa"/>
            </w:tcMar>
            <w:vAlign w:val="center"/>
          </w:tcPr>
          <w:p w14:paraId="7C586492" w14:textId="1D5B0258" w:rsidR="00B25B6C" w:rsidRPr="00B25B6C" w:rsidRDefault="00B25B6C" w:rsidP="00922D6F">
            <w:pPr>
              <w:spacing w:before="120" w:after="120" w:line="240" w:lineRule="auto"/>
              <w:jc w:val="center"/>
              <w:rPr>
                <w:rFonts w:ascii="Cambria" w:eastAsia="Calibri" w:hAnsi="Cambria" w:cs="Times New Roman"/>
                <w:sz w:val="26"/>
                <w:szCs w:val="26"/>
              </w:rPr>
            </w:pPr>
            <w:r w:rsidRPr="00B25B6C">
              <w:rPr>
                <w:rFonts w:ascii="Cambria" w:eastAsia="Calibri" w:hAnsi="Cambria" w:cs="Times New Roman"/>
                <w:b/>
                <w:bCs/>
                <w:sz w:val="28"/>
                <w:szCs w:val="26"/>
              </w:rPr>
              <w:t xml:space="preserve">Next Meeting: </w:t>
            </w:r>
            <w:r w:rsidR="00922D6F">
              <w:rPr>
                <w:rFonts w:ascii="Cambria" w:eastAsia="Calibri" w:hAnsi="Cambria" w:cs="Times New Roman"/>
                <w:b/>
                <w:bCs/>
                <w:sz w:val="28"/>
                <w:szCs w:val="26"/>
              </w:rPr>
              <w:t>January 25-26</w:t>
            </w:r>
            <w:r w:rsidR="006D0A4C" w:rsidRPr="006D0A4C">
              <w:rPr>
                <w:rFonts w:ascii="Cambria" w:eastAsia="Calibri" w:hAnsi="Cambria" w:cs="Times New Roman"/>
                <w:b/>
                <w:bCs/>
                <w:sz w:val="28"/>
                <w:szCs w:val="26"/>
                <w:vertAlign w:val="superscript"/>
              </w:rPr>
              <w:t>th</w:t>
            </w:r>
            <w:r w:rsidR="00922D6F">
              <w:rPr>
                <w:rFonts w:ascii="Cambria" w:eastAsia="Calibri" w:hAnsi="Cambria" w:cs="Times New Roman"/>
                <w:b/>
                <w:bCs/>
                <w:sz w:val="28"/>
                <w:szCs w:val="26"/>
              </w:rPr>
              <w:t>, 2016</w:t>
            </w:r>
            <w:r w:rsidR="006D0A4C">
              <w:rPr>
                <w:rFonts w:ascii="Cambria" w:eastAsia="Calibri" w:hAnsi="Cambria" w:cs="Times New Roman"/>
                <w:b/>
                <w:bCs/>
                <w:sz w:val="28"/>
                <w:szCs w:val="26"/>
              </w:rPr>
              <w:t xml:space="preserve">; </w:t>
            </w:r>
            <w:r w:rsidR="00922D6F">
              <w:rPr>
                <w:rFonts w:ascii="Cambria" w:eastAsia="Calibri" w:hAnsi="Cambria" w:cs="Times New Roman"/>
                <w:b/>
                <w:bCs/>
                <w:sz w:val="28"/>
                <w:szCs w:val="26"/>
              </w:rPr>
              <w:t>Nashville, TN</w:t>
            </w:r>
          </w:p>
        </w:tc>
      </w:tr>
      <w:tr w:rsidR="00B25B6C" w:rsidRPr="00B25B6C" w14:paraId="1DC828C0" w14:textId="77777777" w:rsidTr="008A205B">
        <w:trPr>
          <w:trHeight w:val="902"/>
        </w:trPr>
        <w:tc>
          <w:tcPr>
            <w:tcW w:w="11179" w:type="dxa"/>
            <w:tcBorders>
              <w:top w:val="double" w:sz="4" w:space="0" w:color="auto"/>
              <w:bottom w:val="single" w:sz="8" w:space="0" w:color="auto"/>
            </w:tcBorders>
            <w:tcMar>
              <w:top w:w="58" w:type="dxa"/>
              <w:left w:w="86" w:type="dxa"/>
              <w:bottom w:w="58" w:type="dxa"/>
              <w:right w:w="86" w:type="dxa"/>
            </w:tcMar>
            <w:vAlign w:val="center"/>
          </w:tcPr>
          <w:p w14:paraId="211AD773" w14:textId="49B810FE" w:rsidR="00B25B6C" w:rsidRPr="00B25B6C" w:rsidRDefault="005027E4" w:rsidP="005027E4">
            <w:pPr>
              <w:spacing w:after="0" w:line="276" w:lineRule="auto"/>
              <w:jc w:val="center"/>
              <w:rPr>
                <w:rFonts w:ascii="Cambria" w:eastAsia="Calibri" w:hAnsi="Cambria" w:cs="Times New Roman"/>
                <w:b/>
                <w:bCs/>
                <w:sz w:val="28"/>
                <w:szCs w:val="28"/>
              </w:rPr>
            </w:pPr>
            <w:r>
              <w:rPr>
                <w:rFonts w:ascii="Cambria" w:eastAsia="Calibri" w:hAnsi="Cambria" w:cs="Times New Roman"/>
                <w:b/>
                <w:bCs/>
                <w:noProof/>
                <w:sz w:val="28"/>
                <w:szCs w:val="28"/>
              </w:rPr>
              <w:drawing>
                <wp:inline distT="0" distB="0" distL="0" distR="0" wp14:anchorId="3570BBC3" wp14:editId="69749385">
                  <wp:extent cx="2276475" cy="368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E logo (full).png"/>
                          <pic:cNvPicPr/>
                        </pic:nvPicPr>
                        <pic:blipFill>
                          <a:blip r:embed="rId10">
                            <a:extLst>
                              <a:ext uri="{28A0092B-C50C-407E-A947-70E740481C1C}">
                                <a14:useLocalDpi xmlns:a14="http://schemas.microsoft.com/office/drawing/2010/main" val="0"/>
                              </a:ext>
                            </a:extLst>
                          </a:blip>
                          <a:stretch>
                            <a:fillRect/>
                          </a:stretch>
                        </pic:blipFill>
                        <pic:spPr>
                          <a:xfrm>
                            <a:off x="0" y="0"/>
                            <a:ext cx="2297076" cy="372048"/>
                          </a:xfrm>
                          <a:prstGeom prst="rect">
                            <a:avLst/>
                          </a:prstGeom>
                        </pic:spPr>
                      </pic:pic>
                    </a:graphicData>
                  </a:graphic>
                </wp:inline>
              </w:drawing>
            </w:r>
          </w:p>
        </w:tc>
      </w:tr>
    </w:tbl>
    <w:p w14:paraId="22D01CA7" w14:textId="77777777" w:rsidR="008A205B" w:rsidRDefault="008A205B"/>
    <w:sectPr w:rsidR="008A2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C391" w14:textId="77777777" w:rsidR="00310D1D" w:rsidRDefault="00310D1D">
      <w:pPr>
        <w:spacing w:after="0" w:line="240" w:lineRule="auto"/>
      </w:pPr>
      <w:r>
        <w:separator/>
      </w:r>
    </w:p>
  </w:endnote>
  <w:endnote w:type="continuationSeparator" w:id="0">
    <w:p w14:paraId="4D29E56E" w14:textId="77777777" w:rsidR="00310D1D" w:rsidRDefault="00310D1D">
      <w:pPr>
        <w:spacing w:after="0" w:line="240" w:lineRule="auto"/>
      </w:pPr>
      <w:r>
        <w:continuationSeparator/>
      </w:r>
    </w:p>
  </w:endnote>
  <w:endnote w:type="continuationNotice" w:id="1">
    <w:p w14:paraId="2C3C711B" w14:textId="77777777" w:rsidR="00310D1D" w:rsidRDefault="00310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01C5" w14:textId="77777777" w:rsidR="00310D1D" w:rsidRDefault="00310D1D" w:rsidP="008A20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25877" w14:textId="77777777" w:rsidR="00310D1D" w:rsidRDefault="00310D1D">
      <w:pPr>
        <w:spacing w:after="0" w:line="240" w:lineRule="auto"/>
      </w:pPr>
      <w:r>
        <w:separator/>
      </w:r>
    </w:p>
  </w:footnote>
  <w:footnote w:type="continuationSeparator" w:id="0">
    <w:p w14:paraId="23002B22" w14:textId="77777777" w:rsidR="00310D1D" w:rsidRDefault="00310D1D">
      <w:pPr>
        <w:spacing w:after="0" w:line="240" w:lineRule="auto"/>
      </w:pPr>
      <w:r>
        <w:continuationSeparator/>
      </w:r>
    </w:p>
  </w:footnote>
  <w:footnote w:type="continuationNotice" w:id="1">
    <w:p w14:paraId="44BFF786" w14:textId="77777777" w:rsidR="00310D1D" w:rsidRDefault="00310D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4B1FA" w14:textId="77777777" w:rsidR="00310D1D" w:rsidRDefault="00310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46FA"/>
    <w:multiLevelType w:val="hybridMultilevel"/>
    <w:tmpl w:val="15B41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A337B"/>
    <w:multiLevelType w:val="hybridMultilevel"/>
    <w:tmpl w:val="461C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C3983"/>
    <w:multiLevelType w:val="hybridMultilevel"/>
    <w:tmpl w:val="48787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C1212"/>
    <w:multiLevelType w:val="hybridMultilevel"/>
    <w:tmpl w:val="E3165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96713"/>
    <w:multiLevelType w:val="hybridMultilevel"/>
    <w:tmpl w:val="2DB8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2318D"/>
    <w:multiLevelType w:val="hybridMultilevel"/>
    <w:tmpl w:val="6D888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F1076"/>
    <w:multiLevelType w:val="hybridMultilevel"/>
    <w:tmpl w:val="3E92F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566AB"/>
    <w:multiLevelType w:val="hybridMultilevel"/>
    <w:tmpl w:val="0B228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2638E"/>
    <w:multiLevelType w:val="hybridMultilevel"/>
    <w:tmpl w:val="2478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D1ED4"/>
    <w:multiLevelType w:val="hybridMultilevel"/>
    <w:tmpl w:val="8DBE2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4E377E"/>
    <w:multiLevelType w:val="hybridMultilevel"/>
    <w:tmpl w:val="15547B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8B0DE9"/>
    <w:multiLevelType w:val="hybridMultilevel"/>
    <w:tmpl w:val="B4A0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AC03C4"/>
    <w:multiLevelType w:val="hybridMultilevel"/>
    <w:tmpl w:val="63041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5F6157"/>
    <w:multiLevelType w:val="multilevel"/>
    <w:tmpl w:val="280CC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044130"/>
    <w:multiLevelType w:val="hybridMultilevel"/>
    <w:tmpl w:val="06CC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AE61D3"/>
    <w:multiLevelType w:val="hybridMultilevel"/>
    <w:tmpl w:val="2C64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1E2F93"/>
    <w:multiLevelType w:val="hybridMultilevel"/>
    <w:tmpl w:val="EBB8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563F88"/>
    <w:multiLevelType w:val="hybridMultilevel"/>
    <w:tmpl w:val="7C7C0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CB3AED"/>
    <w:multiLevelType w:val="hybridMultilevel"/>
    <w:tmpl w:val="9088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432F0"/>
    <w:multiLevelType w:val="hybridMultilevel"/>
    <w:tmpl w:val="0CA2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44655"/>
    <w:multiLevelType w:val="hybridMultilevel"/>
    <w:tmpl w:val="B7F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A2A6B"/>
    <w:multiLevelType w:val="hybridMultilevel"/>
    <w:tmpl w:val="0E7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85273"/>
    <w:multiLevelType w:val="hybridMultilevel"/>
    <w:tmpl w:val="AFE2E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C1C06EC"/>
    <w:multiLevelType w:val="hybridMultilevel"/>
    <w:tmpl w:val="00D41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934D3A"/>
    <w:multiLevelType w:val="hybridMultilevel"/>
    <w:tmpl w:val="ED72DD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9"/>
  </w:num>
  <w:num w:numId="4">
    <w:abstractNumId w:val="18"/>
  </w:num>
  <w:num w:numId="5">
    <w:abstractNumId w:val="23"/>
  </w:num>
  <w:num w:numId="6">
    <w:abstractNumId w:val="10"/>
  </w:num>
  <w:num w:numId="7">
    <w:abstractNumId w:val="11"/>
  </w:num>
  <w:num w:numId="8">
    <w:abstractNumId w:val="0"/>
  </w:num>
  <w:num w:numId="9">
    <w:abstractNumId w:val="2"/>
  </w:num>
  <w:num w:numId="10">
    <w:abstractNumId w:val="21"/>
  </w:num>
  <w:num w:numId="11">
    <w:abstractNumId w:val="20"/>
  </w:num>
  <w:num w:numId="12">
    <w:abstractNumId w:val="14"/>
  </w:num>
  <w:num w:numId="13">
    <w:abstractNumId w:val="1"/>
  </w:num>
  <w:num w:numId="14">
    <w:abstractNumId w:val="4"/>
  </w:num>
  <w:num w:numId="15">
    <w:abstractNumId w:val="3"/>
  </w:num>
  <w:num w:numId="16">
    <w:abstractNumId w:val="15"/>
  </w:num>
  <w:num w:numId="17">
    <w:abstractNumId w:val="8"/>
  </w:num>
  <w:num w:numId="18">
    <w:abstractNumId w:val="6"/>
  </w:num>
  <w:num w:numId="19">
    <w:abstractNumId w:val="24"/>
  </w:num>
  <w:num w:numId="20">
    <w:abstractNumId w:val="9"/>
  </w:num>
  <w:num w:numId="21">
    <w:abstractNumId w:val="16"/>
  </w:num>
  <w:num w:numId="22">
    <w:abstractNumId w:val="7"/>
  </w:num>
  <w:num w:numId="23">
    <w:abstractNumId w:val="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6C"/>
    <w:rsid w:val="00006734"/>
    <w:rsid w:val="0001794A"/>
    <w:rsid w:val="00024E3A"/>
    <w:rsid w:val="00035C14"/>
    <w:rsid w:val="000571CB"/>
    <w:rsid w:val="00072EB4"/>
    <w:rsid w:val="00074D3F"/>
    <w:rsid w:val="00077F36"/>
    <w:rsid w:val="0008562F"/>
    <w:rsid w:val="000875D7"/>
    <w:rsid w:val="000A0D08"/>
    <w:rsid w:val="000A37A5"/>
    <w:rsid w:val="000C5563"/>
    <w:rsid w:val="000D4F44"/>
    <w:rsid w:val="000F0272"/>
    <w:rsid w:val="000F2CBD"/>
    <w:rsid w:val="000F5A1C"/>
    <w:rsid w:val="0013253B"/>
    <w:rsid w:val="00194F95"/>
    <w:rsid w:val="001B091B"/>
    <w:rsid w:val="001F3489"/>
    <w:rsid w:val="001F47AD"/>
    <w:rsid w:val="001F6C83"/>
    <w:rsid w:val="002029AB"/>
    <w:rsid w:val="00211E10"/>
    <w:rsid w:val="0023745D"/>
    <w:rsid w:val="0025038D"/>
    <w:rsid w:val="002927C8"/>
    <w:rsid w:val="00294C60"/>
    <w:rsid w:val="0029590C"/>
    <w:rsid w:val="002B4225"/>
    <w:rsid w:val="002D3792"/>
    <w:rsid w:val="002D418E"/>
    <w:rsid w:val="002D5A65"/>
    <w:rsid w:val="002E41B8"/>
    <w:rsid w:val="00305395"/>
    <w:rsid w:val="00310D1D"/>
    <w:rsid w:val="003127C2"/>
    <w:rsid w:val="00324112"/>
    <w:rsid w:val="00336BF8"/>
    <w:rsid w:val="00356946"/>
    <w:rsid w:val="003606D1"/>
    <w:rsid w:val="00372FFC"/>
    <w:rsid w:val="003A09F4"/>
    <w:rsid w:val="003C3D4F"/>
    <w:rsid w:val="003C56D0"/>
    <w:rsid w:val="003D3B60"/>
    <w:rsid w:val="003D49AE"/>
    <w:rsid w:val="003F1BCB"/>
    <w:rsid w:val="00407E35"/>
    <w:rsid w:val="004229F4"/>
    <w:rsid w:val="00422E6D"/>
    <w:rsid w:val="00443C17"/>
    <w:rsid w:val="00471240"/>
    <w:rsid w:val="00475F94"/>
    <w:rsid w:val="004849F8"/>
    <w:rsid w:val="00493C4A"/>
    <w:rsid w:val="004B07FE"/>
    <w:rsid w:val="004B465A"/>
    <w:rsid w:val="004D0181"/>
    <w:rsid w:val="004E15A3"/>
    <w:rsid w:val="005027E4"/>
    <w:rsid w:val="00503456"/>
    <w:rsid w:val="00503A59"/>
    <w:rsid w:val="005041D2"/>
    <w:rsid w:val="00515C33"/>
    <w:rsid w:val="005329F2"/>
    <w:rsid w:val="00535056"/>
    <w:rsid w:val="00544695"/>
    <w:rsid w:val="00552EEC"/>
    <w:rsid w:val="00560439"/>
    <w:rsid w:val="00564245"/>
    <w:rsid w:val="0058140A"/>
    <w:rsid w:val="005A67CD"/>
    <w:rsid w:val="005B59D1"/>
    <w:rsid w:val="005C4177"/>
    <w:rsid w:val="006111C7"/>
    <w:rsid w:val="00644756"/>
    <w:rsid w:val="00652070"/>
    <w:rsid w:val="00663380"/>
    <w:rsid w:val="0066451D"/>
    <w:rsid w:val="006709C3"/>
    <w:rsid w:val="00690CE3"/>
    <w:rsid w:val="00696D59"/>
    <w:rsid w:val="006A26A0"/>
    <w:rsid w:val="006A2D2A"/>
    <w:rsid w:val="006C67F9"/>
    <w:rsid w:val="006D0A4C"/>
    <w:rsid w:val="006F38FC"/>
    <w:rsid w:val="00702817"/>
    <w:rsid w:val="00707797"/>
    <w:rsid w:val="00707C49"/>
    <w:rsid w:val="00714888"/>
    <w:rsid w:val="007214EB"/>
    <w:rsid w:val="00740E62"/>
    <w:rsid w:val="00743B73"/>
    <w:rsid w:val="007665CA"/>
    <w:rsid w:val="00774551"/>
    <w:rsid w:val="007864E4"/>
    <w:rsid w:val="00794C44"/>
    <w:rsid w:val="007A4F42"/>
    <w:rsid w:val="007B3FBB"/>
    <w:rsid w:val="007B6EEA"/>
    <w:rsid w:val="007C27CA"/>
    <w:rsid w:val="007D0CBE"/>
    <w:rsid w:val="007D401B"/>
    <w:rsid w:val="007E6A0D"/>
    <w:rsid w:val="007F3B04"/>
    <w:rsid w:val="00866CA2"/>
    <w:rsid w:val="0087784B"/>
    <w:rsid w:val="00882A90"/>
    <w:rsid w:val="00884755"/>
    <w:rsid w:val="008A205B"/>
    <w:rsid w:val="008D2F6A"/>
    <w:rsid w:val="008E003F"/>
    <w:rsid w:val="00922D6F"/>
    <w:rsid w:val="0092445A"/>
    <w:rsid w:val="009250FC"/>
    <w:rsid w:val="009269B5"/>
    <w:rsid w:val="00935391"/>
    <w:rsid w:val="0095288F"/>
    <w:rsid w:val="009555B9"/>
    <w:rsid w:val="009560E9"/>
    <w:rsid w:val="00964695"/>
    <w:rsid w:val="009768F2"/>
    <w:rsid w:val="0098418D"/>
    <w:rsid w:val="00994862"/>
    <w:rsid w:val="009B4A87"/>
    <w:rsid w:val="009B702F"/>
    <w:rsid w:val="009C45F1"/>
    <w:rsid w:val="009F5A4E"/>
    <w:rsid w:val="00A0467D"/>
    <w:rsid w:val="00A1108C"/>
    <w:rsid w:val="00A41015"/>
    <w:rsid w:val="00A45055"/>
    <w:rsid w:val="00A469C9"/>
    <w:rsid w:val="00A475B4"/>
    <w:rsid w:val="00A47A8F"/>
    <w:rsid w:val="00A50476"/>
    <w:rsid w:val="00A57DFD"/>
    <w:rsid w:val="00A679F7"/>
    <w:rsid w:val="00A768D0"/>
    <w:rsid w:val="00A93788"/>
    <w:rsid w:val="00A943E7"/>
    <w:rsid w:val="00AB0720"/>
    <w:rsid w:val="00AC50CA"/>
    <w:rsid w:val="00AC7488"/>
    <w:rsid w:val="00AD0E83"/>
    <w:rsid w:val="00AD2054"/>
    <w:rsid w:val="00AE656B"/>
    <w:rsid w:val="00B231EA"/>
    <w:rsid w:val="00B25B6C"/>
    <w:rsid w:val="00B663DF"/>
    <w:rsid w:val="00B92A4C"/>
    <w:rsid w:val="00B977BA"/>
    <w:rsid w:val="00BA1798"/>
    <w:rsid w:val="00BA6A67"/>
    <w:rsid w:val="00BC04A5"/>
    <w:rsid w:val="00BD694A"/>
    <w:rsid w:val="00BE57FB"/>
    <w:rsid w:val="00BF49C5"/>
    <w:rsid w:val="00BF4BD2"/>
    <w:rsid w:val="00C261F3"/>
    <w:rsid w:val="00C50071"/>
    <w:rsid w:val="00C513B4"/>
    <w:rsid w:val="00C63921"/>
    <w:rsid w:val="00C9613B"/>
    <w:rsid w:val="00CC1EFB"/>
    <w:rsid w:val="00CD1EDF"/>
    <w:rsid w:val="00CD3858"/>
    <w:rsid w:val="00CF5DA3"/>
    <w:rsid w:val="00D957D0"/>
    <w:rsid w:val="00DB0400"/>
    <w:rsid w:val="00DB2FA4"/>
    <w:rsid w:val="00DB427D"/>
    <w:rsid w:val="00DC64AA"/>
    <w:rsid w:val="00DD2FBA"/>
    <w:rsid w:val="00DE2857"/>
    <w:rsid w:val="00DF728E"/>
    <w:rsid w:val="00E13711"/>
    <w:rsid w:val="00E1601F"/>
    <w:rsid w:val="00E208A4"/>
    <w:rsid w:val="00E23351"/>
    <w:rsid w:val="00E335BD"/>
    <w:rsid w:val="00E403F9"/>
    <w:rsid w:val="00E40587"/>
    <w:rsid w:val="00E4322C"/>
    <w:rsid w:val="00E5028A"/>
    <w:rsid w:val="00E56E71"/>
    <w:rsid w:val="00E63065"/>
    <w:rsid w:val="00E7269A"/>
    <w:rsid w:val="00E7280B"/>
    <w:rsid w:val="00E74A0C"/>
    <w:rsid w:val="00EC34C4"/>
    <w:rsid w:val="00ED1D51"/>
    <w:rsid w:val="00ED35BA"/>
    <w:rsid w:val="00ED38D7"/>
    <w:rsid w:val="00ED4514"/>
    <w:rsid w:val="00EE1ACF"/>
    <w:rsid w:val="00EE3236"/>
    <w:rsid w:val="00F0460D"/>
    <w:rsid w:val="00F113EE"/>
    <w:rsid w:val="00F34767"/>
    <w:rsid w:val="00F5516A"/>
    <w:rsid w:val="00F66224"/>
    <w:rsid w:val="00F82216"/>
    <w:rsid w:val="00F82429"/>
    <w:rsid w:val="00F914E3"/>
    <w:rsid w:val="00F923BD"/>
    <w:rsid w:val="00F96778"/>
    <w:rsid w:val="00FB08AD"/>
    <w:rsid w:val="00FB09D2"/>
    <w:rsid w:val="00FC6955"/>
    <w:rsid w:val="00FD5E07"/>
    <w:rsid w:val="00FE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FB11B"/>
  <w15:docId w15:val="{BCC824B0-2228-4B7C-982F-5ED32158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56"/>
    <w:pPr>
      <w:ind w:left="720"/>
      <w:contextualSpacing/>
    </w:pPr>
  </w:style>
  <w:style w:type="character" w:styleId="Hyperlink">
    <w:name w:val="Hyperlink"/>
    <w:basedOn w:val="DefaultParagraphFont"/>
    <w:uiPriority w:val="99"/>
    <w:unhideWhenUsed/>
    <w:rsid w:val="00475F94"/>
    <w:rPr>
      <w:color w:val="0563C1" w:themeColor="hyperlink"/>
      <w:u w:val="single"/>
    </w:rPr>
  </w:style>
  <w:style w:type="character" w:styleId="CommentReference">
    <w:name w:val="annotation reference"/>
    <w:basedOn w:val="DefaultParagraphFont"/>
    <w:uiPriority w:val="99"/>
    <w:semiHidden/>
    <w:unhideWhenUsed/>
    <w:rsid w:val="004E15A3"/>
    <w:rPr>
      <w:sz w:val="16"/>
      <w:szCs w:val="16"/>
    </w:rPr>
  </w:style>
  <w:style w:type="paragraph" w:styleId="CommentText">
    <w:name w:val="annotation text"/>
    <w:basedOn w:val="Normal"/>
    <w:link w:val="CommentTextChar"/>
    <w:uiPriority w:val="99"/>
    <w:semiHidden/>
    <w:unhideWhenUsed/>
    <w:rsid w:val="004E15A3"/>
    <w:pPr>
      <w:spacing w:line="240" w:lineRule="auto"/>
    </w:pPr>
    <w:rPr>
      <w:sz w:val="20"/>
      <w:szCs w:val="20"/>
    </w:rPr>
  </w:style>
  <w:style w:type="character" w:customStyle="1" w:styleId="CommentTextChar">
    <w:name w:val="Comment Text Char"/>
    <w:basedOn w:val="DefaultParagraphFont"/>
    <w:link w:val="CommentText"/>
    <w:uiPriority w:val="99"/>
    <w:semiHidden/>
    <w:rsid w:val="004E15A3"/>
    <w:rPr>
      <w:sz w:val="20"/>
      <w:szCs w:val="20"/>
    </w:rPr>
  </w:style>
  <w:style w:type="paragraph" w:styleId="CommentSubject">
    <w:name w:val="annotation subject"/>
    <w:basedOn w:val="CommentText"/>
    <w:next w:val="CommentText"/>
    <w:link w:val="CommentSubjectChar"/>
    <w:uiPriority w:val="99"/>
    <w:semiHidden/>
    <w:unhideWhenUsed/>
    <w:rsid w:val="004E15A3"/>
    <w:rPr>
      <w:b/>
      <w:bCs/>
    </w:rPr>
  </w:style>
  <w:style w:type="character" w:customStyle="1" w:styleId="CommentSubjectChar">
    <w:name w:val="Comment Subject Char"/>
    <w:basedOn w:val="CommentTextChar"/>
    <w:link w:val="CommentSubject"/>
    <w:uiPriority w:val="99"/>
    <w:semiHidden/>
    <w:rsid w:val="004E15A3"/>
    <w:rPr>
      <w:b/>
      <w:bCs/>
      <w:sz w:val="20"/>
      <w:szCs w:val="20"/>
    </w:rPr>
  </w:style>
  <w:style w:type="paragraph" w:styleId="BalloonText">
    <w:name w:val="Balloon Text"/>
    <w:basedOn w:val="Normal"/>
    <w:link w:val="BalloonTextChar"/>
    <w:uiPriority w:val="99"/>
    <w:semiHidden/>
    <w:unhideWhenUsed/>
    <w:rsid w:val="004E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A3"/>
    <w:rPr>
      <w:rFonts w:ascii="Segoe UI" w:hAnsi="Segoe UI" w:cs="Segoe UI"/>
      <w:sz w:val="18"/>
      <w:szCs w:val="18"/>
    </w:rPr>
  </w:style>
  <w:style w:type="paragraph" w:styleId="Footer">
    <w:name w:val="footer"/>
    <w:basedOn w:val="Normal"/>
    <w:link w:val="FooterChar"/>
    <w:uiPriority w:val="99"/>
    <w:semiHidden/>
    <w:unhideWhenUsed/>
    <w:rsid w:val="00E137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711"/>
  </w:style>
  <w:style w:type="paragraph" w:styleId="Header">
    <w:name w:val="header"/>
    <w:basedOn w:val="Normal"/>
    <w:link w:val="HeaderChar"/>
    <w:uiPriority w:val="99"/>
    <w:unhideWhenUsed/>
    <w:rsid w:val="001F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3818">
      <w:bodyDiv w:val="1"/>
      <w:marLeft w:val="0"/>
      <w:marRight w:val="0"/>
      <w:marTop w:val="0"/>
      <w:marBottom w:val="0"/>
      <w:divBdr>
        <w:top w:val="none" w:sz="0" w:space="0" w:color="auto"/>
        <w:left w:val="none" w:sz="0" w:space="0" w:color="auto"/>
        <w:bottom w:val="none" w:sz="0" w:space="0" w:color="auto"/>
        <w:right w:val="none" w:sz="0" w:space="0" w:color="auto"/>
      </w:divBdr>
    </w:div>
    <w:div w:id="639268366">
      <w:bodyDiv w:val="1"/>
      <w:marLeft w:val="0"/>
      <w:marRight w:val="0"/>
      <w:marTop w:val="0"/>
      <w:marBottom w:val="0"/>
      <w:divBdr>
        <w:top w:val="none" w:sz="0" w:space="0" w:color="auto"/>
        <w:left w:val="none" w:sz="0" w:space="0" w:color="auto"/>
        <w:bottom w:val="none" w:sz="0" w:space="0" w:color="auto"/>
        <w:right w:val="none" w:sz="0" w:space="0" w:color="auto"/>
      </w:divBdr>
    </w:div>
    <w:div w:id="905653329">
      <w:bodyDiv w:val="1"/>
      <w:marLeft w:val="0"/>
      <w:marRight w:val="0"/>
      <w:marTop w:val="0"/>
      <w:marBottom w:val="0"/>
      <w:divBdr>
        <w:top w:val="none" w:sz="0" w:space="0" w:color="auto"/>
        <w:left w:val="none" w:sz="0" w:space="0" w:color="auto"/>
        <w:bottom w:val="none" w:sz="0" w:space="0" w:color="auto"/>
        <w:right w:val="none" w:sz="0" w:space="0" w:color="auto"/>
      </w:divBdr>
    </w:div>
    <w:div w:id="11001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merge.mc.vanderbilt.edu/16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Hardebeck, Adam</dc:creator>
  <cp:keywords/>
  <dc:description/>
  <cp:lastModifiedBy>Hardebeck, Adam</cp:lastModifiedBy>
  <cp:revision>4</cp:revision>
  <dcterms:created xsi:type="dcterms:W3CDTF">2015-10-09T16:14:00Z</dcterms:created>
  <dcterms:modified xsi:type="dcterms:W3CDTF">2015-10-23T21:30:00Z</dcterms:modified>
</cp:coreProperties>
</file>