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9714B" w14:textId="77777777" w:rsidR="00795FF3" w:rsidRDefault="00795FF3" w:rsidP="009C57EC">
      <w:pPr>
        <w:pStyle w:val="NormalWeb"/>
        <w:jc w:val="center"/>
        <w:rPr>
          <w:b/>
          <w:sz w:val="28"/>
          <w:szCs w:val="28"/>
        </w:rPr>
      </w:pPr>
      <w:r>
        <w:rPr>
          <w:b/>
          <w:sz w:val="28"/>
          <w:szCs w:val="28"/>
        </w:rPr>
        <w:t>eMERGE Network Proposal for Analysis</w:t>
      </w:r>
    </w:p>
    <w:p w14:paraId="353C006C" w14:textId="77777777" w:rsidR="000225D2" w:rsidRDefault="003D3121" w:rsidP="000225D2">
      <w:pPr>
        <w:tabs>
          <w:tab w:val="right" w:leader="underscore" w:pos="8640"/>
        </w:tabs>
        <w:spacing w:line="360" w:lineRule="auto"/>
        <w:jc w:val="center"/>
      </w:pPr>
      <w:r>
        <w:rPr>
          <w:sz w:val="28"/>
          <w:szCs w:val="28"/>
        </w:rPr>
        <w:t>Project/</w:t>
      </w:r>
      <w:r w:rsidR="00795FF3">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0225D2" w:rsidRPr="00364BD8" w14:paraId="00C7FF84" w14:textId="77777777" w:rsidTr="00DF3152">
        <w:tc>
          <w:tcPr>
            <w:tcW w:w="2304" w:type="dxa"/>
            <w:vAlign w:val="center"/>
          </w:tcPr>
          <w:p w14:paraId="59E8EF39" w14:textId="77777777" w:rsidR="000225D2" w:rsidRPr="00364BD8" w:rsidRDefault="000225D2" w:rsidP="00DF3152">
            <w:pPr>
              <w:rPr>
                <w:b/>
              </w:rPr>
            </w:pPr>
            <w:r w:rsidRPr="00364BD8">
              <w:rPr>
                <w:b/>
              </w:rPr>
              <w:t>Submission Date</w:t>
            </w:r>
          </w:p>
        </w:tc>
        <w:tc>
          <w:tcPr>
            <w:tcW w:w="5760" w:type="dxa"/>
            <w:vAlign w:val="center"/>
          </w:tcPr>
          <w:p w14:paraId="582E3C31" w14:textId="6B0EC334" w:rsidR="000225D2" w:rsidRPr="00364BD8" w:rsidRDefault="00C920BD" w:rsidP="0059345B">
            <w:r>
              <w:t>October</w:t>
            </w:r>
            <w:r w:rsidR="0091641F">
              <w:t xml:space="preserve"> </w:t>
            </w:r>
            <w:r w:rsidR="0059345B">
              <w:t>16</w:t>
            </w:r>
            <w:bookmarkStart w:id="0" w:name="_GoBack"/>
            <w:bookmarkEnd w:id="0"/>
            <w:r w:rsidR="00D442EC" w:rsidRPr="00181E7D">
              <w:t>, 201</w:t>
            </w:r>
            <w:r w:rsidR="003A0A60" w:rsidRPr="00181E7D">
              <w:t>5</w:t>
            </w:r>
          </w:p>
        </w:tc>
      </w:tr>
      <w:tr w:rsidR="000225D2" w:rsidRPr="009F0729" w14:paraId="28DD3060" w14:textId="77777777" w:rsidTr="00DF3152">
        <w:trPr>
          <w:trHeight w:val="720"/>
        </w:trPr>
        <w:tc>
          <w:tcPr>
            <w:tcW w:w="2304" w:type="dxa"/>
            <w:vAlign w:val="center"/>
          </w:tcPr>
          <w:p w14:paraId="13A22B05" w14:textId="77777777" w:rsidR="000225D2" w:rsidRPr="00364BD8" w:rsidRDefault="000225D2" w:rsidP="00DF3152">
            <w:pPr>
              <w:rPr>
                <w:b/>
              </w:rPr>
            </w:pPr>
            <w:r w:rsidRPr="00364BD8">
              <w:rPr>
                <w:b/>
              </w:rPr>
              <w:t>Project Title</w:t>
            </w:r>
          </w:p>
        </w:tc>
        <w:tc>
          <w:tcPr>
            <w:tcW w:w="5760" w:type="dxa"/>
            <w:vAlign w:val="center"/>
          </w:tcPr>
          <w:p w14:paraId="4F591DE8" w14:textId="77777777" w:rsidR="00A31AF5" w:rsidRPr="00BE1591" w:rsidRDefault="00A86656" w:rsidP="00A86656">
            <w:r>
              <w:t>The identification and reporting of actionable i</w:t>
            </w:r>
            <w:r w:rsidR="001E7668">
              <w:t>ncidental</w:t>
            </w:r>
            <w:r>
              <w:t xml:space="preserve"> </w:t>
            </w:r>
            <w:r w:rsidR="001E7668">
              <w:t xml:space="preserve">genetic variants from large scale clinical sequencing of drug response genes.  </w:t>
            </w:r>
          </w:p>
        </w:tc>
      </w:tr>
      <w:tr w:rsidR="000225D2" w:rsidRPr="00364BD8" w14:paraId="2A101D32" w14:textId="77777777" w:rsidTr="00DF3152">
        <w:tc>
          <w:tcPr>
            <w:tcW w:w="2304" w:type="dxa"/>
            <w:vAlign w:val="center"/>
          </w:tcPr>
          <w:p w14:paraId="4895A200" w14:textId="77777777" w:rsidR="000225D2" w:rsidRPr="00364BD8" w:rsidRDefault="000225D2" w:rsidP="00DF3152">
            <w:pPr>
              <w:rPr>
                <w:b/>
              </w:rPr>
            </w:pPr>
            <w:r w:rsidRPr="00364BD8">
              <w:rPr>
                <w:b/>
              </w:rPr>
              <w:t>Tentative Lead Investigator (first author)</w:t>
            </w:r>
          </w:p>
        </w:tc>
        <w:tc>
          <w:tcPr>
            <w:tcW w:w="5760" w:type="dxa"/>
            <w:vAlign w:val="center"/>
          </w:tcPr>
          <w:p w14:paraId="2F74ACA6" w14:textId="5E2C7514" w:rsidR="000225D2" w:rsidRPr="00364BD8" w:rsidRDefault="00AA3952" w:rsidP="00A86656">
            <w:r>
              <w:t xml:space="preserve">Quinn </w:t>
            </w:r>
            <w:r w:rsidR="00C920BD">
              <w:t xml:space="preserve">S. </w:t>
            </w:r>
            <w:r>
              <w:t>Wells</w:t>
            </w:r>
          </w:p>
        </w:tc>
      </w:tr>
      <w:tr w:rsidR="000225D2" w:rsidRPr="00364BD8" w14:paraId="6505DECD" w14:textId="77777777" w:rsidTr="00DF3152">
        <w:tc>
          <w:tcPr>
            <w:tcW w:w="2304" w:type="dxa"/>
            <w:vAlign w:val="center"/>
          </w:tcPr>
          <w:p w14:paraId="473CC62E" w14:textId="77777777" w:rsidR="000225D2" w:rsidRPr="00364BD8" w:rsidRDefault="000225D2" w:rsidP="00DF3152">
            <w:pPr>
              <w:rPr>
                <w:b/>
              </w:rPr>
            </w:pPr>
            <w:r w:rsidRPr="00364BD8">
              <w:rPr>
                <w:b/>
              </w:rPr>
              <w:t>Tentative Senior Author (last author)</w:t>
            </w:r>
          </w:p>
        </w:tc>
        <w:tc>
          <w:tcPr>
            <w:tcW w:w="5760" w:type="dxa"/>
            <w:vAlign w:val="center"/>
          </w:tcPr>
          <w:p w14:paraId="018BA357" w14:textId="77777777" w:rsidR="000225D2" w:rsidRPr="00364BD8" w:rsidRDefault="00AA3952" w:rsidP="00DF3152">
            <w:r>
              <w:t>Ift</w:t>
            </w:r>
            <w:r w:rsidR="00D516E4">
              <w:t>ikhar Kullo</w:t>
            </w:r>
            <w:r>
              <w:t>/Gail Jarvik</w:t>
            </w:r>
          </w:p>
        </w:tc>
      </w:tr>
      <w:tr w:rsidR="000225D2" w:rsidRPr="00364BD8" w14:paraId="258E0E0B" w14:textId="77777777" w:rsidTr="00DF3152">
        <w:tc>
          <w:tcPr>
            <w:tcW w:w="2304" w:type="dxa"/>
            <w:vAlign w:val="center"/>
          </w:tcPr>
          <w:p w14:paraId="2D414008" w14:textId="77777777" w:rsidR="000225D2" w:rsidRPr="00364BD8" w:rsidRDefault="000225D2" w:rsidP="00DF3152">
            <w:pPr>
              <w:rPr>
                <w:b/>
              </w:rPr>
            </w:pPr>
            <w:r w:rsidRPr="00364BD8">
              <w:rPr>
                <w:b/>
              </w:rPr>
              <w:t xml:space="preserve">All other authors </w:t>
            </w:r>
          </w:p>
        </w:tc>
        <w:tc>
          <w:tcPr>
            <w:tcW w:w="5760" w:type="dxa"/>
            <w:vAlign w:val="center"/>
          </w:tcPr>
          <w:p w14:paraId="3B4244E1" w14:textId="77777777" w:rsidR="00181E7D" w:rsidRDefault="00D516E4" w:rsidP="00DF3152">
            <w:r>
              <w:t>Dan Roden, Sara Van Driest</w:t>
            </w:r>
            <w:r w:rsidR="0091641F">
              <w:t>, Sarah C. Stallings</w:t>
            </w:r>
          </w:p>
          <w:p w14:paraId="78593AA2" w14:textId="77777777" w:rsidR="00D516E4" w:rsidRDefault="00D516E4" w:rsidP="00DF3152"/>
          <w:p w14:paraId="122B6352" w14:textId="77777777" w:rsidR="005406AC" w:rsidRPr="00364BD8" w:rsidRDefault="00344C5E" w:rsidP="00344C5E">
            <w:r>
              <w:t>O</w:t>
            </w:r>
            <w:r w:rsidR="00D442EC">
              <w:t>ther interested PGx investigators</w:t>
            </w:r>
            <w:r w:rsidR="0078350E">
              <w:t xml:space="preserve"> </w:t>
            </w:r>
          </w:p>
        </w:tc>
      </w:tr>
      <w:tr w:rsidR="000225D2" w:rsidRPr="00364BD8" w14:paraId="6B5FE6AD" w14:textId="77777777" w:rsidTr="00DF3152">
        <w:trPr>
          <w:trHeight w:val="512"/>
        </w:trPr>
        <w:tc>
          <w:tcPr>
            <w:tcW w:w="2304" w:type="dxa"/>
            <w:vAlign w:val="center"/>
          </w:tcPr>
          <w:p w14:paraId="55BD79E3" w14:textId="77777777" w:rsidR="000225D2" w:rsidRPr="00364BD8" w:rsidRDefault="000225D2" w:rsidP="00DF3152">
            <w:pPr>
              <w:rPr>
                <w:b/>
              </w:rPr>
            </w:pPr>
            <w:r w:rsidRPr="00364BD8">
              <w:rPr>
                <w:b/>
              </w:rPr>
              <w:t>Sites Involved</w:t>
            </w:r>
          </w:p>
        </w:tc>
        <w:tc>
          <w:tcPr>
            <w:tcW w:w="5760" w:type="dxa"/>
            <w:vAlign w:val="center"/>
          </w:tcPr>
          <w:p w14:paraId="60F9D4A7" w14:textId="77777777" w:rsidR="005406AC" w:rsidRPr="00364BD8" w:rsidRDefault="0078350E" w:rsidP="00DF3152">
            <w:r>
              <w:t>All sites</w:t>
            </w:r>
          </w:p>
        </w:tc>
      </w:tr>
      <w:tr w:rsidR="000225D2" w:rsidRPr="00364BD8" w14:paraId="0E4CFA93" w14:textId="77777777" w:rsidTr="00DF3152">
        <w:trPr>
          <w:trHeight w:val="864"/>
        </w:trPr>
        <w:tc>
          <w:tcPr>
            <w:tcW w:w="2304" w:type="dxa"/>
            <w:vAlign w:val="center"/>
          </w:tcPr>
          <w:p w14:paraId="59217D26" w14:textId="77777777" w:rsidR="000225D2" w:rsidRPr="00364BD8" w:rsidRDefault="000225D2" w:rsidP="00DF3152">
            <w:pPr>
              <w:rPr>
                <w:b/>
              </w:rPr>
            </w:pPr>
            <w:r w:rsidRPr="00364BD8">
              <w:rPr>
                <w:b/>
              </w:rPr>
              <w:t>Background / Significance</w:t>
            </w:r>
          </w:p>
        </w:tc>
        <w:tc>
          <w:tcPr>
            <w:tcW w:w="5760" w:type="dxa"/>
            <w:vAlign w:val="center"/>
          </w:tcPr>
          <w:p w14:paraId="74CAEFD8" w14:textId="77777777" w:rsidR="00D516E4" w:rsidRPr="00D516E4" w:rsidRDefault="00D516E4" w:rsidP="00D516E4">
            <w:r w:rsidRPr="00D516E4">
              <w:t xml:space="preserve">The decreasing cost and widening availability of next generation technology has made high-throughput genetic sequencing an increasingly routine component in the clinical evaluation of suspected genetic conditions.  As clinical sequencing becomes more widespread, there will be an obligatory increase in the number of incidentally identified variants that, while unrelated to the original indication for testing, may harbor pathologic potential. </w:t>
            </w:r>
            <w:r w:rsidR="005014FB">
              <w:t>Jarvik, et al (</w:t>
            </w:r>
            <w:hyperlink r:id="rId7" w:history="1">
              <w:r w:rsidR="005014FB" w:rsidRPr="00F047CD">
                <w:rPr>
                  <w:rStyle w:val="Hyperlink"/>
                </w:rPr>
                <w:t>http://www.ncbi.nlm.nih.gov/pmc/articles/PMC3791261/#</w:t>
              </w:r>
            </w:hyperlink>
            <w:r w:rsidR="005014FB">
              <w:t xml:space="preserve">) found </w:t>
            </w:r>
            <w:r w:rsidR="005014FB" w:rsidRPr="005014FB">
              <w:t>585 instances of 239 unique variants identified as disease causing in the Human Gene Mutation Database (HGMD)</w:t>
            </w:r>
            <w:r w:rsidR="005014FB">
              <w:t xml:space="preserve"> in 1,000 </w:t>
            </w:r>
            <w:r w:rsidR="00C00FD3">
              <w:t xml:space="preserve">adult </w:t>
            </w:r>
            <w:r w:rsidR="005014FB">
              <w:t xml:space="preserve">individuals </w:t>
            </w:r>
            <w:r w:rsidR="005014FB" w:rsidRPr="005014FB">
              <w:t xml:space="preserve">screened for variants in 114 genes </w:t>
            </w:r>
            <w:r w:rsidR="00C00FD3">
              <w:t>associated with possibly undiagnosed medical conditions</w:t>
            </w:r>
            <w:r w:rsidR="005014FB" w:rsidRPr="005014FB">
              <w:t>.</w:t>
            </w:r>
            <w:r w:rsidRPr="00D516E4">
              <w:t xml:space="preserve"> Current American College of Medical Genetics and Genomics (ACMG) guidelines recommend return of all actionable incidental findings when a patient undergoes clinical genetic sequencing for any indication.  </w:t>
            </w:r>
            <w:r w:rsidR="00ED488F" w:rsidRPr="00D516E4">
              <w:t xml:space="preserve">The interpretation of, and appropriate response to, such findings is </w:t>
            </w:r>
            <w:r w:rsidR="00E42542">
              <w:t xml:space="preserve">complex and </w:t>
            </w:r>
            <w:r w:rsidR="00ED488F" w:rsidRPr="00D516E4">
              <w:t xml:space="preserve">controversial.  </w:t>
            </w:r>
          </w:p>
          <w:p w14:paraId="286037E4" w14:textId="77777777" w:rsidR="003B779B" w:rsidRPr="0078350E" w:rsidRDefault="003B779B" w:rsidP="005E02CC"/>
        </w:tc>
      </w:tr>
      <w:tr w:rsidR="000225D2" w:rsidRPr="00364BD8" w14:paraId="23178427" w14:textId="77777777" w:rsidTr="00DF3152">
        <w:trPr>
          <w:trHeight w:val="864"/>
        </w:trPr>
        <w:tc>
          <w:tcPr>
            <w:tcW w:w="2304" w:type="dxa"/>
            <w:vAlign w:val="center"/>
          </w:tcPr>
          <w:p w14:paraId="3A359D96" w14:textId="77777777" w:rsidR="000225D2" w:rsidRPr="00364BD8" w:rsidRDefault="000225D2" w:rsidP="00DF3152">
            <w:pPr>
              <w:rPr>
                <w:b/>
              </w:rPr>
            </w:pPr>
            <w:r w:rsidRPr="00364BD8">
              <w:rPr>
                <w:b/>
              </w:rPr>
              <w:t>Outline of Project</w:t>
            </w:r>
          </w:p>
        </w:tc>
        <w:tc>
          <w:tcPr>
            <w:tcW w:w="5760" w:type="dxa"/>
            <w:vAlign w:val="center"/>
          </w:tcPr>
          <w:p w14:paraId="35EB6892" w14:textId="77777777" w:rsidR="00F86185" w:rsidRPr="00364BD8" w:rsidRDefault="003A0A60" w:rsidP="00701324">
            <w:r>
              <w:t xml:space="preserve">Summarize </w:t>
            </w:r>
            <w:r w:rsidR="00701324">
              <w:t xml:space="preserve">incidental </w:t>
            </w:r>
            <w:r w:rsidR="0091641F">
              <w:t xml:space="preserve">genetic </w:t>
            </w:r>
            <w:r w:rsidR="00701324">
              <w:t xml:space="preserve">findings </w:t>
            </w:r>
            <w:r w:rsidR="009321BF">
              <w:t xml:space="preserve">and </w:t>
            </w:r>
            <w:r w:rsidR="0091641F">
              <w:t xml:space="preserve">the process of their return </w:t>
            </w:r>
            <w:r w:rsidR="00853698">
              <w:t>at each of the participating</w:t>
            </w:r>
            <w:r w:rsidR="00DF3152">
              <w:t xml:space="preserve"> institutions</w:t>
            </w:r>
            <w:r w:rsidR="00405109">
              <w:t xml:space="preserve">. </w:t>
            </w:r>
          </w:p>
        </w:tc>
      </w:tr>
      <w:tr w:rsidR="000225D2" w:rsidRPr="00364BD8" w14:paraId="02F5CCB8" w14:textId="77777777" w:rsidTr="00DF3152">
        <w:trPr>
          <w:trHeight w:val="854"/>
        </w:trPr>
        <w:tc>
          <w:tcPr>
            <w:tcW w:w="2304" w:type="dxa"/>
            <w:vAlign w:val="center"/>
          </w:tcPr>
          <w:p w14:paraId="5835A136" w14:textId="77777777" w:rsidR="000225D2" w:rsidRPr="00364BD8" w:rsidRDefault="000225D2" w:rsidP="00DF3152">
            <w:pPr>
              <w:rPr>
                <w:b/>
              </w:rPr>
            </w:pPr>
            <w:r w:rsidRPr="00364BD8">
              <w:rPr>
                <w:b/>
              </w:rPr>
              <w:t>Desired</w:t>
            </w:r>
          </w:p>
          <w:p w14:paraId="1C7674AE" w14:textId="77777777" w:rsidR="000225D2" w:rsidRPr="00364BD8" w:rsidRDefault="000225D2" w:rsidP="00DF3152">
            <w:pPr>
              <w:rPr>
                <w:b/>
              </w:rPr>
            </w:pPr>
            <w:r w:rsidRPr="00364BD8">
              <w:rPr>
                <w:b/>
              </w:rPr>
              <w:t>Variables (essential for analysis</w:t>
            </w:r>
          </w:p>
          <w:p w14:paraId="0766E572" w14:textId="77777777" w:rsidR="000225D2" w:rsidRPr="00364BD8" w:rsidRDefault="000225D2" w:rsidP="00DF3152">
            <w:pPr>
              <w:rPr>
                <w:b/>
              </w:rPr>
            </w:pPr>
            <w:r w:rsidRPr="00364BD8">
              <w:rPr>
                <w:b/>
              </w:rPr>
              <w:lastRenderedPageBreak/>
              <w:t>indicated by *)</w:t>
            </w:r>
          </w:p>
        </w:tc>
        <w:tc>
          <w:tcPr>
            <w:tcW w:w="5760" w:type="dxa"/>
            <w:vAlign w:val="center"/>
          </w:tcPr>
          <w:p w14:paraId="117CFCAA" w14:textId="77777777" w:rsidR="00D67D30" w:rsidRPr="00364BD8" w:rsidRDefault="0091641F" w:rsidP="005D1BC0">
            <w:r>
              <w:lastRenderedPageBreak/>
              <w:t xml:space="preserve">Incidental PGRNseq-ascertained </w:t>
            </w:r>
            <w:r w:rsidR="00A86656">
              <w:t>variants</w:t>
            </w:r>
            <w:r>
              <w:t xml:space="preserve"> interpreted as pathogenic or likely pathogenic and possibly slated for return or actually returned </w:t>
            </w:r>
            <w:r w:rsidR="00A86656">
              <w:t xml:space="preserve">at each site; clinical data for </w:t>
            </w:r>
            <w:r w:rsidR="00A86656">
              <w:lastRenderedPageBreak/>
              <w:t xml:space="preserve">subjects; details of guidance </w:t>
            </w:r>
            <w:r>
              <w:t xml:space="preserve">for </w:t>
            </w:r>
            <w:r w:rsidR="00A86656">
              <w:t xml:space="preserve">return and associated </w:t>
            </w:r>
            <w:r>
              <w:t xml:space="preserve">clinical care </w:t>
            </w:r>
            <w:r w:rsidR="00A86656">
              <w:t xml:space="preserve">modifications.   </w:t>
            </w:r>
          </w:p>
        </w:tc>
      </w:tr>
      <w:tr w:rsidR="00A9093D" w:rsidRPr="00364BD8" w14:paraId="33A6457F" w14:textId="77777777" w:rsidTr="00DF3152">
        <w:trPr>
          <w:trHeight w:val="935"/>
        </w:trPr>
        <w:tc>
          <w:tcPr>
            <w:tcW w:w="2304" w:type="dxa"/>
            <w:vAlign w:val="center"/>
          </w:tcPr>
          <w:p w14:paraId="2ABB62D8" w14:textId="77777777" w:rsidR="00A9093D" w:rsidRPr="00364BD8" w:rsidRDefault="00A9093D" w:rsidP="00DF3152">
            <w:pPr>
              <w:rPr>
                <w:b/>
              </w:rPr>
            </w:pPr>
            <w:r w:rsidRPr="00364BD8">
              <w:rPr>
                <w:b/>
              </w:rPr>
              <w:lastRenderedPageBreak/>
              <w:t>Desired data</w:t>
            </w:r>
          </w:p>
        </w:tc>
        <w:tc>
          <w:tcPr>
            <w:tcW w:w="5760" w:type="dxa"/>
            <w:vAlign w:val="center"/>
          </w:tcPr>
          <w:p w14:paraId="71CBD48E" w14:textId="77777777" w:rsidR="001F1178" w:rsidRPr="00364BD8" w:rsidRDefault="00D442EC" w:rsidP="00DF3152">
            <w:pPr>
              <w:autoSpaceDE w:val="0"/>
              <w:autoSpaceDN w:val="0"/>
            </w:pPr>
            <w:r>
              <w:t>See above</w:t>
            </w:r>
            <w:r w:rsidR="00DF3152">
              <w:t>.</w:t>
            </w:r>
          </w:p>
        </w:tc>
      </w:tr>
      <w:tr w:rsidR="000225D2" w:rsidRPr="00364BD8" w14:paraId="0C5C9F68" w14:textId="77777777" w:rsidTr="00DF3152">
        <w:trPr>
          <w:trHeight w:val="440"/>
        </w:trPr>
        <w:tc>
          <w:tcPr>
            <w:tcW w:w="2304" w:type="dxa"/>
            <w:vAlign w:val="center"/>
          </w:tcPr>
          <w:p w14:paraId="0CC4E0FF" w14:textId="77777777" w:rsidR="000225D2" w:rsidRPr="00364BD8" w:rsidRDefault="000225D2" w:rsidP="00DF3152">
            <w:pPr>
              <w:rPr>
                <w:b/>
              </w:rPr>
            </w:pPr>
            <w:r w:rsidRPr="00364BD8">
              <w:rPr>
                <w:b/>
              </w:rPr>
              <w:t>Planned Statistical Analyses</w:t>
            </w:r>
          </w:p>
        </w:tc>
        <w:tc>
          <w:tcPr>
            <w:tcW w:w="5760" w:type="dxa"/>
            <w:vAlign w:val="center"/>
          </w:tcPr>
          <w:p w14:paraId="77F85187" w14:textId="77777777" w:rsidR="005406AC" w:rsidRPr="00364BD8" w:rsidRDefault="009321BF" w:rsidP="009C70CF">
            <w:r>
              <w:t xml:space="preserve">Qualitative </w:t>
            </w:r>
            <w:r w:rsidR="00DD6904">
              <w:t xml:space="preserve">(comparative variant lists, comparative return guidance and clinical care changes) </w:t>
            </w:r>
            <w:r>
              <w:t>and quantitative descriptive data will be reported</w:t>
            </w:r>
            <w:r w:rsidR="00C830E6">
              <w:t xml:space="preserve">. </w:t>
            </w:r>
          </w:p>
        </w:tc>
      </w:tr>
      <w:tr w:rsidR="000225D2" w:rsidRPr="00364BD8" w14:paraId="00742ECD" w14:textId="77777777" w:rsidTr="00DF3152">
        <w:trPr>
          <w:trHeight w:val="864"/>
        </w:trPr>
        <w:tc>
          <w:tcPr>
            <w:tcW w:w="2304" w:type="dxa"/>
            <w:vAlign w:val="center"/>
          </w:tcPr>
          <w:p w14:paraId="585C19E5" w14:textId="77777777" w:rsidR="000225D2" w:rsidRPr="00364BD8" w:rsidRDefault="000225D2" w:rsidP="00DF3152">
            <w:pPr>
              <w:rPr>
                <w:b/>
              </w:rPr>
            </w:pPr>
            <w:r w:rsidRPr="00364BD8">
              <w:rPr>
                <w:b/>
              </w:rPr>
              <w:t>Ethical considerations</w:t>
            </w:r>
          </w:p>
        </w:tc>
        <w:tc>
          <w:tcPr>
            <w:tcW w:w="5760" w:type="dxa"/>
            <w:vAlign w:val="center"/>
          </w:tcPr>
          <w:p w14:paraId="605A3A1C" w14:textId="77777777" w:rsidR="005406AC" w:rsidRPr="00364BD8" w:rsidRDefault="00DF3152" w:rsidP="00DF3152">
            <w:r>
              <w:t>None noted.</w:t>
            </w:r>
          </w:p>
        </w:tc>
      </w:tr>
      <w:tr w:rsidR="000225D2" w:rsidRPr="00364BD8" w14:paraId="0F8984FC" w14:textId="77777777" w:rsidTr="00DF3152">
        <w:tc>
          <w:tcPr>
            <w:tcW w:w="2304" w:type="dxa"/>
            <w:vAlign w:val="center"/>
          </w:tcPr>
          <w:p w14:paraId="04340DCC" w14:textId="77777777" w:rsidR="000225D2" w:rsidRPr="00364BD8" w:rsidRDefault="000225D2" w:rsidP="00DF3152">
            <w:pPr>
              <w:rPr>
                <w:b/>
              </w:rPr>
            </w:pPr>
            <w:r w:rsidRPr="00364BD8">
              <w:rPr>
                <w:b/>
              </w:rPr>
              <w:t>Target Journal</w:t>
            </w:r>
          </w:p>
        </w:tc>
        <w:tc>
          <w:tcPr>
            <w:tcW w:w="5760" w:type="dxa"/>
            <w:vAlign w:val="center"/>
          </w:tcPr>
          <w:p w14:paraId="5C01FBBD" w14:textId="77777777" w:rsidR="005406AC" w:rsidRDefault="00701324" w:rsidP="00DF3152">
            <w:r>
              <w:t>XXX</w:t>
            </w:r>
          </w:p>
          <w:p w14:paraId="53236293" w14:textId="77777777" w:rsidR="00552CC1" w:rsidRPr="00364BD8" w:rsidRDefault="00552CC1" w:rsidP="00DF3152"/>
        </w:tc>
      </w:tr>
      <w:tr w:rsidR="000225D2" w:rsidRPr="00364BD8" w14:paraId="38353B92" w14:textId="77777777" w:rsidTr="00DF3152">
        <w:tc>
          <w:tcPr>
            <w:tcW w:w="2304" w:type="dxa"/>
            <w:vAlign w:val="center"/>
          </w:tcPr>
          <w:p w14:paraId="29BF7A62" w14:textId="77777777" w:rsidR="000225D2" w:rsidRPr="00364BD8" w:rsidRDefault="000225D2" w:rsidP="00DF3152">
            <w:pPr>
              <w:rPr>
                <w:b/>
              </w:rPr>
            </w:pPr>
            <w:r w:rsidRPr="00364BD8">
              <w:rPr>
                <w:b/>
              </w:rPr>
              <w:t>Milestones</w:t>
            </w:r>
            <w:r w:rsidR="005E6E01" w:rsidRPr="00364BD8">
              <w:rPr>
                <w:b/>
              </w:rPr>
              <w:t>**</w:t>
            </w:r>
          </w:p>
        </w:tc>
        <w:tc>
          <w:tcPr>
            <w:tcW w:w="5760" w:type="dxa"/>
            <w:vAlign w:val="center"/>
          </w:tcPr>
          <w:p w14:paraId="31C6DC57" w14:textId="77777777" w:rsidR="00040467" w:rsidRPr="00AB19B4" w:rsidRDefault="00526BFF" w:rsidP="00DF3152">
            <w:pPr>
              <w:rPr>
                <w:u w:val="single"/>
              </w:rPr>
            </w:pPr>
            <w:r>
              <w:rPr>
                <w:u w:val="single"/>
              </w:rPr>
              <w:t xml:space="preserve">October </w:t>
            </w:r>
            <w:r w:rsidR="009321BF">
              <w:rPr>
                <w:u w:val="single"/>
              </w:rPr>
              <w:t>2015</w:t>
            </w:r>
            <w:r w:rsidR="00040467" w:rsidRPr="00364BD8">
              <w:t xml:space="preserve">: </w:t>
            </w:r>
            <w:r w:rsidR="00D442EC">
              <w:t>Obtain information from all sites</w:t>
            </w:r>
          </w:p>
          <w:p w14:paraId="34FFCE2C" w14:textId="77777777" w:rsidR="00040467" w:rsidRPr="00364BD8" w:rsidRDefault="00526BFF" w:rsidP="00DF3152">
            <w:r>
              <w:rPr>
                <w:u w:val="single"/>
              </w:rPr>
              <w:t>November</w:t>
            </w:r>
            <w:r w:rsidR="00F569E0">
              <w:rPr>
                <w:u w:val="single"/>
              </w:rPr>
              <w:t xml:space="preserve"> 2015</w:t>
            </w:r>
            <w:r w:rsidR="00040467" w:rsidRPr="00364BD8">
              <w:t xml:space="preserve">: </w:t>
            </w:r>
            <w:r w:rsidR="009321BF">
              <w:t>Preliminary data review &amp; request for more information as needed from contributing sites</w:t>
            </w:r>
          </w:p>
          <w:p w14:paraId="54953C49" w14:textId="77777777" w:rsidR="00040467" w:rsidRDefault="00526BFF" w:rsidP="00DF3152">
            <w:r>
              <w:rPr>
                <w:u w:val="single"/>
              </w:rPr>
              <w:t>December</w:t>
            </w:r>
            <w:r w:rsidR="00F569E0" w:rsidRPr="00364BD8">
              <w:rPr>
                <w:u w:val="single"/>
              </w:rPr>
              <w:t xml:space="preserve"> </w:t>
            </w:r>
            <w:r w:rsidR="00040467" w:rsidRPr="00364BD8">
              <w:rPr>
                <w:u w:val="single"/>
              </w:rPr>
              <w:t>201</w:t>
            </w:r>
            <w:r w:rsidR="00F569E0">
              <w:rPr>
                <w:u w:val="single"/>
              </w:rPr>
              <w:t>5</w:t>
            </w:r>
            <w:r w:rsidR="00D442EC">
              <w:t xml:space="preserve">: </w:t>
            </w:r>
            <w:r w:rsidR="009321BF" w:rsidRPr="00364BD8">
              <w:t>First draft of manuscript</w:t>
            </w:r>
            <w:r w:rsidR="009321BF">
              <w:t xml:space="preserve"> circulated</w:t>
            </w:r>
          </w:p>
          <w:p w14:paraId="7C368F3D" w14:textId="77777777" w:rsidR="00405109" w:rsidRDefault="00526BFF" w:rsidP="00DF3152">
            <w:r>
              <w:rPr>
                <w:u w:val="single"/>
              </w:rPr>
              <w:t>Early February</w:t>
            </w:r>
            <w:r w:rsidR="00405109" w:rsidRPr="00552CC1">
              <w:rPr>
                <w:u w:val="single"/>
              </w:rPr>
              <w:t xml:space="preserve"> 201</w:t>
            </w:r>
            <w:r>
              <w:rPr>
                <w:u w:val="single"/>
              </w:rPr>
              <w:t>6</w:t>
            </w:r>
            <w:r w:rsidR="00405109">
              <w:t>: Second draft of manuscript circulated</w:t>
            </w:r>
          </w:p>
          <w:p w14:paraId="54220561" w14:textId="77777777" w:rsidR="005406AC" w:rsidRPr="00344C5E" w:rsidRDefault="00526BFF" w:rsidP="00DF3152">
            <w:pPr>
              <w:rPr>
                <w:u w:val="single"/>
              </w:rPr>
            </w:pPr>
            <w:r>
              <w:rPr>
                <w:u w:val="single"/>
              </w:rPr>
              <w:t xml:space="preserve">Mid </w:t>
            </w:r>
            <w:r w:rsidR="00344C5E">
              <w:rPr>
                <w:u w:val="single"/>
              </w:rPr>
              <w:t>February</w:t>
            </w:r>
            <w:r w:rsidR="00405109" w:rsidRPr="00552CC1">
              <w:rPr>
                <w:u w:val="single"/>
              </w:rPr>
              <w:t xml:space="preserve"> 201</w:t>
            </w:r>
            <w:r w:rsidR="00344C5E">
              <w:rPr>
                <w:u w:val="single"/>
              </w:rPr>
              <w:t>6</w:t>
            </w:r>
            <w:r w:rsidR="00405109">
              <w:t>: Manuscript submission</w:t>
            </w:r>
          </w:p>
        </w:tc>
      </w:tr>
    </w:tbl>
    <w:p w14:paraId="6D3B2801" w14:textId="77777777" w:rsidR="005E6E01" w:rsidRPr="00364BD8" w:rsidRDefault="005E6E01" w:rsidP="005E6E01">
      <w:r w:rsidRPr="00364BD8">
        <w:rPr>
          <w:b/>
        </w:rPr>
        <w:t>**</w:t>
      </w:r>
      <w:r w:rsidRPr="00364BD8">
        <w:t xml:space="preserve"> This section should include:  Timeline for completion of project, including approval, project duration, first and second draft of the paper and submission. </w:t>
      </w:r>
    </w:p>
    <w:p w14:paraId="117A91A5" w14:textId="77777777" w:rsidR="00795FF3" w:rsidRDefault="00795FF3"/>
    <w:p w14:paraId="26323458" w14:textId="77777777" w:rsidR="0076798A" w:rsidRDefault="0076798A" w:rsidP="0076798A"/>
    <w:sectPr w:rsidR="0076798A"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5FEB" w14:textId="77777777" w:rsidR="00986D84" w:rsidRDefault="00986D84">
      <w:r>
        <w:separator/>
      </w:r>
    </w:p>
  </w:endnote>
  <w:endnote w:type="continuationSeparator" w:id="0">
    <w:p w14:paraId="051062E0" w14:textId="77777777" w:rsidR="00986D84" w:rsidRDefault="0098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D2F58" w14:textId="77777777" w:rsidR="005014FB" w:rsidRDefault="005014FB">
    <w:pPr>
      <w:pStyle w:val="Footer"/>
      <w:jc w:val="center"/>
    </w:pPr>
    <w:r>
      <w:rPr>
        <w:rStyle w:val="PageNumber"/>
      </w:rPr>
      <w:fldChar w:fldCharType="begin"/>
    </w:r>
    <w:r>
      <w:rPr>
        <w:rStyle w:val="PageNumber"/>
      </w:rPr>
      <w:instrText xml:space="preserve"> PAGE </w:instrText>
    </w:r>
    <w:r>
      <w:rPr>
        <w:rStyle w:val="PageNumber"/>
      </w:rPr>
      <w:fldChar w:fldCharType="separate"/>
    </w:r>
    <w:r w:rsidR="0059345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5E63C" w14:textId="77777777" w:rsidR="00986D84" w:rsidRDefault="00986D84">
      <w:r>
        <w:separator/>
      </w:r>
    </w:p>
  </w:footnote>
  <w:footnote w:type="continuationSeparator" w:id="0">
    <w:p w14:paraId="1DA1D4D2" w14:textId="77777777" w:rsidR="00986D84" w:rsidRDefault="00986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BBE5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2"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4"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8"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9"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0"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1"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2"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5"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6"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0"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2"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3"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5"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26"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7"/>
  </w:num>
  <w:num w:numId="19">
    <w:abstractNumId w:val="16"/>
  </w:num>
  <w:num w:numId="20">
    <w:abstractNumId w:val="18"/>
  </w:num>
  <w:num w:numId="21">
    <w:abstractNumId w:val="20"/>
  </w:num>
  <w:num w:numId="22">
    <w:abstractNumId w:val="21"/>
  </w:num>
  <w:num w:numId="23">
    <w:abstractNumId w:val="2"/>
  </w:num>
  <w:num w:numId="24">
    <w:abstractNumId w:val="23"/>
  </w:num>
  <w:num w:numId="25">
    <w:abstractNumId w:val="12"/>
  </w:num>
  <w:num w:numId="26">
    <w:abstractNumId w:val="4"/>
  </w:num>
  <w:num w:numId="27">
    <w:abstractNumId w:val="26"/>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32"/>
    <w:rsid w:val="0001679F"/>
    <w:rsid w:val="00016DB5"/>
    <w:rsid w:val="00021720"/>
    <w:rsid w:val="000225D2"/>
    <w:rsid w:val="0002559B"/>
    <w:rsid w:val="00040467"/>
    <w:rsid w:val="000632CA"/>
    <w:rsid w:val="00072691"/>
    <w:rsid w:val="0009375F"/>
    <w:rsid w:val="00093CEE"/>
    <w:rsid w:val="000A39AF"/>
    <w:rsid w:val="000A46E0"/>
    <w:rsid w:val="000C02E5"/>
    <w:rsid w:val="001330F2"/>
    <w:rsid w:val="00162F6E"/>
    <w:rsid w:val="00181E7D"/>
    <w:rsid w:val="00183DEF"/>
    <w:rsid w:val="001A1C96"/>
    <w:rsid w:val="001B18E7"/>
    <w:rsid w:val="001E71A2"/>
    <w:rsid w:val="001E7668"/>
    <w:rsid w:val="001F1178"/>
    <w:rsid w:val="001F41A9"/>
    <w:rsid w:val="00213D65"/>
    <w:rsid w:val="00215E09"/>
    <w:rsid w:val="00227478"/>
    <w:rsid w:val="00236727"/>
    <w:rsid w:val="0025540D"/>
    <w:rsid w:val="00273486"/>
    <w:rsid w:val="0028585D"/>
    <w:rsid w:val="0028652D"/>
    <w:rsid w:val="0029714D"/>
    <w:rsid w:val="002B10D1"/>
    <w:rsid w:val="002B201E"/>
    <w:rsid w:val="002D3352"/>
    <w:rsid w:val="002D5DB4"/>
    <w:rsid w:val="002E0980"/>
    <w:rsid w:val="00304533"/>
    <w:rsid w:val="00304D9E"/>
    <w:rsid w:val="00311688"/>
    <w:rsid w:val="003237A5"/>
    <w:rsid w:val="00336927"/>
    <w:rsid w:val="00344C5E"/>
    <w:rsid w:val="003632C8"/>
    <w:rsid w:val="00364BD8"/>
    <w:rsid w:val="00367D0A"/>
    <w:rsid w:val="003706AE"/>
    <w:rsid w:val="0038271F"/>
    <w:rsid w:val="003A0A60"/>
    <w:rsid w:val="003A39FD"/>
    <w:rsid w:val="003B6296"/>
    <w:rsid w:val="003B779B"/>
    <w:rsid w:val="003D3121"/>
    <w:rsid w:val="003E1C8B"/>
    <w:rsid w:val="003F396F"/>
    <w:rsid w:val="00405109"/>
    <w:rsid w:val="004108D2"/>
    <w:rsid w:val="004126D8"/>
    <w:rsid w:val="00424C88"/>
    <w:rsid w:val="00473CCF"/>
    <w:rsid w:val="00490A32"/>
    <w:rsid w:val="00494C69"/>
    <w:rsid w:val="004966B5"/>
    <w:rsid w:val="004A0FCF"/>
    <w:rsid w:val="004A32E0"/>
    <w:rsid w:val="004F4C38"/>
    <w:rsid w:val="005014FB"/>
    <w:rsid w:val="00501F6E"/>
    <w:rsid w:val="00526BFF"/>
    <w:rsid w:val="00530874"/>
    <w:rsid w:val="0053605F"/>
    <w:rsid w:val="0053704D"/>
    <w:rsid w:val="0053713C"/>
    <w:rsid w:val="005406AC"/>
    <w:rsid w:val="00552CC1"/>
    <w:rsid w:val="00574935"/>
    <w:rsid w:val="005905C4"/>
    <w:rsid w:val="0059345B"/>
    <w:rsid w:val="005A053E"/>
    <w:rsid w:val="005A4C4A"/>
    <w:rsid w:val="005B230F"/>
    <w:rsid w:val="005B2357"/>
    <w:rsid w:val="005B2E72"/>
    <w:rsid w:val="005B5981"/>
    <w:rsid w:val="005C3173"/>
    <w:rsid w:val="005D03B3"/>
    <w:rsid w:val="005D1BC0"/>
    <w:rsid w:val="005D2FC9"/>
    <w:rsid w:val="005E02CC"/>
    <w:rsid w:val="005E6E01"/>
    <w:rsid w:val="005F63FC"/>
    <w:rsid w:val="00625483"/>
    <w:rsid w:val="00626053"/>
    <w:rsid w:val="00661177"/>
    <w:rsid w:val="00662C76"/>
    <w:rsid w:val="00684669"/>
    <w:rsid w:val="00690389"/>
    <w:rsid w:val="00694A3E"/>
    <w:rsid w:val="006A547E"/>
    <w:rsid w:val="006B23C4"/>
    <w:rsid w:val="006C1ECC"/>
    <w:rsid w:val="006D0178"/>
    <w:rsid w:val="006D0192"/>
    <w:rsid w:val="006D37AD"/>
    <w:rsid w:val="006F2235"/>
    <w:rsid w:val="00701324"/>
    <w:rsid w:val="007015CC"/>
    <w:rsid w:val="00710CEA"/>
    <w:rsid w:val="00724C57"/>
    <w:rsid w:val="00736BD1"/>
    <w:rsid w:val="0076798A"/>
    <w:rsid w:val="0077757A"/>
    <w:rsid w:val="0078350E"/>
    <w:rsid w:val="00795FF3"/>
    <w:rsid w:val="007A2366"/>
    <w:rsid w:val="007A50BB"/>
    <w:rsid w:val="007C5938"/>
    <w:rsid w:val="007D058F"/>
    <w:rsid w:val="008128C8"/>
    <w:rsid w:val="00816A52"/>
    <w:rsid w:val="00841DD2"/>
    <w:rsid w:val="00853698"/>
    <w:rsid w:val="008571C2"/>
    <w:rsid w:val="008602F6"/>
    <w:rsid w:val="0087281A"/>
    <w:rsid w:val="0089069A"/>
    <w:rsid w:val="00895904"/>
    <w:rsid w:val="008A38DA"/>
    <w:rsid w:val="008C297C"/>
    <w:rsid w:val="008D6589"/>
    <w:rsid w:val="008D68D2"/>
    <w:rsid w:val="008E01FA"/>
    <w:rsid w:val="008E3110"/>
    <w:rsid w:val="008E3E42"/>
    <w:rsid w:val="008E6A29"/>
    <w:rsid w:val="00901835"/>
    <w:rsid w:val="0091641F"/>
    <w:rsid w:val="0092039E"/>
    <w:rsid w:val="009321BF"/>
    <w:rsid w:val="00934211"/>
    <w:rsid w:val="00944011"/>
    <w:rsid w:val="009659A4"/>
    <w:rsid w:val="009663B9"/>
    <w:rsid w:val="00971431"/>
    <w:rsid w:val="0097783C"/>
    <w:rsid w:val="00986D84"/>
    <w:rsid w:val="00987070"/>
    <w:rsid w:val="009A48ED"/>
    <w:rsid w:val="009A59AB"/>
    <w:rsid w:val="009C57EC"/>
    <w:rsid w:val="009C70CF"/>
    <w:rsid w:val="009D6059"/>
    <w:rsid w:val="009F0729"/>
    <w:rsid w:val="009F3A21"/>
    <w:rsid w:val="009F6272"/>
    <w:rsid w:val="009F7F23"/>
    <w:rsid w:val="00A31AF5"/>
    <w:rsid w:val="00A32480"/>
    <w:rsid w:val="00A45EF9"/>
    <w:rsid w:val="00A86656"/>
    <w:rsid w:val="00A9093D"/>
    <w:rsid w:val="00AA3952"/>
    <w:rsid w:val="00AA3A30"/>
    <w:rsid w:val="00AB19B4"/>
    <w:rsid w:val="00AB1EAE"/>
    <w:rsid w:val="00AB2BA3"/>
    <w:rsid w:val="00AC2CEB"/>
    <w:rsid w:val="00AC4EBD"/>
    <w:rsid w:val="00AC5816"/>
    <w:rsid w:val="00AC7419"/>
    <w:rsid w:val="00AD724A"/>
    <w:rsid w:val="00AE0FDB"/>
    <w:rsid w:val="00AE2EF3"/>
    <w:rsid w:val="00B279D5"/>
    <w:rsid w:val="00B45093"/>
    <w:rsid w:val="00B549BD"/>
    <w:rsid w:val="00B55BAD"/>
    <w:rsid w:val="00B817B5"/>
    <w:rsid w:val="00B92294"/>
    <w:rsid w:val="00BA33E2"/>
    <w:rsid w:val="00BD36AD"/>
    <w:rsid w:val="00BE02DA"/>
    <w:rsid w:val="00BE1591"/>
    <w:rsid w:val="00BF46E2"/>
    <w:rsid w:val="00BF50FC"/>
    <w:rsid w:val="00BF7923"/>
    <w:rsid w:val="00C00A03"/>
    <w:rsid w:val="00C00FD3"/>
    <w:rsid w:val="00C222AF"/>
    <w:rsid w:val="00C4270C"/>
    <w:rsid w:val="00C72132"/>
    <w:rsid w:val="00C74B66"/>
    <w:rsid w:val="00C830E6"/>
    <w:rsid w:val="00C9143F"/>
    <w:rsid w:val="00C920BD"/>
    <w:rsid w:val="00CA13EC"/>
    <w:rsid w:val="00CA7088"/>
    <w:rsid w:val="00CA7A29"/>
    <w:rsid w:val="00CB5DAC"/>
    <w:rsid w:val="00CB6CBE"/>
    <w:rsid w:val="00CD6156"/>
    <w:rsid w:val="00D019D5"/>
    <w:rsid w:val="00D23BEB"/>
    <w:rsid w:val="00D32A7E"/>
    <w:rsid w:val="00D3335A"/>
    <w:rsid w:val="00D442EC"/>
    <w:rsid w:val="00D502E8"/>
    <w:rsid w:val="00D516E4"/>
    <w:rsid w:val="00D600A7"/>
    <w:rsid w:val="00D61375"/>
    <w:rsid w:val="00D6567E"/>
    <w:rsid w:val="00D67D30"/>
    <w:rsid w:val="00D73ADD"/>
    <w:rsid w:val="00DA2017"/>
    <w:rsid w:val="00DA3F69"/>
    <w:rsid w:val="00DA62D2"/>
    <w:rsid w:val="00DA6686"/>
    <w:rsid w:val="00DB6F18"/>
    <w:rsid w:val="00DD6904"/>
    <w:rsid w:val="00DE1B26"/>
    <w:rsid w:val="00DF17FC"/>
    <w:rsid w:val="00DF3152"/>
    <w:rsid w:val="00E15081"/>
    <w:rsid w:val="00E155C1"/>
    <w:rsid w:val="00E42542"/>
    <w:rsid w:val="00E50979"/>
    <w:rsid w:val="00E5585A"/>
    <w:rsid w:val="00EA250A"/>
    <w:rsid w:val="00EC0682"/>
    <w:rsid w:val="00ED488F"/>
    <w:rsid w:val="00EE2520"/>
    <w:rsid w:val="00F050A4"/>
    <w:rsid w:val="00F10770"/>
    <w:rsid w:val="00F34A8C"/>
    <w:rsid w:val="00F34EC1"/>
    <w:rsid w:val="00F473C8"/>
    <w:rsid w:val="00F55221"/>
    <w:rsid w:val="00F569E0"/>
    <w:rsid w:val="00F66C59"/>
    <w:rsid w:val="00F711FA"/>
    <w:rsid w:val="00F84630"/>
    <w:rsid w:val="00F85EB2"/>
    <w:rsid w:val="00F86185"/>
    <w:rsid w:val="00F94172"/>
    <w:rsid w:val="00FA005F"/>
    <w:rsid w:val="00FB5AEA"/>
    <w:rsid w:val="00FC3994"/>
    <w:rsid w:val="00FD208E"/>
    <w:rsid w:val="00FE2671"/>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16713"/>
  <w15:chartTrackingRefBased/>
  <w15:docId w15:val="{65F23E70-6932-4D61-908F-998F580C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customStyle="1" w:styleId="GridTable21">
    <w:name w:val="Grid Table 21"/>
    <w:basedOn w:val="Normal"/>
    <w:next w:val="Normal"/>
    <w:uiPriority w:val="37"/>
    <w:semiHidden/>
    <w:unhideWhenUsed/>
    <w:rsid w:val="007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70131">
      <w:bodyDiv w:val="1"/>
      <w:marLeft w:val="0"/>
      <w:marRight w:val="0"/>
      <w:marTop w:val="0"/>
      <w:marBottom w:val="0"/>
      <w:divBdr>
        <w:top w:val="none" w:sz="0" w:space="0" w:color="auto"/>
        <w:left w:val="none" w:sz="0" w:space="0" w:color="auto"/>
        <w:bottom w:val="none" w:sz="0" w:space="0" w:color="auto"/>
        <w:right w:val="none" w:sz="0" w:space="0" w:color="auto"/>
      </w:divBdr>
    </w:div>
    <w:div w:id="21142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pmc/articles/PMC37912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2849</CharactersWithSpaces>
  <SharedDoc>false</SharedDoc>
  <HLinks>
    <vt:vector size="6" baseType="variant">
      <vt:variant>
        <vt:i4>393221</vt:i4>
      </vt:variant>
      <vt:variant>
        <vt:i4>0</vt:i4>
      </vt:variant>
      <vt:variant>
        <vt:i4>0</vt:i4>
      </vt:variant>
      <vt:variant>
        <vt:i4>5</vt:i4>
      </vt:variant>
      <vt:variant>
        <vt:lpwstr>http://www.ncbi.nlm.nih.gov/pmc/articles/PMC3791261/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cp:lastModifiedBy>Derveloy, Brianne B</cp:lastModifiedBy>
  <cp:revision>3</cp:revision>
  <cp:lastPrinted>2008-11-03T19:46:00Z</cp:lastPrinted>
  <dcterms:created xsi:type="dcterms:W3CDTF">2015-10-16T19:12:00Z</dcterms:created>
  <dcterms:modified xsi:type="dcterms:W3CDTF">2015-10-16T21:31:00Z</dcterms:modified>
</cp:coreProperties>
</file>