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F97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17970ACB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p w14:paraId="3897BA4A" w14:textId="2CB1C6D2" w:rsidR="008779AD" w:rsidRPr="0052285F" w:rsidRDefault="0052285F" w:rsidP="000225D2">
      <w:pPr>
        <w:tabs>
          <w:tab w:val="right" w:leader="underscore" w:pos="8640"/>
        </w:tabs>
        <w:spacing w:line="360" w:lineRule="auto"/>
        <w:jc w:val="center"/>
      </w:pPr>
      <w:bookmarkStart w:id="0" w:name="_GoBack"/>
      <w:r w:rsidRPr="0052285F">
        <w:rPr>
          <w:rFonts w:ascii="Cambria" w:hAnsi="Cambria"/>
          <w:sz w:val="22"/>
          <w:szCs w:val="22"/>
        </w:rPr>
        <w:t xml:space="preserve">This is project is part of the Phenotyping Workgroup’s list of Network phenotypes and the algorithm(s) is expected to be implementation-ready by </w:t>
      </w:r>
      <w:r w:rsidRPr="0052285F">
        <w:rPr>
          <w:rFonts w:ascii="Cambria" w:hAnsi="Cambria"/>
          <w:sz w:val="22"/>
          <w:szCs w:val="22"/>
        </w:rPr>
        <w:t>06/2016</w:t>
      </w:r>
      <w:r w:rsidRPr="0052285F">
        <w:rPr>
          <w:rFonts w:ascii="Cambria" w:hAnsi="Cambr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E337BB" w:rsidRPr="005F7C97" w14:paraId="5E19E6C4" w14:textId="77777777" w:rsidTr="00E337BB">
        <w:tc>
          <w:tcPr>
            <w:tcW w:w="2808" w:type="dxa"/>
            <w:vAlign w:val="center"/>
          </w:tcPr>
          <w:bookmarkEnd w:id="0"/>
          <w:p w14:paraId="1885BDB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14:paraId="5DCB5F75" w14:textId="3AA3CA61" w:rsidR="000225D2" w:rsidRPr="005F7C97" w:rsidRDefault="008779AD" w:rsidP="00574935">
            <w:r>
              <w:t>1/21</w:t>
            </w:r>
            <w:r w:rsidR="00123207">
              <w:t>/2016</w:t>
            </w:r>
          </w:p>
        </w:tc>
      </w:tr>
      <w:tr w:rsidR="00E337BB" w:rsidRPr="005F7C97" w14:paraId="73AEEF8D" w14:textId="77777777" w:rsidTr="00E337BB">
        <w:trPr>
          <w:trHeight w:val="720"/>
        </w:trPr>
        <w:tc>
          <w:tcPr>
            <w:tcW w:w="2808" w:type="dxa"/>
            <w:vAlign w:val="center"/>
          </w:tcPr>
          <w:p w14:paraId="22B6D02F" w14:textId="75C78328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  <w:r w:rsidR="001B1C1D">
              <w:rPr>
                <w:b/>
              </w:rPr>
              <w:t>4</w:t>
            </w:r>
          </w:p>
        </w:tc>
        <w:tc>
          <w:tcPr>
            <w:tcW w:w="6750" w:type="dxa"/>
          </w:tcPr>
          <w:p w14:paraId="68311AB2" w14:textId="77777777" w:rsid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A0551" w14:textId="65AADAE5" w:rsidR="000225D2" w:rsidRDefault="006A2ACC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Combined GWAS-PheWAS Approach to Serologic Marke</w:t>
            </w:r>
            <w:r w:rsidR="00CE2F7D">
              <w:rPr>
                <w:rFonts w:ascii="Arial" w:hAnsi="Arial" w:cs="Arial"/>
                <w:b/>
                <w:sz w:val="20"/>
                <w:szCs w:val="20"/>
              </w:rPr>
              <w:t>rs of Autoimmunity</w:t>
            </w:r>
            <w:r w:rsidR="00043A8A">
              <w:rPr>
                <w:rFonts w:ascii="Arial" w:hAnsi="Arial" w:cs="Arial"/>
                <w:b/>
                <w:sz w:val="20"/>
                <w:szCs w:val="20"/>
              </w:rPr>
              <w:t xml:space="preserve"> &amp; Inflammation</w:t>
            </w:r>
          </w:p>
          <w:p w14:paraId="4E0D6A2C" w14:textId="1EE22543" w:rsidR="00961709" w:rsidRP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7BB" w:rsidRPr="005F7C97" w14:paraId="1699B8D2" w14:textId="77777777" w:rsidTr="00E337BB">
        <w:tc>
          <w:tcPr>
            <w:tcW w:w="2808" w:type="dxa"/>
            <w:vAlign w:val="center"/>
          </w:tcPr>
          <w:p w14:paraId="1928DEB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14:paraId="4D0AC86C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2DB08" w14:textId="04EB2BAF" w:rsidR="000225D2" w:rsidRPr="00171D96" w:rsidRDefault="00381F0F" w:rsidP="007D4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 Mladkova</w:t>
            </w:r>
          </w:p>
        </w:tc>
      </w:tr>
      <w:tr w:rsidR="00E337BB" w:rsidRPr="005F7C97" w14:paraId="1AF10D02" w14:textId="77777777" w:rsidTr="00E337BB">
        <w:trPr>
          <w:trHeight w:val="467"/>
        </w:trPr>
        <w:tc>
          <w:tcPr>
            <w:tcW w:w="2808" w:type="dxa"/>
            <w:vAlign w:val="center"/>
          </w:tcPr>
          <w:p w14:paraId="22540DE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750" w:type="dxa"/>
          </w:tcPr>
          <w:p w14:paraId="31B7A277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566B" w14:textId="57B59F94" w:rsidR="000225D2" w:rsidRPr="00171D96" w:rsidRDefault="003171C7" w:rsidP="00B468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Kiryluk</w:t>
            </w:r>
            <w:r w:rsidR="00954591">
              <w:rPr>
                <w:rFonts w:ascii="Arial" w:hAnsi="Arial" w:cs="Arial"/>
                <w:sz w:val="20"/>
                <w:szCs w:val="20"/>
              </w:rPr>
              <w:t>, Ali Gharavi</w:t>
            </w:r>
          </w:p>
        </w:tc>
      </w:tr>
      <w:tr w:rsidR="00E337BB" w:rsidRPr="005F7C97" w14:paraId="55DBFB3D" w14:textId="77777777" w:rsidTr="00E337BB">
        <w:tc>
          <w:tcPr>
            <w:tcW w:w="2808" w:type="dxa"/>
            <w:vAlign w:val="center"/>
          </w:tcPr>
          <w:p w14:paraId="2C8CB9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14:paraId="6CE070CA" w14:textId="77777777" w:rsidR="00961709" w:rsidRDefault="0096170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A197F" w14:textId="62E033EC" w:rsidR="00737C48" w:rsidRPr="00C34ED4" w:rsidRDefault="00737C48" w:rsidP="0073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George Hripcsak, Chunhua Weng, Ning (Sunny) Shang, </w:t>
            </w:r>
            <w:r w:rsidR="00221ACE">
              <w:rPr>
                <w:rFonts w:ascii="Arial" w:hAnsi="Arial" w:cs="Arial"/>
                <w:sz w:val="20"/>
                <w:szCs w:val="20"/>
              </w:rPr>
              <w:t xml:space="preserve">Yufeng Shen, </w:t>
            </w:r>
            <w:r>
              <w:rPr>
                <w:rFonts w:ascii="Arial" w:hAnsi="Arial" w:cs="Arial"/>
                <w:sz w:val="20"/>
                <w:szCs w:val="20"/>
              </w:rPr>
              <w:t xml:space="preserve">Jun Zhang, </w:t>
            </w:r>
            <w:r w:rsidR="002A5A0B">
              <w:rPr>
                <w:rFonts w:ascii="Arial" w:hAnsi="Arial" w:cs="Arial"/>
                <w:sz w:val="20"/>
                <w:szCs w:val="20"/>
              </w:rPr>
              <w:t xml:space="preserve">Lynn Petukhova, Mitch Elkind,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others and </w:t>
            </w:r>
            <w:r w:rsidRPr="00091D92">
              <w:rPr>
                <w:rFonts w:ascii="Arial" w:hAnsi="Arial" w:cs="Arial"/>
                <w:sz w:val="20"/>
                <w:szCs w:val="20"/>
              </w:rPr>
              <w:t xml:space="preserve">“The eMERGE Network”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plus </w:t>
            </w:r>
            <w:r w:rsidRP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additional </w:t>
            </w:r>
            <w:r w:rsidRPr="00091D92">
              <w:rPr>
                <w:rFonts w:ascii="Arial" w:hAnsi="Arial" w:cs="Arial"/>
                <w:b/>
                <w:i/>
                <w:sz w:val="20"/>
                <w:szCs w:val="20"/>
              </w:rPr>
              <w:t>eMERGE authors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91D92">
              <w:rPr>
                <w:rFonts w:ascii="Arial" w:hAnsi="Arial" w:cs="Arial"/>
                <w:b/>
                <w:i/>
                <w:sz w:val="20"/>
                <w:szCs w:val="20"/>
              </w:rPr>
              <w:t>interested in participating</w:t>
            </w:r>
          </w:p>
          <w:p w14:paraId="590CA9D3" w14:textId="20331720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352591CC" w14:textId="77777777" w:rsidTr="00E337BB">
        <w:trPr>
          <w:trHeight w:val="512"/>
        </w:trPr>
        <w:tc>
          <w:tcPr>
            <w:tcW w:w="2808" w:type="dxa"/>
            <w:vAlign w:val="center"/>
          </w:tcPr>
          <w:p w14:paraId="7342291A" w14:textId="59714978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14:paraId="181D9446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6D06" w14:textId="7362B839" w:rsidR="005406AC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propose a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 w:rsidR="006B6F47">
              <w:rPr>
                <w:rFonts w:ascii="Arial" w:hAnsi="Arial" w:cs="Arial"/>
                <w:sz w:val="20"/>
                <w:szCs w:val="20"/>
              </w:rPr>
              <w:t>. The analyses will be le</w:t>
            </w:r>
            <w:r>
              <w:rPr>
                <w:rFonts w:ascii="Arial" w:hAnsi="Arial" w:cs="Arial"/>
                <w:sz w:val="20"/>
                <w:szCs w:val="20"/>
              </w:rPr>
              <w:t>d by Columbia University.</w:t>
            </w:r>
          </w:p>
          <w:p w14:paraId="5CB55FB5" w14:textId="1708602A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1FE413F4" w14:textId="77777777" w:rsidTr="00AB5688">
        <w:trPr>
          <w:trHeight w:val="350"/>
        </w:trPr>
        <w:tc>
          <w:tcPr>
            <w:tcW w:w="2808" w:type="dxa"/>
            <w:vAlign w:val="center"/>
          </w:tcPr>
          <w:p w14:paraId="7D57204A" w14:textId="4EFC4623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14:paraId="794C8FDE" w14:textId="77777777" w:rsidR="00737C48" w:rsidRDefault="00737C48" w:rsidP="00CF0F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56F330" w14:textId="5685EE74" w:rsidR="00250C67" w:rsidRPr="00250C67" w:rsidRDefault="00AF2F62" w:rsidP="00250C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 xml:space="preserve">any chronic inflammatory and destructive diseases are autoimmune, including rheumatoid arthritis, Graves' disease, Hashimoto's thyroiditis,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 xml:space="preserve"> Sjogren's syndrome, which each affect about 1% of the world's population. In addition, autoimmune diseases also comprise less-common 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>conditions,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 xml:space="preserve"> such as sy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stemic lupus erythematosus (SLE), 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>multiple sclerosis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(MS)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inflammatory bowel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 xml:space="preserve"> disease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(IBD)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autoimmune hepatitis (AH), 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>primary biliary cirrhosis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(PBC)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>, ankylosing spondylitis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(AS), and various types of </w:t>
            </w:r>
            <w:r w:rsidR="00343FD4">
              <w:rPr>
                <w:rFonts w:ascii="Arial" w:hAnsi="Arial" w:cs="Arial"/>
                <w:color w:val="000000"/>
                <w:sz w:val="20"/>
                <w:szCs w:val="20"/>
              </w:rPr>
              <w:t>glomerulonephritis (GN)</w:t>
            </w:r>
            <w:r w:rsidRPr="00AF2F62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GWAS approach has been incredibly successful for a numb</w:t>
            </w:r>
            <w:r w:rsidR="00250C67">
              <w:rPr>
                <w:rFonts w:ascii="Arial" w:hAnsi="Arial" w:cs="Arial"/>
                <w:color w:val="000000"/>
                <w:sz w:val="20"/>
                <w:szCs w:val="20"/>
              </w:rPr>
              <w:t xml:space="preserve">er of autoimmune phenotypes,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shed new light on the shared pathogenic mechanisms across the 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 xml:space="preserve">entire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spectrum of autoimmune dis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>orders</w:t>
            </w:r>
            <w:r w:rsidR="00250C67">
              <w:rPr>
                <w:rFonts w:ascii="Arial" w:hAnsi="Arial" w:cs="Arial"/>
                <w:color w:val="000000"/>
                <w:sz w:val="20"/>
                <w:szCs w:val="20"/>
              </w:rPr>
              <w:t>, and identified</w:t>
            </w:r>
            <w:r w:rsidR="00250C67" w:rsidRPr="00250C67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striking overlap of </w:t>
            </w:r>
            <w:r w:rsidR="00250C67">
              <w:rPr>
                <w:rFonts w:ascii="Arial" w:hAnsi="Arial" w:cs="Arial"/>
                <w:color w:val="000000"/>
                <w:sz w:val="20"/>
                <w:szCs w:val="20"/>
              </w:rPr>
              <w:t>genetic loci between autoimmune and</w:t>
            </w:r>
            <w:r w:rsidR="00250C67" w:rsidRPr="00250C67">
              <w:rPr>
                <w:rFonts w:ascii="Arial" w:hAnsi="Arial" w:cs="Arial"/>
                <w:color w:val="000000"/>
                <w:sz w:val="20"/>
                <w:szCs w:val="20"/>
              </w:rPr>
              <w:t xml:space="preserve"> chronic inflammatory diseases.</w:t>
            </w:r>
          </w:p>
          <w:p w14:paraId="52BD0919" w14:textId="77777777" w:rsidR="00AF2F62" w:rsidRDefault="00AF2F62" w:rsidP="00CF0F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6902FB" w14:textId="380FF81F" w:rsidR="00D87FD8" w:rsidRDefault="00D87FD8" w:rsidP="00CF0F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Serologic markers of autoimmunity and inflammation, such as ANA titers, ANCA (PR3 and MPO) titers, complement (C3/C4) levels, and quantitative immunoglobulin levels</w:t>
            </w:r>
            <w:r w:rsidR="00343FD4">
              <w:rPr>
                <w:rFonts w:ascii="Arial" w:hAnsi="Arial" w:cs="Arial"/>
                <w:color w:val="000000"/>
                <w:sz w:val="20"/>
                <w:szCs w:val="20"/>
              </w:rPr>
              <w:t xml:space="preserve"> (IgG, IgA, IgM)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are measure</w:t>
            </w:r>
            <w:r w:rsidR="00004EA6">
              <w:rPr>
                <w:rFonts w:ascii="Arial" w:hAnsi="Arial" w:cs="Arial"/>
                <w:color w:val="000000"/>
                <w:sz w:val="20"/>
                <w:szCs w:val="20"/>
              </w:rPr>
              <w:t xml:space="preserve">d routinely in the 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 xml:space="preserve">clinical </w:t>
            </w:r>
            <w:r w:rsidR="00004EA6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evaluation for a variety of inflammatory and immune-mediated diseases, including </w:t>
            </w:r>
            <w:r w:rsidR="00AF2F62">
              <w:rPr>
                <w:rFonts w:ascii="Arial" w:hAnsi="Arial" w:cs="Arial"/>
                <w:color w:val="000000"/>
                <w:sz w:val="20"/>
                <w:szCs w:val="20"/>
              </w:rPr>
              <w:t>SLE</w:t>
            </w:r>
            <w:r w:rsidR="00004EA6">
              <w:rPr>
                <w:rFonts w:ascii="Arial" w:hAnsi="Arial" w:cs="Arial"/>
                <w:color w:val="000000"/>
                <w:sz w:val="20"/>
                <w:szCs w:val="20"/>
              </w:rPr>
              <w:t>, glomerulonephritis (GN) or different types of systemic vasculitis (SV)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AF2F62">
              <w:rPr>
                <w:rFonts w:ascii="Arial" w:hAnsi="Arial" w:cs="Arial"/>
                <w:color w:val="000000"/>
                <w:sz w:val="20"/>
                <w:szCs w:val="20"/>
              </w:rPr>
              <w:t>Moreover,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substantial fraction of healthy individuals may also have elevated titers of some of these markers (e.g. </w:t>
            </w:r>
            <w:r w:rsidR="00343FD4">
              <w:rPr>
                <w:rFonts w:ascii="Arial" w:hAnsi="Arial" w:cs="Arial"/>
                <w:color w:val="000000"/>
                <w:sz w:val="20"/>
                <w:szCs w:val="20"/>
              </w:rPr>
              <w:t>ANA) and</w:t>
            </w:r>
            <w:r w:rsidR="00004EA6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genetic regulation of these important 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  <w:r w:rsidR="00004EA6">
              <w:rPr>
                <w:rFonts w:ascii="Arial" w:hAnsi="Arial" w:cs="Arial"/>
                <w:color w:val="000000"/>
                <w:sz w:val="20"/>
                <w:szCs w:val="20"/>
              </w:rPr>
              <w:t>markers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4EA6">
              <w:rPr>
                <w:rFonts w:ascii="Arial" w:hAnsi="Arial" w:cs="Arial"/>
                <w:color w:val="000000"/>
                <w:sz w:val="20"/>
                <w:szCs w:val="20"/>
              </w:rPr>
              <w:t>is largely unknown.</w:t>
            </w:r>
          </w:p>
          <w:p w14:paraId="3D64E1CD" w14:textId="77777777" w:rsidR="00004EA6" w:rsidRDefault="00004EA6" w:rsidP="00CF0F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7EA747" w14:textId="443D41EF" w:rsidR="00737C48" w:rsidRPr="00171D96" w:rsidRDefault="00004EA6" w:rsidP="006400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Here, we propose to use the serologic markers of autoimmunity and inflammation derived from EHR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large number of </w:t>
            </w:r>
            <w:r w:rsidR="00AB5688">
              <w:rPr>
                <w:rFonts w:ascii="Arial" w:hAnsi="Arial" w:cs="Arial"/>
                <w:color w:val="000000"/>
                <w:sz w:val="20"/>
                <w:szCs w:val="20"/>
              </w:rPr>
              <w:t xml:space="preserve">genotyped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EMERGE participants to discover novel disease susceptibility loci. To accomplish this, we propose a stepwise GWAS-PheWAS approach that </w:t>
            </w:r>
            <w:r w:rsidR="00737C48">
              <w:rPr>
                <w:rFonts w:ascii="Arial" w:hAnsi="Arial" w:cs="Arial"/>
                <w:sz w:val="20"/>
                <w:szCs w:val="20"/>
              </w:rPr>
              <w:t xml:space="preserve">combines GWAS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quantitative endophenotypes (autoimmunity markers) </w:t>
            </w:r>
            <w:r w:rsidR="00737C48">
              <w:rPr>
                <w:rFonts w:ascii="Arial" w:hAnsi="Arial" w:cs="Arial"/>
                <w:sz w:val="20"/>
                <w:szCs w:val="20"/>
              </w:rPr>
              <w:t xml:space="preserve">with follow-up </w:t>
            </w:r>
            <w:r>
              <w:rPr>
                <w:rFonts w:ascii="Arial" w:hAnsi="Arial" w:cs="Arial"/>
                <w:sz w:val="20"/>
                <w:szCs w:val="20"/>
              </w:rPr>
              <w:t xml:space="preserve">PheWAS to define </w:t>
            </w:r>
            <w:r w:rsidR="00AB5688">
              <w:rPr>
                <w:rFonts w:ascii="Arial" w:hAnsi="Arial" w:cs="Arial"/>
                <w:sz w:val="20"/>
                <w:szCs w:val="20"/>
              </w:rPr>
              <w:t xml:space="preserve">pleiotropic </w:t>
            </w:r>
            <w:r>
              <w:rPr>
                <w:rFonts w:ascii="Arial" w:hAnsi="Arial" w:cs="Arial"/>
                <w:sz w:val="20"/>
                <w:szCs w:val="20"/>
              </w:rPr>
              <w:t>disease associ</w:t>
            </w:r>
            <w:r w:rsidR="00AB5688">
              <w:rPr>
                <w:rFonts w:ascii="Arial" w:hAnsi="Arial" w:cs="Arial"/>
                <w:sz w:val="20"/>
                <w:szCs w:val="20"/>
              </w:rPr>
              <w:t>ations. We hope that this approach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688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offer</w:t>
            </w:r>
            <w:r w:rsidR="00AB5688">
              <w:rPr>
                <w:rFonts w:ascii="Arial" w:hAnsi="Arial" w:cs="Arial"/>
                <w:sz w:val="20"/>
                <w:szCs w:val="20"/>
              </w:rPr>
              <w:t xml:space="preserve"> a powerful new </w:t>
            </w:r>
            <w:r>
              <w:rPr>
                <w:rFonts w:ascii="Arial" w:hAnsi="Arial" w:cs="Arial"/>
                <w:sz w:val="20"/>
                <w:szCs w:val="20"/>
              </w:rPr>
              <w:t xml:space="preserve">method for detection of novel </w:t>
            </w:r>
            <w:r w:rsidR="00AB5688">
              <w:rPr>
                <w:rFonts w:ascii="Arial" w:hAnsi="Arial" w:cs="Arial"/>
                <w:sz w:val="20"/>
                <w:szCs w:val="20"/>
              </w:rPr>
              <w:t xml:space="preserve">susceptibility loci that are shared across the </w:t>
            </w:r>
            <w:r w:rsidR="00CF1791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AB5688">
              <w:rPr>
                <w:rFonts w:ascii="Arial" w:hAnsi="Arial" w:cs="Arial"/>
                <w:sz w:val="20"/>
                <w:szCs w:val="20"/>
              </w:rPr>
              <w:t xml:space="preserve">spectrum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autoimmune and </w:t>
            </w:r>
            <w:r w:rsidR="00737C48">
              <w:rPr>
                <w:rFonts w:ascii="Arial" w:hAnsi="Arial" w:cs="Arial"/>
                <w:sz w:val="20"/>
                <w:szCs w:val="20"/>
              </w:rPr>
              <w:t>inflammatory disease</w:t>
            </w:r>
            <w:r w:rsidR="00AB5688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E337BB" w:rsidRPr="005F7C97" w14:paraId="3CA01ECD" w14:textId="77777777" w:rsidTr="00E337BB">
        <w:trPr>
          <w:trHeight w:val="350"/>
        </w:trPr>
        <w:tc>
          <w:tcPr>
            <w:tcW w:w="2808" w:type="dxa"/>
            <w:vAlign w:val="center"/>
          </w:tcPr>
          <w:p w14:paraId="0BDE4439" w14:textId="62374738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Outline of Project</w:t>
            </w:r>
          </w:p>
        </w:tc>
        <w:tc>
          <w:tcPr>
            <w:tcW w:w="6750" w:type="dxa"/>
          </w:tcPr>
          <w:p w14:paraId="79DBE2E7" w14:textId="77777777" w:rsidR="00A0773B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ED99" w14:textId="16DD6BF0" w:rsidR="000225D2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project will be conducted in several stages:</w:t>
            </w:r>
          </w:p>
          <w:p w14:paraId="1BD0B694" w14:textId="064E51D1" w:rsidR="00A0773B" w:rsidRPr="00A0773B" w:rsidRDefault="00A0773B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0773B">
              <w:rPr>
                <w:rFonts w:ascii="Arial" w:hAnsi="Arial" w:cs="Arial"/>
                <w:sz w:val="20"/>
                <w:szCs w:val="20"/>
              </w:rPr>
              <w:t xml:space="preserve">Building Columbia EMERGE </w:t>
            </w:r>
            <w:r w:rsidR="00E27491">
              <w:rPr>
                <w:rFonts w:ascii="Arial" w:hAnsi="Arial" w:cs="Arial"/>
                <w:sz w:val="20"/>
                <w:szCs w:val="20"/>
              </w:rPr>
              <w:t>autoimmunity and inflammation</w:t>
            </w:r>
            <w:r w:rsidRPr="00A0773B">
              <w:rPr>
                <w:rFonts w:ascii="Arial" w:hAnsi="Arial" w:cs="Arial"/>
                <w:sz w:val="20"/>
                <w:szCs w:val="20"/>
              </w:rPr>
              <w:t xml:space="preserve"> phenotypes and sub-phenotypes</w:t>
            </w:r>
            <w:r w:rsidR="002F585F">
              <w:rPr>
                <w:rFonts w:ascii="Arial" w:hAnsi="Arial" w:cs="Arial"/>
                <w:sz w:val="20"/>
                <w:szCs w:val="20"/>
              </w:rPr>
              <w:t xml:space="preserve"> (also included as Columbia EMERGE III subphenotypes)</w:t>
            </w:r>
          </w:p>
          <w:p w14:paraId="55DF36C6" w14:textId="6ECE3514" w:rsidR="00A0773B" w:rsidRDefault="00A0773B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phenotype algorithms for all individuals with available GWAS datasets network-wide</w:t>
            </w:r>
          </w:p>
          <w:p w14:paraId="4D87EB10" w14:textId="2F53035F" w:rsidR="00A0773B" w:rsidRDefault="00A0773B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Phenotype quality control analyses</w:t>
            </w:r>
          </w:p>
          <w:p w14:paraId="675BD3CA" w14:textId="77D74303" w:rsidR="00A0773B" w:rsidRDefault="00A0773B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Genome-wide association analyses</w:t>
            </w:r>
          </w:p>
          <w:p w14:paraId="0A5D5371" w14:textId="2555CE46" w:rsidR="00A0773B" w:rsidRDefault="00EB0E6C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PheWAS to discover pleiotropic associations for significant loci</w:t>
            </w:r>
          </w:p>
          <w:p w14:paraId="039CBEDE" w14:textId="77777777" w:rsidR="00123207" w:rsidRDefault="00A0773B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</w:p>
          <w:p w14:paraId="68EBE43E" w14:textId="0E596752" w:rsidR="00A0773B" w:rsidRPr="00A0773B" w:rsidRDefault="00A0773B" w:rsidP="00A077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227265C1" w14:textId="77777777" w:rsidTr="00A2505B">
        <w:trPr>
          <w:trHeight w:val="2222"/>
        </w:trPr>
        <w:tc>
          <w:tcPr>
            <w:tcW w:w="2808" w:type="dxa"/>
            <w:vAlign w:val="center"/>
          </w:tcPr>
          <w:p w14:paraId="65CA771C" w14:textId="6F53B351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234868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2BE9757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14:paraId="4782A40A" w14:textId="77777777" w:rsidR="00A0773B" w:rsidRDefault="00A0773B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62E36" w14:textId="33C94E0C" w:rsidR="00123207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standardized Columbia EMERGE phenotypes related to </w:t>
            </w:r>
            <w:r w:rsidR="00332A4A">
              <w:rPr>
                <w:rFonts w:ascii="Arial" w:hAnsi="Arial" w:cs="Arial"/>
                <w:sz w:val="20"/>
                <w:szCs w:val="20"/>
              </w:rPr>
              <w:t>autoimmunity and inflammation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across all sites with available GWAS datasets: </w:t>
            </w:r>
          </w:p>
          <w:p w14:paraId="449A568F" w14:textId="0A6BEFD2" w:rsidR="00123207" w:rsidRPr="001D0F86" w:rsidRDefault="00682B9D" w:rsidP="001D0F8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1D0F86">
              <w:rPr>
                <w:rFonts w:ascii="Arial" w:hAnsi="Arial" w:cs="Arial"/>
                <w:sz w:val="20"/>
                <w:szCs w:val="20"/>
              </w:rPr>
              <w:t>ANA serology</w:t>
            </w:r>
            <w:r w:rsidR="00123207" w:rsidRPr="001D0F86">
              <w:rPr>
                <w:rFonts w:ascii="Arial" w:hAnsi="Arial" w:cs="Arial"/>
                <w:sz w:val="20"/>
                <w:szCs w:val="20"/>
              </w:rPr>
              <w:t xml:space="preserve"> sub-phenot</w:t>
            </w:r>
            <w:r w:rsidRPr="001D0F86">
              <w:rPr>
                <w:rFonts w:ascii="Arial" w:hAnsi="Arial" w:cs="Arial"/>
                <w:sz w:val="20"/>
                <w:szCs w:val="20"/>
              </w:rPr>
              <w:t>ype* (quantitative</w:t>
            </w:r>
            <w:r w:rsidR="00123207" w:rsidRPr="001D0F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F64F10" w14:textId="0303A90C" w:rsidR="00CF0FFE" w:rsidRPr="00123207" w:rsidRDefault="00682B9D" w:rsidP="0012320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ANCA</w:t>
            </w:r>
            <w:r w:rsidR="00123207" w:rsidRPr="00123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529">
              <w:rPr>
                <w:rFonts w:ascii="Arial" w:hAnsi="Arial" w:cs="Arial"/>
                <w:sz w:val="20"/>
                <w:szCs w:val="20"/>
              </w:rPr>
              <w:t xml:space="preserve">serology </w:t>
            </w:r>
            <w:r w:rsidR="00123207" w:rsidRPr="00123207">
              <w:rPr>
                <w:rFonts w:ascii="Arial" w:hAnsi="Arial" w:cs="Arial"/>
                <w:sz w:val="20"/>
                <w:szCs w:val="20"/>
              </w:rPr>
              <w:t>sub-phenotype*</w:t>
            </w:r>
            <w:r w:rsidR="00CF0FFE" w:rsidRPr="00123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207" w:rsidRPr="00123207">
              <w:rPr>
                <w:rFonts w:ascii="Arial" w:hAnsi="Arial" w:cs="Arial"/>
                <w:sz w:val="20"/>
                <w:szCs w:val="20"/>
              </w:rPr>
              <w:t>(quantitative)</w:t>
            </w:r>
          </w:p>
          <w:p w14:paraId="01C21384" w14:textId="24262F79" w:rsidR="00123207" w:rsidRPr="00123207" w:rsidRDefault="001D0F86" w:rsidP="0012320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 and C4</w:t>
            </w:r>
            <w:r w:rsidR="00123207" w:rsidRPr="00123207">
              <w:rPr>
                <w:rFonts w:ascii="Arial" w:hAnsi="Arial" w:cs="Arial"/>
                <w:sz w:val="20"/>
                <w:szCs w:val="20"/>
              </w:rPr>
              <w:t xml:space="preserve"> sub-phenotype* (quantitative)</w:t>
            </w:r>
          </w:p>
          <w:p w14:paraId="1EB51A3F" w14:textId="3FED59EF" w:rsidR="00123207" w:rsidRDefault="00B624F2" w:rsidP="0012320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protein, </w:t>
            </w:r>
            <w:r w:rsidR="001D0F86">
              <w:rPr>
                <w:rFonts w:ascii="Arial" w:hAnsi="Arial" w:cs="Arial"/>
                <w:sz w:val="20"/>
                <w:szCs w:val="20"/>
              </w:rPr>
              <w:t>IgA, IgM, and IgG levels sub</w:t>
            </w:r>
            <w:r w:rsidR="00416091">
              <w:rPr>
                <w:rFonts w:ascii="Arial" w:hAnsi="Arial" w:cs="Arial"/>
                <w:sz w:val="20"/>
                <w:szCs w:val="20"/>
              </w:rPr>
              <w:t>-</w:t>
            </w:r>
            <w:r w:rsidR="001D0F86">
              <w:rPr>
                <w:rFonts w:ascii="Arial" w:hAnsi="Arial" w:cs="Arial"/>
                <w:sz w:val="20"/>
                <w:szCs w:val="20"/>
              </w:rPr>
              <w:t>phenotype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32A4A">
              <w:rPr>
                <w:rFonts w:ascii="Arial" w:hAnsi="Arial" w:cs="Arial"/>
                <w:sz w:val="20"/>
                <w:szCs w:val="20"/>
              </w:rPr>
              <w:t>*</w:t>
            </w:r>
            <w:r w:rsidR="001D0F86">
              <w:rPr>
                <w:rFonts w:ascii="Arial" w:hAnsi="Arial" w:cs="Arial"/>
                <w:sz w:val="20"/>
                <w:szCs w:val="20"/>
              </w:rPr>
              <w:t xml:space="preserve"> (quantitative)</w:t>
            </w:r>
          </w:p>
          <w:p w14:paraId="1D7B39B3" w14:textId="5121E4CE" w:rsidR="00470C26" w:rsidRDefault="00470C26" w:rsidP="00470C2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Autoimmunity</w:t>
            </w:r>
            <w:r w:rsidRPr="00123207">
              <w:rPr>
                <w:rFonts w:ascii="Arial" w:hAnsi="Arial" w:cs="Arial"/>
                <w:sz w:val="20"/>
                <w:szCs w:val="20"/>
              </w:rPr>
              <w:t xml:space="preserve"> phenotype</w:t>
            </w:r>
            <w:r w:rsidR="00D70E2F">
              <w:rPr>
                <w:rFonts w:ascii="Arial" w:hAnsi="Arial" w:cs="Arial"/>
                <w:sz w:val="20"/>
                <w:szCs w:val="20"/>
              </w:rPr>
              <w:t xml:space="preserve"> (Columbia EMERGE III)</w:t>
            </w:r>
            <w:r w:rsidRPr="0012320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38D2861" w14:textId="0F9FFE65" w:rsidR="00AE74F2" w:rsidRDefault="00AE74F2" w:rsidP="00AE74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Age, sex, race/ethnicity, </w:t>
            </w:r>
            <w:r w:rsidR="002A5A0B">
              <w:rPr>
                <w:rFonts w:ascii="Arial" w:hAnsi="Arial" w:cs="Arial"/>
                <w:sz w:val="20"/>
                <w:szCs w:val="20"/>
              </w:rPr>
              <w:t xml:space="preserve">albumin, </w:t>
            </w:r>
            <w:r>
              <w:rPr>
                <w:rFonts w:ascii="Arial" w:hAnsi="Arial" w:cs="Arial"/>
                <w:sz w:val="20"/>
                <w:szCs w:val="20"/>
              </w:rPr>
              <w:t>type of ascertainment (if disease-driven)*</w:t>
            </w:r>
          </w:p>
          <w:p w14:paraId="68EE856F" w14:textId="4EA8412A" w:rsidR="00A0773B" w:rsidRDefault="00EB0E6C" w:rsidP="001E30E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</w:t>
            </w:r>
            <w:r w:rsidR="007E6425">
              <w:rPr>
                <w:rFonts w:ascii="Arial" w:hAnsi="Arial" w:cs="Arial"/>
                <w:sz w:val="20"/>
                <w:szCs w:val="20"/>
              </w:rPr>
              <w:t>D9/ICD10 codes for PheWAS of</w:t>
            </w:r>
            <w:r>
              <w:rPr>
                <w:rFonts w:ascii="Arial" w:hAnsi="Arial" w:cs="Arial"/>
                <w:sz w:val="20"/>
                <w:szCs w:val="20"/>
              </w:rPr>
              <w:t xml:space="preserve"> significant loci</w:t>
            </w:r>
            <w:r w:rsidR="007E6425">
              <w:rPr>
                <w:rFonts w:ascii="Arial" w:hAnsi="Arial" w:cs="Arial"/>
                <w:sz w:val="20"/>
                <w:szCs w:val="20"/>
              </w:rPr>
              <w:t xml:space="preserve"> for the phenotypes defined as above</w:t>
            </w:r>
          </w:p>
          <w:p w14:paraId="75B7ACF0" w14:textId="2EB812D6" w:rsidR="00EC6E2D" w:rsidRPr="00123207" w:rsidRDefault="00EC6E2D" w:rsidP="00EC6E2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4E01018A" w14:textId="77777777" w:rsidTr="00E337BB">
        <w:trPr>
          <w:trHeight w:val="530"/>
        </w:trPr>
        <w:tc>
          <w:tcPr>
            <w:tcW w:w="2808" w:type="dxa"/>
            <w:vAlign w:val="center"/>
          </w:tcPr>
          <w:p w14:paraId="19B66C9D" w14:textId="0D73668E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14:paraId="7A1C081D" w14:textId="655642CF" w:rsidR="00A9093D" w:rsidRPr="00123207" w:rsidRDefault="00123207" w:rsidP="0012320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123207">
              <w:rPr>
                <w:rFonts w:ascii="Arial" w:hAnsi="Arial" w:cs="Arial"/>
                <w:sz w:val="20"/>
                <w:szCs w:val="20"/>
              </w:rPr>
              <w:t xml:space="preserve">Standardized </w:t>
            </w:r>
            <w:r w:rsidR="00416091">
              <w:rPr>
                <w:rFonts w:ascii="Arial" w:hAnsi="Arial" w:cs="Arial"/>
                <w:sz w:val="20"/>
                <w:szCs w:val="20"/>
              </w:rPr>
              <w:t>autoimmunity/inflammation</w:t>
            </w:r>
            <w:r w:rsidR="003C2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3207">
              <w:rPr>
                <w:rFonts w:ascii="Arial" w:hAnsi="Arial" w:cs="Arial"/>
                <w:sz w:val="20"/>
                <w:szCs w:val="20"/>
              </w:rPr>
              <w:t>phenotypes as above</w:t>
            </w:r>
          </w:p>
          <w:p w14:paraId="7E500F40" w14:textId="77777777" w:rsidR="00BE2E43" w:rsidRDefault="00BE2E43" w:rsidP="0012320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genotype data from EMERGE sites</w:t>
            </w:r>
          </w:p>
          <w:p w14:paraId="0671922A" w14:textId="7B6B2E5F" w:rsidR="00194BAA" w:rsidRPr="004B6E3C" w:rsidRDefault="00123207" w:rsidP="004B6E3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123207">
              <w:rPr>
                <w:rFonts w:ascii="Arial" w:hAnsi="Arial" w:cs="Arial"/>
                <w:sz w:val="20"/>
                <w:szCs w:val="20"/>
              </w:rPr>
              <w:t xml:space="preserve">Imputed </w:t>
            </w:r>
            <w:r w:rsidR="00BE2E43">
              <w:rPr>
                <w:rFonts w:ascii="Arial" w:hAnsi="Arial" w:cs="Arial"/>
                <w:sz w:val="20"/>
                <w:szCs w:val="20"/>
              </w:rPr>
              <w:t>genotype</w:t>
            </w:r>
            <w:r w:rsidRPr="00123207">
              <w:rPr>
                <w:rFonts w:ascii="Arial" w:hAnsi="Arial" w:cs="Arial"/>
                <w:sz w:val="20"/>
                <w:szCs w:val="20"/>
              </w:rPr>
              <w:t xml:space="preserve"> data for all sites.</w:t>
            </w:r>
          </w:p>
        </w:tc>
      </w:tr>
      <w:tr w:rsidR="00E337BB" w:rsidRPr="005F7C97" w14:paraId="5C2A041B" w14:textId="77777777" w:rsidTr="00BE2E43">
        <w:trPr>
          <w:trHeight w:val="800"/>
        </w:trPr>
        <w:tc>
          <w:tcPr>
            <w:tcW w:w="2808" w:type="dxa"/>
            <w:vAlign w:val="center"/>
          </w:tcPr>
          <w:p w14:paraId="17A4F263" w14:textId="606605A8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14:paraId="24BCA859" w14:textId="77777777" w:rsidR="00A0773B" w:rsidRDefault="00A0773B" w:rsidP="00906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53C41" w14:textId="68F6AE7E" w:rsidR="00326E32" w:rsidRDefault="00906C0B" w:rsidP="00470C26">
            <w:pPr>
              <w:rPr>
                <w:rFonts w:ascii="Arial" w:hAnsi="Arial" w:cs="Arial"/>
                <w:sz w:val="20"/>
                <w:szCs w:val="20"/>
              </w:rPr>
            </w:pPr>
            <w:r w:rsidRPr="00906C0B">
              <w:rPr>
                <w:rFonts w:ascii="Arial" w:hAnsi="Arial" w:cs="Arial"/>
                <w:sz w:val="20"/>
                <w:szCs w:val="20"/>
              </w:rPr>
              <w:t>Standard case-</w:t>
            </w:r>
            <w:r>
              <w:rPr>
                <w:rFonts w:ascii="Arial" w:hAnsi="Arial" w:cs="Arial"/>
                <w:sz w:val="20"/>
                <w:szCs w:val="20"/>
              </w:rPr>
              <w:t>control GWAS for binary traits and q</w:t>
            </w:r>
            <w:r w:rsidRPr="00906C0B">
              <w:rPr>
                <w:rFonts w:ascii="Arial" w:hAnsi="Arial" w:cs="Arial"/>
                <w:sz w:val="20"/>
                <w:szCs w:val="20"/>
              </w:rPr>
              <w:t xml:space="preserve">uantitative GWAS for </w:t>
            </w:r>
            <w:r w:rsidR="00470C26">
              <w:rPr>
                <w:rFonts w:ascii="Arial" w:hAnsi="Arial" w:cs="Arial"/>
                <w:sz w:val="20"/>
                <w:szCs w:val="20"/>
              </w:rPr>
              <w:t>continuous traits (e.g. C3/C4 levels or immunoglobulin levels)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06C0B">
              <w:rPr>
                <w:rFonts w:ascii="Arial" w:hAnsi="Arial" w:cs="Arial"/>
                <w:sz w:val="20"/>
                <w:szCs w:val="20"/>
              </w:rPr>
              <w:t xml:space="preserve">Secondary analyses will </w:t>
            </w:r>
            <w:r>
              <w:rPr>
                <w:rFonts w:ascii="Arial" w:hAnsi="Arial" w:cs="Arial"/>
                <w:sz w:val="20"/>
                <w:szCs w:val="20"/>
              </w:rPr>
              <w:t>include condition</w:t>
            </w:r>
            <w:r w:rsidR="008A62CC">
              <w:rPr>
                <w:rFonts w:ascii="Arial" w:hAnsi="Arial" w:cs="Arial"/>
                <w:sz w:val="20"/>
                <w:szCs w:val="20"/>
              </w:rPr>
              <w:t>al analyses, haplotype analyses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2CC">
              <w:rPr>
                <w:rFonts w:ascii="Arial" w:hAnsi="Arial" w:cs="Arial"/>
                <w:sz w:val="20"/>
                <w:szCs w:val="20"/>
              </w:rPr>
              <w:t>and rare-variant association scans.</w:t>
            </w:r>
            <w:r w:rsidR="0013693F">
              <w:rPr>
                <w:rFonts w:ascii="Arial" w:hAnsi="Arial" w:cs="Arial"/>
                <w:sz w:val="20"/>
                <w:szCs w:val="20"/>
              </w:rPr>
              <w:t xml:space="preserve"> Data from individual centers will be metaanalyzed genome-wide using standard approaches.</w:t>
            </w:r>
            <w:r w:rsidR="000B4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0EE">
              <w:rPr>
                <w:rFonts w:ascii="Arial" w:hAnsi="Arial" w:cs="Arial"/>
                <w:sz w:val="20"/>
                <w:szCs w:val="20"/>
              </w:rPr>
              <w:t>These analyses will be performed in the Kiryluk Lab at Columbia University.</w:t>
            </w:r>
          </w:p>
          <w:p w14:paraId="32A66A0A" w14:textId="77777777" w:rsidR="00326E32" w:rsidRDefault="00326E32" w:rsidP="00470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DB47" w14:textId="2CA5E6E1" w:rsidR="001E30EE" w:rsidRDefault="00470C26" w:rsidP="0047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PheWAS analysis will be perf</w:t>
            </w:r>
            <w:r w:rsidR="00955A4F">
              <w:rPr>
                <w:rFonts w:ascii="Arial" w:hAnsi="Arial" w:cs="Arial"/>
                <w:sz w:val="20"/>
                <w:szCs w:val="20"/>
              </w:rPr>
              <w:t xml:space="preserve">ormed for a small number of genome-wide </w:t>
            </w:r>
            <w:r>
              <w:rPr>
                <w:rFonts w:ascii="Arial" w:hAnsi="Arial" w:cs="Arial"/>
                <w:sz w:val="20"/>
                <w:szCs w:val="20"/>
              </w:rPr>
              <w:t>significant lo</w:t>
            </w:r>
            <w:r w:rsidR="00955A4F">
              <w:rPr>
                <w:rFonts w:ascii="Arial" w:hAnsi="Arial" w:cs="Arial"/>
                <w:sz w:val="20"/>
                <w:szCs w:val="20"/>
              </w:rPr>
              <w:t xml:space="preserve">ci to </w:t>
            </w:r>
            <w:r w:rsidR="00326E32">
              <w:rPr>
                <w:rFonts w:ascii="Arial" w:hAnsi="Arial" w:cs="Arial"/>
                <w:sz w:val="20"/>
                <w:szCs w:val="20"/>
              </w:rPr>
              <w:t xml:space="preserve">better </w:t>
            </w:r>
            <w:r w:rsidR="00955A4F">
              <w:rPr>
                <w:rFonts w:ascii="Arial" w:hAnsi="Arial" w:cs="Arial"/>
                <w:sz w:val="20"/>
                <w:szCs w:val="20"/>
              </w:rPr>
              <w:t>define</w:t>
            </w:r>
            <w:r w:rsidR="00326E32">
              <w:rPr>
                <w:rFonts w:ascii="Arial" w:hAnsi="Arial" w:cs="Arial"/>
                <w:sz w:val="20"/>
                <w:szCs w:val="20"/>
              </w:rPr>
              <w:t xml:space="preserve"> their disease associations and potential </w:t>
            </w:r>
            <w:r w:rsidR="00955A4F">
              <w:rPr>
                <w:rFonts w:ascii="Arial" w:hAnsi="Arial" w:cs="Arial"/>
                <w:sz w:val="20"/>
                <w:szCs w:val="20"/>
              </w:rPr>
              <w:t>pleiotropic effects</w:t>
            </w:r>
            <w:r w:rsidR="00AF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6E53">
              <w:rPr>
                <w:rFonts w:ascii="Arial" w:hAnsi="Arial" w:cs="Arial"/>
                <w:sz w:val="20"/>
                <w:szCs w:val="20"/>
              </w:rPr>
              <w:t xml:space="preserve">Depending on </w:t>
            </w:r>
            <w:r w:rsidR="001C223B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8C6E53">
              <w:rPr>
                <w:rFonts w:ascii="Arial" w:hAnsi="Arial" w:cs="Arial"/>
                <w:sz w:val="20"/>
                <w:szCs w:val="20"/>
              </w:rPr>
              <w:t>preference</w:t>
            </w:r>
            <w:r w:rsidR="001C223B">
              <w:rPr>
                <w:rFonts w:ascii="Arial" w:hAnsi="Arial" w:cs="Arial"/>
                <w:sz w:val="20"/>
                <w:szCs w:val="20"/>
              </w:rPr>
              <w:t>s</w:t>
            </w:r>
            <w:r w:rsidR="008C6E53">
              <w:rPr>
                <w:rFonts w:ascii="Arial" w:hAnsi="Arial" w:cs="Arial"/>
                <w:sz w:val="20"/>
                <w:szCs w:val="20"/>
              </w:rPr>
              <w:t>, t</w:t>
            </w:r>
            <w:r w:rsidR="001E30EE" w:rsidRPr="008C6E53">
              <w:rPr>
                <w:rFonts w:ascii="Arial" w:hAnsi="Arial" w:cs="Arial"/>
                <w:sz w:val="20"/>
                <w:szCs w:val="20"/>
              </w:rPr>
              <w:t xml:space="preserve">he PheWAS analyses may be performed by each </w:t>
            </w:r>
            <w:r w:rsidR="0013693F">
              <w:rPr>
                <w:rFonts w:ascii="Arial" w:hAnsi="Arial" w:cs="Arial"/>
                <w:sz w:val="20"/>
                <w:szCs w:val="20"/>
              </w:rPr>
              <w:t xml:space="preserve">individual site or centrally at Columbia. The </w:t>
            </w:r>
            <w:r w:rsidR="001C223B">
              <w:rPr>
                <w:rFonts w:ascii="Arial" w:hAnsi="Arial" w:cs="Arial"/>
                <w:sz w:val="20"/>
                <w:szCs w:val="20"/>
              </w:rPr>
              <w:t>summary statistics</w:t>
            </w:r>
            <w:r w:rsidR="0013693F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 w:rsidR="00CB2A3C">
              <w:rPr>
                <w:rFonts w:ascii="Arial" w:hAnsi="Arial" w:cs="Arial"/>
                <w:sz w:val="20"/>
                <w:szCs w:val="20"/>
              </w:rPr>
              <w:t>combined by meta-analysis</w:t>
            </w:r>
            <w:r w:rsidR="0013693F">
              <w:rPr>
                <w:rFonts w:ascii="Arial" w:hAnsi="Arial" w:cs="Arial"/>
                <w:sz w:val="20"/>
                <w:szCs w:val="20"/>
              </w:rPr>
              <w:t xml:space="preserve"> across all EMERGE sites.</w:t>
            </w:r>
          </w:p>
          <w:p w14:paraId="52DF50C2" w14:textId="02CA58B6" w:rsidR="00470C26" w:rsidRPr="00906C0B" w:rsidRDefault="00470C26" w:rsidP="00470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3F176234" w14:textId="77777777" w:rsidTr="00BE2E43">
        <w:trPr>
          <w:trHeight w:val="1268"/>
        </w:trPr>
        <w:tc>
          <w:tcPr>
            <w:tcW w:w="2808" w:type="dxa"/>
            <w:vAlign w:val="center"/>
          </w:tcPr>
          <w:p w14:paraId="52EC73A6" w14:textId="07F96E3D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Ethical considerations</w:t>
            </w:r>
          </w:p>
        </w:tc>
        <w:tc>
          <w:tcPr>
            <w:tcW w:w="6750" w:type="dxa"/>
          </w:tcPr>
          <w:p w14:paraId="694EFF52" w14:textId="77777777" w:rsidR="00BE2E43" w:rsidRDefault="00BE2E43" w:rsidP="00633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5DA0A" w14:textId="33953603" w:rsidR="00906C0B" w:rsidRDefault="00906C0B" w:rsidP="00633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EMR and genomic data will be stored at a secured location in the data storage system </w:t>
            </w:r>
            <w:r w:rsidR="00633982">
              <w:rPr>
                <w:rFonts w:ascii="Arial" w:hAnsi="Arial" w:cs="Arial"/>
                <w:sz w:val="20"/>
                <w:szCs w:val="20"/>
              </w:rPr>
              <w:t>of Kiryluk and Gharavi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lab</w:t>
            </w:r>
            <w:r w:rsidR="00633982">
              <w:rPr>
                <w:rFonts w:ascii="Arial" w:hAnsi="Arial" w:cs="Arial"/>
                <w:sz w:val="20"/>
                <w:szCs w:val="20"/>
              </w:rPr>
              <w:t>s</w:t>
            </w:r>
            <w:r w:rsidR="000C032E">
              <w:rPr>
                <w:rFonts w:ascii="Arial" w:hAnsi="Arial" w:cs="Arial"/>
                <w:sz w:val="20"/>
                <w:szCs w:val="20"/>
              </w:rPr>
              <w:t xml:space="preserve">. No data will be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>shared with unauthorized third parties. Patient identity will not be compromised by the proposed analysis. We will also abide by the EMERGE guidelines in this regard.</w:t>
            </w:r>
          </w:p>
          <w:p w14:paraId="09E20646" w14:textId="01797B63" w:rsidR="00BE2E43" w:rsidRPr="00171D96" w:rsidRDefault="00BE2E43" w:rsidP="00633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7E1D1F20" w14:textId="77777777" w:rsidTr="00BE2E43">
        <w:trPr>
          <w:trHeight w:val="341"/>
        </w:trPr>
        <w:tc>
          <w:tcPr>
            <w:tcW w:w="2808" w:type="dxa"/>
            <w:vAlign w:val="center"/>
          </w:tcPr>
          <w:p w14:paraId="7F1F36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750" w:type="dxa"/>
          </w:tcPr>
          <w:p w14:paraId="73AA5EA9" w14:textId="77777777" w:rsidR="00BE2E43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7FF7" w14:textId="77777777" w:rsidR="005406AC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  <w:p w14:paraId="6B718C38" w14:textId="699EEC07" w:rsidR="00BE2E43" w:rsidRPr="00171D96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6CC41DE9" w14:textId="77777777" w:rsidTr="00E337BB">
        <w:tc>
          <w:tcPr>
            <w:tcW w:w="2808" w:type="dxa"/>
            <w:vAlign w:val="center"/>
          </w:tcPr>
          <w:p w14:paraId="7C0AA251" w14:textId="77777777" w:rsidR="004C5DC8" w:rsidRDefault="004C5DC8" w:rsidP="00574935">
            <w:pPr>
              <w:rPr>
                <w:b/>
              </w:rPr>
            </w:pPr>
          </w:p>
          <w:p w14:paraId="3E40064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750" w:type="dxa"/>
          </w:tcPr>
          <w:p w14:paraId="7E62E498" w14:textId="77777777" w:rsidR="002304E1" w:rsidRDefault="002304E1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3AB9A" w14:textId="4D84F13A" w:rsidR="00504463" w:rsidRDefault="00504463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Duration of the study: 3 years</w:t>
            </w:r>
          </w:p>
          <w:p w14:paraId="4DAB1986" w14:textId="77777777" w:rsidR="00504463" w:rsidRDefault="00504463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phenotyping algorithms: 2016</w:t>
            </w:r>
          </w:p>
          <w:p w14:paraId="37FEF6B5" w14:textId="63624F31" w:rsidR="00504463" w:rsidRDefault="00504463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GWAS analyses: 2017</w:t>
            </w:r>
          </w:p>
          <w:p w14:paraId="4B4B4D1A" w14:textId="788AA345" w:rsidR="00504463" w:rsidRPr="00171D96" w:rsidRDefault="00504463" w:rsidP="00504463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 xml:space="preserve">Draft of manuscript to authors: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22D9C600" w14:textId="2B370118" w:rsidR="00504463" w:rsidRDefault="00504463" w:rsidP="00504463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 xml:space="preserve">First submission: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3809D884" w14:textId="325117E0" w:rsidR="002304E1" w:rsidRPr="00171D96" w:rsidRDefault="002304E1" w:rsidP="00A0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C6B4E" w14:textId="17419F76" w:rsidR="005E6E01" w:rsidRPr="00500AE5" w:rsidRDefault="005E6E01" w:rsidP="005E6E01">
      <w:pPr>
        <w:rPr>
          <w:sz w:val="18"/>
          <w:szCs w:val="18"/>
        </w:rPr>
      </w:pPr>
      <w:r w:rsidRPr="00500AE5">
        <w:rPr>
          <w:b/>
          <w:sz w:val="18"/>
          <w:szCs w:val="18"/>
        </w:rPr>
        <w:t>**</w:t>
      </w:r>
      <w:r w:rsidRPr="00500AE5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14:paraId="696D6C52" w14:textId="77777777" w:rsidR="00795FF3" w:rsidRDefault="00795FF3"/>
    <w:p w14:paraId="361799FF" w14:textId="77777777" w:rsidR="00363EBA" w:rsidRDefault="00363EBA" w:rsidP="00363EBA"/>
    <w:p w14:paraId="427B9CEF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72C9" w14:textId="77777777" w:rsidR="00AF2F62" w:rsidRDefault="00AF2F62">
      <w:r>
        <w:separator/>
      </w:r>
    </w:p>
  </w:endnote>
  <w:endnote w:type="continuationSeparator" w:id="0">
    <w:p w14:paraId="2E15C3DF" w14:textId="77777777" w:rsidR="00AF2F62" w:rsidRDefault="00AF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37198" w14:textId="77777777" w:rsidR="00AF2F62" w:rsidRDefault="00AF2F6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8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B3974" w14:textId="77777777" w:rsidR="00AF2F62" w:rsidRDefault="00AF2F62">
      <w:r>
        <w:separator/>
      </w:r>
    </w:p>
  </w:footnote>
  <w:footnote w:type="continuationSeparator" w:id="0">
    <w:p w14:paraId="75308A3C" w14:textId="77777777" w:rsidR="00AF2F62" w:rsidRDefault="00AF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2"/>
  </w:num>
  <w:num w:numId="19">
    <w:abstractNumId w:val="21"/>
  </w:num>
  <w:num w:numId="20">
    <w:abstractNumId w:val="23"/>
  </w:num>
  <w:num w:numId="21">
    <w:abstractNumId w:val="27"/>
  </w:num>
  <w:num w:numId="22">
    <w:abstractNumId w:val="28"/>
  </w:num>
  <w:num w:numId="23">
    <w:abstractNumId w:val="1"/>
  </w:num>
  <w:num w:numId="24">
    <w:abstractNumId w:val="31"/>
  </w:num>
  <w:num w:numId="25">
    <w:abstractNumId w:val="16"/>
  </w:num>
  <w:num w:numId="26">
    <w:abstractNumId w:val="3"/>
  </w:num>
  <w:num w:numId="27">
    <w:abstractNumId w:val="34"/>
  </w:num>
  <w:num w:numId="28">
    <w:abstractNumId w:val="5"/>
  </w:num>
  <w:num w:numId="29">
    <w:abstractNumId w:val="7"/>
  </w:num>
  <w:num w:numId="30">
    <w:abstractNumId w:val="13"/>
  </w:num>
  <w:num w:numId="31">
    <w:abstractNumId w:val="19"/>
  </w:num>
  <w:num w:numId="32">
    <w:abstractNumId w:val="4"/>
  </w:num>
  <w:num w:numId="33">
    <w:abstractNumId w:val="25"/>
  </w:num>
  <w:num w:numId="34">
    <w:abstractNumId w:val="30"/>
  </w:num>
  <w:num w:numId="35">
    <w:abstractNumId w:val="12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32"/>
    <w:rsid w:val="00004EA6"/>
    <w:rsid w:val="0001679F"/>
    <w:rsid w:val="00016DB5"/>
    <w:rsid w:val="000225D2"/>
    <w:rsid w:val="0002359B"/>
    <w:rsid w:val="0002559B"/>
    <w:rsid w:val="00040E5F"/>
    <w:rsid w:val="00043A8A"/>
    <w:rsid w:val="0005407A"/>
    <w:rsid w:val="000632CA"/>
    <w:rsid w:val="00065E5A"/>
    <w:rsid w:val="00072691"/>
    <w:rsid w:val="0007303D"/>
    <w:rsid w:val="00091D92"/>
    <w:rsid w:val="00093CEE"/>
    <w:rsid w:val="000A1DBC"/>
    <w:rsid w:val="000A39AF"/>
    <w:rsid w:val="000B49F3"/>
    <w:rsid w:val="000C02E5"/>
    <w:rsid w:val="000C032E"/>
    <w:rsid w:val="000E185E"/>
    <w:rsid w:val="00123207"/>
    <w:rsid w:val="00124025"/>
    <w:rsid w:val="001330F2"/>
    <w:rsid w:val="0013456D"/>
    <w:rsid w:val="0013693F"/>
    <w:rsid w:val="00140265"/>
    <w:rsid w:val="00144217"/>
    <w:rsid w:val="00162F6E"/>
    <w:rsid w:val="00171D96"/>
    <w:rsid w:val="00175A74"/>
    <w:rsid w:val="00184E02"/>
    <w:rsid w:val="00194BAA"/>
    <w:rsid w:val="001A4AAA"/>
    <w:rsid w:val="001B18E7"/>
    <w:rsid w:val="001B1C1D"/>
    <w:rsid w:val="001C223B"/>
    <w:rsid w:val="001D0F86"/>
    <w:rsid w:val="001D19CA"/>
    <w:rsid w:val="001E30EE"/>
    <w:rsid w:val="001E65CB"/>
    <w:rsid w:val="001E71A2"/>
    <w:rsid w:val="001F41A9"/>
    <w:rsid w:val="00213D65"/>
    <w:rsid w:val="00215E09"/>
    <w:rsid w:val="00221ACE"/>
    <w:rsid w:val="00224026"/>
    <w:rsid w:val="00227478"/>
    <w:rsid w:val="002304E1"/>
    <w:rsid w:val="00236727"/>
    <w:rsid w:val="00250C67"/>
    <w:rsid w:val="0025540D"/>
    <w:rsid w:val="0026747A"/>
    <w:rsid w:val="0028585D"/>
    <w:rsid w:val="0028652D"/>
    <w:rsid w:val="0029714D"/>
    <w:rsid w:val="0029719F"/>
    <w:rsid w:val="002A5A0B"/>
    <w:rsid w:val="002B10D1"/>
    <w:rsid w:val="002B201E"/>
    <w:rsid w:val="002B62B3"/>
    <w:rsid w:val="002F585F"/>
    <w:rsid w:val="00304533"/>
    <w:rsid w:val="00304D9E"/>
    <w:rsid w:val="00311688"/>
    <w:rsid w:val="003171C7"/>
    <w:rsid w:val="00320759"/>
    <w:rsid w:val="00326E32"/>
    <w:rsid w:val="00332A4A"/>
    <w:rsid w:val="00336927"/>
    <w:rsid w:val="00341529"/>
    <w:rsid w:val="00343FD4"/>
    <w:rsid w:val="003632C8"/>
    <w:rsid w:val="00363EBA"/>
    <w:rsid w:val="00367D0A"/>
    <w:rsid w:val="003706AE"/>
    <w:rsid w:val="00381F0F"/>
    <w:rsid w:val="003B6296"/>
    <w:rsid w:val="003C212F"/>
    <w:rsid w:val="003C7160"/>
    <w:rsid w:val="003D3121"/>
    <w:rsid w:val="003E1C8B"/>
    <w:rsid w:val="003E485B"/>
    <w:rsid w:val="003F0526"/>
    <w:rsid w:val="003F2ED3"/>
    <w:rsid w:val="003F396F"/>
    <w:rsid w:val="00406FC6"/>
    <w:rsid w:val="00407F88"/>
    <w:rsid w:val="004108D2"/>
    <w:rsid w:val="004126D8"/>
    <w:rsid w:val="00416091"/>
    <w:rsid w:val="00424C88"/>
    <w:rsid w:val="00434301"/>
    <w:rsid w:val="00465F36"/>
    <w:rsid w:val="00470C26"/>
    <w:rsid w:val="00473CCF"/>
    <w:rsid w:val="00490A32"/>
    <w:rsid w:val="00494C69"/>
    <w:rsid w:val="004966B5"/>
    <w:rsid w:val="004A32E0"/>
    <w:rsid w:val="004B6E3C"/>
    <w:rsid w:val="004C33D9"/>
    <w:rsid w:val="004C3C14"/>
    <w:rsid w:val="004C5DC8"/>
    <w:rsid w:val="00500AE5"/>
    <w:rsid w:val="00504463"/>
    <w:rsid w:val="005118FE"/>
    <w:rsid w:val="00515EEA"/>
    <w:rsid w:val="0052285F"/>
    <w:rsid w:val="0053704D"/>
    <w:rsid w:val="0053713C"/>
    <w:rsid w:val="005406AC"/>
    <w:rsid w:val="00574935"/>
    <w:rsid w:val="005905C4"/>
    <w:rsid w:val="005A053E"/>
    <w:rsid w:val="005A4C4A"/>
    <w:rsid w:val="005B230F"/>
    <w:rsid w:val="005B2357"/>
    <w:rsid w:val="005B2E72"/>
    <w:rsid w:val="005B5981"/>
    <w:rsid w:val="005C4777"/>
    <w:rsid w:val="005D03B3"/>
    <w:rsid w:val="005E5741"/>
    <w:rsid w:val="005E6E01"/>
    <w:rsid w:val="005F63FC"/>
    <w:rsid w:val="00625483"/>
    <w:rsid w:val="00625590"/>
    <w:rsid w:val="00633982"/>
    <w:rsid w:val="006366EE"/>
    <w:rsid w:val="00640050"/>
    <w:rsid w:val="0064186D"/>
    <w:rsid w:val="00662C76"/>
    <w:rsid w:val="00664FD2"/>
    <w:rsid w:val="00682B9D"/>
    <w:rsid w:val="00684669"/>
    <w:rsid w:val="00690389"/>
    <w:rsid w:val="00694A3E"/>
    <w:rsid w:val="006A2ACC"/>
    <w:rsid w:val="006A44CD"/>
    <w:rsid w:val="006A547E"/>
    <w:rsid w:val="006B6F47"/>
    <w:rsid w:val="006C506F"/>
    <w:rsid w:val="006D0178"/>
    <w:rsid w:val="006D37AD"/>
    <w:rsid w:val="006F2235"/>
    <w:rsid w:val="006F4653"/>
    <w:rsid w:val="007015CC"/>
    <w:rsid w:val="00724C57"/>
    <w:rsid w:val="007250AB"/>
    <w:rsid w:val="00736BD1"/>
    <w:rsid w:val="00737C48"/>
    <w:rsid w:val="0076798A"/>
    <w:rsid w:val="00795FF3"/>
    <w:rsid w:val="00797266"/>
    <w:rsid w:val="007A2366"/>
    <w:rsid w:val="007A50BB"/>
    <w:rsid w:val="007C5938"/>
    <w:rsid w:val="007D058F"/>
    <w:rsid w:val="007D4E0E"/>
    <w:rsid w:val="007E6425"/>
    <w:rsid w:val="007F1FF8"/>
    <w:rsid w:val="0081116C"/>
    <w:rsid w:val="008128C8"/>
    <w:rsid w:val="008311B6"/>
    <w:rsid w:val="0087281A"/>
    <w:rsid w:val="008779AD"/>
    <w:rsid w:val="008827EB"/>
    <w:rsid w:val="00884701"/>
    <w:rsid w:val="008865AC"/>
    <w:rsid w:val="0089069A"/>
    <w:rsid w:val="00895904"/>
    <w:rsid w:val="008A62CC"/>
    <w:rsid w:val="008C6E53"/>
    <w:rsid w:val="008E01FA"/>
    <w:rsid w:val="008E3110"/>
    <w:rsid w:val="00901835"/>
    <w:rsid w:val="00905339"/>
    <w:rsid w:val="00906C0B"/>
    <w:rsid w:val="0092039E"/>
    <w:rsid w:val="00925350"/>
    <w:rsid w:val="00934211"/>
    <w:rsid w:val="00944011"/>
    <w:rsid w:val="0094599C"/>
    <w:rsid w:val="00954591"/>
    <w:rsid w:val="00955A4F"/>
    <w:rsid w:val="00961709"/>
    <w:rsid w:val="009663B9"/>
    <w:rsid w:val="00967ED1"/>
    <w:rsid w:val="00971431"/>
    <w:rsid w:val="00971F6E"/>
    <w:rsid w:val="00987070"/>
    <w:rsid w:val="00997E18"/>
    <w:rsid w:val="009A48ED"/>
    <w:rsid w:val="009A59AB"/>
    <w:rsid w:val="009B75B4"/>
    <w:rsid w:val="009C57EC"/>
    <w:rsid w:val="009C7C91"/>
    <w:rsid w:val="009D6059"/>
    <w:rsid w:val="009F3A21"/>
    <w:rsid w:val="009F3C39"/>
    <w:rsid w:val="009F6272"/>
    <w:rsid w:val="00A0773B"/>
    <w:rsid w:val="00A13CD1"/>
    <w:rsid w:val="00A2505B"/>
    <w:rsid w:val="00A32480"/>
    <w:rsid w:val="00A76462"/>
    <w:rsid w:val="00A9093D"/>
    <w:rsid w:val="00A90F4D"/>
    <w:rsid w:val="00AA3A30"/>
    <w:rsid w:val="00AB1EAE"/>
    <w:rsid w:val="00AB5688"/>
    <w:rsid w:val="00AC2CEB"/>
    <w:rsid w:val="00AC5816"/>
    <w:rsid w:val="00AE74F2"/>
    <w:rsid w:val="00AF139E"/>
    <w:rsid w:val="00AF2F62"/>
    <w:rsid w:val="00AF675A"/>
    <w:rsid w:val="00AF6F00"/>
    <w:rsid w:val="00B0632F"/>
    <w:rsid w:val="00B10236"/>
    <w:rsid w:val="00B35AC4"/>
    <w:rsid w:val="00B45093"/>
    <w:rsid w:val="00B4687F"/>
    <w:rsid w:val="00B50DCB"/>
    <w:rsid w:val="00B6047C"/>
    <w:rsid w:val="00B624F2"/>
    <w:rsid w:val="00B817B5"/>
    <w:rsid w:val="00BA33E2"/>
    <w:rsid w:val="00BD36AD"/>
    <w:rsid w:val="00BE2E43"/>
    <w:rsid w:val="00BE65E4"/>
    <w:rsid w:val="00BE7966"/>
    <w:rsid w:val="00BF46E2"/>
    <w:rsid w:val="00BF50FC"/>
    <w:rsid w:val="00BF7923"/>
    <w:rsid w:val="00C00A03"/>
    <w:rsid w:val="00C222AF"/>
    <w:rsid w:val="00C2615F"/>
    <w:rsid w:val="00C4270C"/>
    <w:rsid w:val="00C74B66"/>
    <w:rsid w:val="00C9143F"/>
    <w:rsid w:val="00CA505B"/>
    <w:rsid w:val="00CA7088"/>
    <w:rsid w:val="00CA7A29"/>
    <w:rsid w:val="00CB2A3C"/>
    <w:rsid w:val="00CB5DAC"/>
    <w:rsid w:val="00CD3A57"/>
    <w:rsid w:val="00CD6156"/>
    <w:rsid w:val="00CE2F7D"/>
    <w:rsid w:val="00CE3881"/>
    <w:rsid w:val="00CF0FFE"/>
    <w:rsid w:val="00CF1791"/>
    <w:rsid w:val="00D010BC"/>
    <w:rsid w:val="00D019D5"/>
    <w:rsid w:val="00D32A7E"/>
    <w:rsid w:val="00D47CAF"/>
    <w:rsid w:val="00D600A7"/>
    <w:rsid w:val="00D6526B"/>
    <w:rsid w:val="00D6567E"/>
    <w:rsid w:val="00D67D30"/>
    <w:rsid w:val="00D70E2F"/>
    <w:rsid w:val="00D73ADD"/>
    <w:rsid w:val="00D87FD8"/>
    <w:rsid w:val="00D93895"/>
    <w:rsid w:val="00DA2017"/>
    <w:rsid w:val="00DA3F69"/>
    <w:rsid w:val="00DA62D2"/>
    <w:rsid w:val="00DA6686"/>
    <w:rsid w:val="00DE1B26"/>
    <w:rsid w:val="00DE2AF2"/>
    <w:rsid w:val="00DE3977"/>
    <w:rsid w:val="00DE3E1E"/>
    <w:rsid w:val="00DF17FC"/>
    <w:rsid w:val="00E049F3"/>
    <w:rsid w:val="00E155C1"/>
    <w:rsid w:val="00E27491"/>
    <w:rsid w:val="00E337BB"/>
    <w:rsid w:val="00E44510"/>
    <w:rsid w:val="00E50979"/>
    <w:rsid w:val="00E5585A"/>
    <w:rsid w:val="00E66226"/>
    <w:rsid w:val="00EA250A"/>
    <w:rsid w:val="00EA6A94"/>
    <w:rsid w:val="00EA71D2"/>
    <w:rsid w:val="00EB0E6C"/>
    <w:rsid w:val="00EC0682"/>
    <w:rsid w:val="00EC6E2D"/>
    <w:rsid w:val="00EC6FC1"/>
    <w:rsid w:val="00ED78AF"/>
    <w:rsid w:val="00EE2520"/>
    <w:rsid w:val="00EE4539"/>
    <w:rsid w:val="00EF3E69"/>
    <w:rsid w:val="00F050A4"/>
    <w:rsid w:val="00F10770"/>
    <w:rsid w:val="00F34A8C"/>
    <w:rsid w:val="00F34EC1"/>
    <w:rsid w:val="00F473C8"/>
    <w:rsid w:val="00F55221"/>
    <w:rsid w:val="00F66C59"/>
    <w:rsid w:val="00F711FA"/>
    <w:rsid w:val="00F84630"/>
    <w:rsid w:val="00F94172"/>
    <w:rsid w:val="00F96308"/>
    <w:rsid w:val="00FC3994"/>
    <w:rsid w:val="00FD208E"/>
    <w:rsid w:val="00FD6CB4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FAA07"/>
  <w15:docId w15:val="{F09EB5F8-AB11-4751-87D1-393DF9F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D779D10F-8B45-4506-8756-29964847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dc:description/>
  <cp:lastModifiedBy>Derveloy, Brianne B</cp:lastModifiedBy>
  <cp:revision>124</cp:revision>
  <cp:lastPrinted>2008-11-03T13:46:00Z</cp:lastPrinted>
  <dcterms:created xsi:type="dcterms:W3CDTF">2015-12-29T14:44:00Z</dcterms:created>
  <dcterms:modified xsi:type="dcterms:W3CDTF">2016-01-21T21:12:00Z</dcterms:modified>
</cp:coreProperties>
</file>