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1" w:type="dxa"/>
        <w:tblInd w:w="-961" w:type="dxa"/>
        <w:tblCellMar>
          <w:left w:w="0" w:type="dxa"/>
          <w:right w:w="0" w:type="dxa"/>
        </w:tblCellMar>
        <w:tblLook w:val="04A0" w:firstRow="1" w:lastRow="0" w:firstColumn="1" w:lastColumn="0" w:noHBand="0" w:noVBand="1"/>
      </w:tblPr>
      <w:tblGrid>
        <w:gridCol w:w="11341"/>
      </w:tblGrid>
      <w:tr w:rsidR="00A44EB1" w:rsidRPr="00A44EB1" w14:paraId="571A381D" w14:textId="77777777" w:rsidTr="00054F01">
        <w:trPr>
          <w:trHeight w:val="307"/>
        </w:trPr>
        <w:tc>
          <w:tcPr>
            <w:tcW w:w="11341" w:type="dxa"/>
            <w:tcBorders>
              <w:top w:val="double" w:sz="4" w:space="0" w:color="auto"/>
              <w:bottom w:val="double" w:sz="4" w:space="0" w:color="auto"/>
            </w:tcBorders>
            <w:shd w:val="clear" w:color="auto" w:fill="auto"/>
            <w:tcMar>
              <w:top w:w="29" w:type="dxa"/>
              <w:left w:w="29" w:type="dxa"/>
              <w:bottom w:w="29" w:type="dxa"/>
              <w:right w:w="29" w:type="dxa"/>
            </w:tcMar>
          </w:tcPr>
          <w:p w14:paraId="771E0E5F" w14:textId="77777777" w:rsidR="00A44EB1" w:rsidRPr="00A44EB1" w:rsidRDefault="00A44EB1" w:rsidP="00A44EB1">
            <w:pPr>
              <w:spacing w:after="0" w:line="276" w:lineRule="auto"/>
              <w:jc w:val="center"/>
              <w:rPr>
                <w:color w:val="0000FF"/>
                <w:sz w:val="26"/>
                <w:szCs w:val="26"/>
              </w:rPr>
            </w:pPr>
            <w:r w:rsidRPr="00277BF2">
              <w:rPr>
                <w:b/>
                <w:color w:val="404040" w:themeColor="text1" w:themeTint="BF"/>
                <w:sz w:val="40"/>
                <w:szCs w:val="32"/>
              </w:rPr>
              <w:t xml:space="preserve">eMERGE Network: </w:t>
            </w:r>
            <w:r w:rsidRPr="00277BF2">
              <w:rPr>
                <w:b/>
                <w:color w:val="008BCC"/>
                <w:sz w:val="40"/>
                <w:szCs w:val="32"/>
              </w:rPr>
              <w:t>ESP Conference Call Minutes</w:t>
            </w:r>
            <w:r w:rsidRPr="00A44EB1">
              <w:rPr>
                <w:sz w:val="36"/>
                <w:szCs w:val="32"/>
              </w:rPr>
              <w:br/>
            </w:r>
            <w:r w:rsidRPr="004B02A8">
              <w:rPr>
                <w:sz w:val="28"/>
                <w:szCs w:val="28"/>
              </w:rPr>
              <w:t>Thursday, February 25, 2016 |</w:t>
            </w:r>
            <w:r w:rsidRPr="00A44EB1">
              <w:rPr>
                <w:sz w:val="28"/>
                <w:szCs w:val="28"/>
              </w:rPr>
              <w:t xml:space="preserve"> </w:t>
            </w:r>
            <w:r w:rsidRPr="004B02A8">
              <w:rPr>
                <w:color w:val="404040" w:themeColor="text1" w:themeTint="BF"/>
                <w:sz w:val="28"/>
                <w:szCs w:val="28"/>
              </w:rPr>
              <w:t>3:30pm EST</w:t>
            </w:r>
            <w:r w:rsidRPr="00A44EB1">
              <w:rPr>
                <w:color w:val="404040" w:themeColor="text1" w:themeTint="BF"/>
                <w:sz w:val="28"/>
                <w:szCs w:val="28"/>
              </w:rPr>
              <w:t xml:space="preserve"> (2:30pm CST; 12:30pm PST</w:t>
            </w:r>
            <w:r w:rsidRPr="00A44EB1">
              <w:rPr>
                <w:color w:val="404040" w:themeColor="text1" w:themeTint="BF"/>
                <w:sz w:val="28"/>
                <w:szCs w:val="24"/>
              </w:rPr>
              <w:t>)</w:t>
            </w:r>
          </w:p>
        </w:tc>
      </w:tr>
      <w:tr w:rsidR="00A44EB1" w:rsidRPr="00A44EB1" w14:paraId="48519931" w14:textId="77777777" w:rsidTr="00054F01">
        <w:trPr>
          <w:trHeight w:val="202"/>
        </w:trPr>
        <w:tc>
          <w:tcPr>
            <w:tcW w:w="11341" w:type="dxa"/>
            <w:tcBorders>
              <w:top w:val="double" w:sz="4" w:space="0" w:color="auto"/>
              <w:bottom w:val="single" w:sz="8" w:space="0" w:color="auto"/>
            </w:tcBorders>
            <w:shd w:val="clear" w:color="auto" w:fill="auto"/>
            <w:tcMar>
              <w:top w:w="29" w:type="dxa"/>
              <w:left w:w="29" w:type="dxa"/>
              <w:bottom w:w="29" w:type="dxa"/>
              <w:right w:w="29" w:type="dxa"/>
            </w:tcMar>
          </w:tcPr>
          <w:p w14:paraId="23E79611" w14:textId="2E4C85D4" w:rsidR="00A44EB1" w:rsidRPr="00222DDA" w:rsidRDefault="00A44EB1" w:rsidP="00277BF2">
            <w:pPr>
              <w:spacing w:before="100" w:beforeAutospacing="1" w:after="120" w:line="240" w:lineRule="auto"/>
              <w:rPr>
                <w:rFonts w:ascii="Calibri Light" w:hAnsi="Calibri Light"/>
                <w:b/>
                <w:bCs/>
                <w:color w:val="404040" w:themeColor="text1" w:themeTint="BF"/>
                <w:sz w:val="24"/>
                <w:szCs w:val="23"/>
              </w:rPr>
            </w:pPr>
            <w:r w:rsidRPr="00222DDA">
              <w:rPr>
                <w:rFonts w:ascii="Calibri Light" w:hAnsi="Calibri Light"/>
                <w:b/>
                <w:bCs/>
                <w:color w:val="404040" w:themeColor="text1" w:themeTint="BF"/>
                <w:sz w:val="24"/>
                <w:szCs w:val="23"/>
              </w:rPr>
              <w:t xml:space="preserve">Attendees: </w:t>
            </w:r>
          </w:p>
          <w:p w14:paraId="0674C260" w14:textId="5ACD6642" w:rsidR="00222DDA" w:rsidRPr="00277BF2" w:rsidRDefault="009D4592" w:rsidP="00277BF2">
            <w:pPr>
              <w:spacing w:before="100" w:beforeAutospacing="1" w:after="120" w:line="240" w:lineRule="auto"/>
              <w:rPr>
                <w:rFonts w:ascii="Calibri Light" w:hAnsi="Calibri Light"/>
                <w:bCs/>
                <w:color w:val="404040" w:themeColor="text1" w:themeTint="BF"/>
                <w:sz w:val="23"/>
                <w:szCs w:val="23"/>
              </w:rPr>
            </w:pPr>
            <w:r w:rsidRPr="00277BF2">
              <w:rPr>
                <w:rFonts w:ascii="Calibri Light" w:hAnsi="Calibri Light"/>
                <w:b/>
                <w:bCs/>
                <w:color w:val="404040" w:themeColor="text1" w:themeTint="BF"/>
                <w:sz w:val="23"/>
                <w:szCs w:val="23"/>
              </w:rPr>
              <w:t xml:space="preserve">BCH: </w:t>
            </w:r>
            <w:r w:rsidRPr="00277BF2">
              <w:rPr>
                <w:rFonts w:ascii="Calibri Light" w:hAnsi="Calibri Light"/>
                <w:bCs/>
                <w:color w:val="404040" w:themeColor="text1" w:themeTint="BF"/>
                <w:sz w:val="23"/>
                <w:szCs w:val="23"/>
              </w:rPr>
              <w:t>Ingrid Holm;</w:t>
            </w:r>
            <w:r w:rsidRPr="00277BF2">
              <w:rPr>
                <w:rFonts w:ascii="Calibri Light" w:hAnsi="Calibri Light"/>
                <w:b/>
                <w:bCs/>
                <w:color w:val="404040" w:themeColor="text1" w:themeTint="BF"/>
                <w:sz w:val="23"/>
                <w:szCs w:val="23"/>
              </w:rPr>
              <w:t xml:space="preserve"> </w:t>
            </w:r>
            <w:r w:rsidR="009A6A7C" w:rsidRPr="00277BF2">
              <w:rPr>
                <w:rFonts w:ascii="Calibri Light" w:hAnsi="Calibri Light"/>
                <w:b/>
                <w:bCs/>
                <w:color w:val="404040" w:themeColor="text1" w:themeTint="BF"/>
                <w:sz w:val="23"/>
                <w:szCs w:val="23"/>
              </w:rPr>
              <w:t>CCHMC:</w:t>
            </w:r>
            <w:r w:rsidR="00C45F2C" w:rsidRPr="00277BF2">
              <w:rPr>
                <w:rFonts w:ascii="Calibri Light" w:hAnsi="Calibri Light"/>
                <w:b/>
                <w:bCs/>
                <w:color w:val="404040" w:themeColor="text1" w:themeTint="BF"/>
                <w:sz w:val="23"/>
                <w:szCs w:val="23"/>
              </w:rPr>
              <w:t xml:space="preserve"> </w:t>
            </w:r>
            <w:r w:rsidR="00C45F2C" w:rsidRPr="00277BF2">
              <w:rPr>
                <w:rFonts w:ascii="Calibri Light" w:hAnsi="Calibri Light"/>
                <w:bCs/>
                <w:color w:val="404040" w:themeColor="text1" w:themeTint="BF"/>
                <w:sz w:val="23"/>
                <w:szCs w:val="23"/>
              </w:rPr>
              <w:t>John Harley;</w:t>
            </w:r>
            <w:r w:rsidR="009A6A7C" w:rsidRPr="00277BF2">
              <w:rPr>
                <w:rFonts w:ascii="Calibri Light" w:hAnsi="Calibri Light"/>
                <w:b/>
                <w:bCs/>
                <w:color w:val="404040" w:themeColor="text1" w:themeTint="BF"/>
                <w:sz w:val="23"/>
                <w:szCs w:val="23"/>
              </w:rPr>
              <w:t xml:space="preserve"> CHOP: </w:t>
            </w:r>
            <w:r w:rsidR="009A6A7C" w:rsidRPr="00277BF2">
              <w:rPr>
                <w:rFonts w:ascii="Calibri Light" w:hAnsi="Calibri Light"/>
                <w:bCs/>
                <w:color w:val="404040" w:themeColor="text1" w:themeTint="BF"/>
                <w:sz w:val="23"/>
                <w:szCs w:val="23"/>
              </w:rPr>
              <w:t>John Connolly, Hakon Hakonarson;</w:t>
            </w:r>
            <w:r w:rsidR="009A6A7C" w:rsidRPr="00277BF2">
              <w:rPr>
                <w:rFonts w:ascii="Calibri Light" w:hAnsi="Calibri Light"/>
                <w:b/>
                <w:bCs/>
                <w:color w:val="404040" w:themeColor="text1" w:themeTint="BF"/>
                <w:sz w:val="23"/>
                <w:szCs w:val="23"/>
              </w:rPr>
              <w:t xml:space="preserve"> </w:t>
            </w:r>
            <w:r w:rsidRPr="00277BF2">
              <w:rPr>
                <w:rFonts w:ascii="Calibri Light" w:hAnsi="Calibri Light"/>
                <w:b/>
                <w:bCs/>
                <w:color w:val="404040" w:themeColor="text1" w:themeTint="BF"/>
                <w:sz w:val="23"/>
                <w:szCs w:val="23"/>
              </w:rPr>
              <w:t xml:space="preserve">Columbia: </w:t>
            </w:r>
            <w:r w:rsidR="00C45F2C" w:rsidRPr="00277BF2">
              <w:rPr>
                <w:rFonts w:ascii="Calibri Light" w:hAnsi="Calibri Light"/>
                <w:bCs/>
                <w:color w:val="404040" w:themeColor="text1" w:themeTint="BF"/>
                <w:sz w:val="23"/>
                <w:szCs w:val="23"/>
              </w:rPr>
              <w:t>Alexander Fedotov, Ali Gharavi,</w:t>
            </w:r>
            <w:r w:rsidR="00C45F2C" w:rsidRPr="00277BF2">
              <w:rPr>
                <w:rFonts w:ascii="Calibri Light" w:hAnsi="Calibri Light"/>
                <w:b/>
                <w:bCs/>
                <w:color w:val="404040" w:themeColor="text1" w:themeTint="BF"/>
                <w:sz w:val="23"/>
                <w:szCs w:val="23"/>
              </w:rPr>
              <w:t xml:space="preserve"> </w:t>
            </w:r>
            <w:r w:rsidR="00C45F2C" w:rsidRPr="00277BF2">
              <w:rPr>
                <w:rFonts w:ascii="Calibri Light" w:hAnsi="Calibri Light"/>
                <w:bCs/>
                <w:color w:val="404040" w:themeColor="text1" w:themeTint="BF"/>
                <w:sz w:val="23"/>
                <w:szCs w:val="23"/>
              </w:rPr>
              <w:t>George Hripcsak</w:t>
            </w:r>
            <w:r w:rsidR="00663401" w:rsidRPr="00277BF2">
              <w:rPr>
                <w:rFonts w:ascii="Calibri Light" w:hAnsi="Calibri Light"/>
                <w:bCs/>
                <w:color w:val="404040" w:themeColor="text1" w:themeTint="BF"/>
                <w:sz w:val="23"/>
                <w:szCs w:val="23"/>
              </w:rPr>
              <w:t>, Chunhua Weng</w:t>
            </w:r>
            <w:r w:rsidR="00C45F2C" w:rsidRPr="00277BF2">
              <w:rPr>
                <w:rFonts w:ascii="Calibri Light" w:hAnsi="Calibri Light"/>
                <w:bCs/>
                <w:color w:val="404040" w:themeColor="text1" w:themeTint="BF"/>
                <w:sz w:val="23"/>
                <w:szCs w:val="23"/>
              </w:rPr>
              <w:t xml:space="preserve">; </w:t>
            </w:r>
            <w:r w:rsidRPr="00277BF2">
              <w:rPr>
                <w:rFonts w:ascii="Calibri Light" w:hAnsi="Calibri Light"/>
                <w:b/>
                <w:bCs/>
                <w:color w:val="404040" w:themeColor="text1" w:themeTint="BF"/>
                <w:sz w:val="23"/>
                <w:szCs w:val="23"/>
              </w:rPr>
              <w:t>Geisinger:</w:t>
            </w:r>
            <w:r w:rsidR="00C45F2C" w:rsidRPr="00277BF2">
              <w:rPr>
                <w:rFonts w:ascii="Calibri Light" w:hAnsi="Calibri Light"/>
                <w:b/>
                <w:bCs/>
                <w:color w:val="404040" w:themeColor="text1" w:themeTint="BF"/>
                <w:sz w:val="23"/>
                <w:szCs w:val="23"/>
              </w:rPr>
              <w:t xml:space="preserve"> </w:t>
            </w:r>
            <w:r w:rsidR="00C45F2C" w:rsidRPr="00277BF2">
              <w:rPr>
                <w:rFonts w:ascii="Calibri Light" w:hAnsi="Calibri Light"/>
                <w:bCs/>
                <w:color w:val="404040" w:themeColor="text1" w:themeTint="BF"/>
                <w:sz w:val="23"/>
                <w:szCs w:val="23"/>
              </w:rPr>
              <w:t>Marc Williams;</w:t>
            </w:r>
            <w:r w:rsidRPr="00277BF2">
              <w:rPr>
                <w:rFonts w:ascii="Calibri Light" w:hAnsi="Calibri Light"/>
                <w:b/>
                <w:bCs/>
                <w:color w:val="404040" w:themeColor="text1" w:themeTint="BF"/>
                <w:sz w:val="23"/>
                <w:szCs w:val="23"/>
              </w:rPr>
              <w:t xml:space="preserve"> GHC/UW:</w:t>
            </w:r>
            <w:r w:rsidR="00C45F2C" w:rsidRPr="00277BF2">
              <w:rPr>
                <w:rFonts w:ascii="Calibri Light" w:hAnsi="Calibri Light"/>
                <w:b/>
                <w:bCs/>
                <w:color w:val="404040" w:themeColor="text1" w:themeTint="BF"/>
                <w:sz w:val="23"/>
                <w:szCs w:val="23"/>
              </w:rPr>
              <w:t xml:space="preserve"> </w:t>
            </w:r>
            <w:r w:rsidR="00C45F2C" w:rsidRPr="00277BF2">
              <w:rPr>
                <w:rFonts w:ascii="Calibri Light" w:hAnsi="Calibri Light"/>
                <w:bCs/>
                <w:color w:val="404040" w:themeColor="text1" w:themeTint="BF"/>
                <w:sz w:val="23"/>
                <w:szCs w:val="23"/>
              </w:rPr>
              <w:t>David Crosslin, Aaron Scrol;</w:t>
            </w:r>
            <w:r w:rsidRPr="00277BF2">
              <w:rPr>
                <w:rFonts w:ascii="Calibri Light" w:hAnsi="Calibri Light"/>
                <w:b/>
                <w:bCs/>
                <w:color w:val="404040" w:themeColor="text1" w:themeTint="BF"/>
                <w:sz w:val="23"/>
                <w:szCs w:val="23"/>
              </w:rPr>
              <w:t xml:space="preserve"> Harvard: </w:t>
            </w:r>
            <w:r w:rsidR="00C45F2C" w:rsidRPr="00277BF2">
              <w:rPr>
                <w:rFonts w:ascii="Calibri Light" w:hAnsi="Calibri Light"/>
                <w:bCs/>
                <w:color w:val="404040" w:themeColor="text1" w:themeTint="BF"/>
                <w:sz w:val="23"/>
                <w:szCs w:val="23"/>
              </w:rPr>
              <w:t>Elizabeth Karlson,</w:t>
            </w:r>
            <w:r w:rsidR="00C45F2C" w:rsidRPr="00277BF2">
              <w:rPr>
                <w:rFonts w:ascii="Calibri Light" w:hAnsi="Calibri Light"/>
                <w:b/>
                <w:bCs/>
                <w:color w:val="404040" w:themeColor="text1" w:themeTint="BF"/>
                <w:sz w:val="23"/>
                <w:szCs w:val="23"/>
              </w:rPr>
              <w:t xml:space="preserve"> </w:t>
            </w:r>
            <w:r w:rsidR="00C45F2C" w:rsidRPr="00277BF2">
              <w:rPr>
                <w:rFonts w:ascii="Calibri Light" w:hAnsi="Calibri Light"/>
                <w:bCs/>
                <w:color w:val="404040" w:themeColor="text1" w:themeTint="BF"/>
                <w:sz w:val="23"/>
                <w:szCs w:val="23"/>
              </w:rPr>
              <w:t>Shawn Murphy</w:t>
            </w:r>
            <w:r w:rsidR="00663401" w:rsidRPr="00277BF2">
              <w:rPr>
                <w:rFonts w:ascii="Calibri Light" w:hAnsi="Calibri Light"/>
                <w:bCs/>
                <w:color w:val="404040" w:themeColor="text1" w:themeTint="BF"/>
                <w:sz w:val="23"/>
                <w:szCs w:val="23"/>
              </w:rPr>
              <w:t>, Scott Weiss</w:t>
            </w:r>
            <w:r w:rsidR="00C45F2C" w:rsidRPr="00277BF2">
              <w:rPr>
                <w:rFonts w:ascii="Calibri Light" w:hAnsi="Calibri Light"/>
                <w:bCs/>
                <w:color w:val="404040" w:themeColor="text1" w:themeTint="BF"/>
                <w:sz w:val="23"/>
                <w:szCs w:val="23"/>
              </w:rPr>
              <w:t>;</w:t>
            </w:r>
            <w:r w:rsidR="00C45F2C" w:rsidRPr="00277BF2">
              <w:rPr>
                <w:rFonts w:ascii="Calibri Light" w:hAnsi="Calibri Light"/>
                <w:b/>
                <w:bCs/>
                <w:color w:val="404040" w:themeColor="text1" w:themeTint="BF"/>
                <w:sz w:val="23"/>
                <w:szCs w:val="23"/>
              </w:rPr>
              <w:t xml:space="preserve"> </w:t>
            </w:r>
            <w:r w:rsidRPr="00277BF2">
              <w:rPr>
                <w:rFonts w:ascii="Calibri Light" w:hAnsi="Calibri Light"/>
                <w:b/>
                <w:bCs/>
                <w:color w:val="404040" w:themeColor="text1" w:themeTint="BF"/>
                <w:sz w:val="23"/>
                <w:szCs w:val="23"/>
              </w:rPr>
              <w:t>Marshfield:</w:t>
            </w:r>
            <w:r w:rsidR="00C45F2C" w:rsidRPr="00277BF2">
              <w:rPr>
                <w:rFonts w:ascii="Calibri Light" w:hAnsi="Calibri Light"/>
                <w:b/>
                <w:bCs/>
                <w:color w:val="404040" w:themeColor="text1" w:themeTint="BF"/>
                <w:sz w:val="23"/>
                <w:szCs w:val="23"/>
              </w:rPr>
              <w:t xml:space="preserve"> </w:t>
            </w:r>
            <w:r w:rsidR="00C45F2C" w:rsidRPr="00277BF2">
              <w:rPr>
                <w:rFonts w:ascii="Calibri Light" w:hAnsi="Calibri Light"/>
                <w:bCs/>
                <w:color w:val="404040" w:themeColor="text1" w:themeTint="BF"/>
                <w:sz w:val="23"/>
                <w:szCs w:val="23"/>
              </w:rPr>
              <w:t>Murray Brilliant;</w:t>
            </w:r>
            <w:r w:rsidRPr="00277BF2">
              <w:rPr>
                <w:rFonts w:ascii="Calibri Light" w:hAnsi="Calibri Light"/>
                <w:b/>
                <w:bCs/>
                <w:color w:val="404040" w:themeColor="text1" w:themeTint="BF"/>
                <w:sz w:val="23"/>
                <w:szCs w:val="23"/>
              </w:rPr>
              <w:t xml:space="preserve"> Mayo:</w:t>
            </w:r>
            <w:r w:rsidR="00C45F2C" w:rsidRPr="00277BF2">
              <w:rPr>
                <w:rFonts w:ascii="Calibri Light" w:hAnsi="Calibri Light"/>
                <w:b/>
                <w:bCs/>
                <w:color w:val="404040" w:themeColor="text1" w:themeTint="BF"/>
                <w:sz w:val="23"/>
                <w:szCs w:val="23"/>
              </w:rPr>
              <w:t xml:space="preserve"> </w:t>
            </w:r>
            <w:r w:rsidR="00C45F2C" w:rsidRPr="00277BF2">
              <w:rPr>
                <w:rFonts w:ascii="Calibri Light" w:hAnsi="Calibri Light"/>
                <w:bCs/>
                <w:color w:val="404040" w:themeColor="text1" w:themeTint="BF"/>
                <w:sz w:val="23"/>
                <w:szCs w:val="23"/>
              </w:rPr>
              <w:t>Iftikhar Kullo, Stephen Thibodeau;</w:t>
            </w:r>
            <w:r w:rsidRPr="00277BF2">
              <w:rPr>
                <w:rFonts w:ascii="Calibri Light" w:hAnsi="Calibri Light"/>
                <w:b/>
                <w:bCs/>
                <w:color w:val="404040" w:themeColor="text1" w:themeTint="BF"/>
                <w:sz w:val="23"/>
                <w:szCs w:val="23"/>
              </w:rPr>
              <w:t xml:space="preserve"> Mt. Sinai: Northwestern:</w:t>
            </w:r>
            <w:r w:rsidR="009A6A7C" w:rsidRPr="00277BF2">
              <w:rPr>
                <w:rFonts w:ascii="Calibri Light" w:hAnsi="Calibri Light"/>
                <w:b/>
                <w:bCs/>
                <w:color w:val="404040" w:themeColor="text1" w:themeTint="BF"/>
                <w:sz w:val="23"/>
                <w:szCs w:val="23"/>
              </w:rPr>
              <w:t xml:space="preserve"> </w:t>
            </w:r>
            <w:r w:rsidR="009A6A7C" w:rsidRPr="00277BF2">
              <w:rPr>
                <w:rFonts w:ascii="Calibri Light" w:hAnsi="Calibri Light"/>
                <w:bCs/>
                <w:color w:val="404040" w:themeColor="text1" w:themeTint="BF"/>
                <w:sz w:val="23"/>
                <w:szCs w:val="23"/>
              </w:rPr>
              <w:t>Rex Chisholm;</w:t>
            </w:r>
            <w:r w:rsidRPr="00277BF2">
              <w:rPr>
                <w:rFonts w:ascii="Calibri Light" w:hAnsi="Calibri Light"/>
                <w:b/>
                <w:bCs/>
                <w:color w:val="404040" w:themeColor="text1" w:themeTint="BF"/>
                <w:sz w:val="23"/>
                <w:szCs w:val="23"/>
              </w:rPr>
              <w:t xml:space="preserve"> Vanderbilt: </w:t>
            </w:r>
            <w:r w:rsidR="00C45F2C" w:rsidRPr="00277BF2">
              <w:rPr>
                <w:rFonts w:ascii="Calibri Light" w:hAnsi="Calibri Light"/>
                <w:bCs/>
                <w:color w:val="404040" w:themeColor="text1" w:themeTint="BF"/>
                <w:sz w:val="23"/>
                <w:szCs w:val="23"/>
              </w:rPr>
              <w:t>Dan Roden;</w:t>
            </w:r>
            <w:r w:rsidR="00C45F2C" w:rsidRPr="00277BF2">
              <w:rPr>
                <w:rFonts w:ascii="Calibri Light" w:hAnsi="Calibri Light"/>
                <w:b/>
                <w:bCs/>
                <w:color w:val="404040" w:themeColor="text1" w:themeTint="BF"/>
                <w:sz w:val="23"/>
                <w:szCs w:val="23"/>
              </w:rPr>
              <w:t xml:space="preserve"> </w:t>
            </w:r>
            <w:r w:rsidRPr="00277BF2">
              <w:rPr>
                <w:rFonts w:ascii="Calibri Light" w:hAnsi="Calibri Light"/>
                <w:b/>
                <w:bCs/>
                <w:color w:val="404040" w:themeColor="text1" w:themeTint="BF"/>
                <w:sz w:val="23"/>
                <w:szCs w:val="23"/>
              </w:rPr>
              <w:t xml:space="preserve">Baylor: </w:t>
            </w:r>
            <w:r w:rsidR="00C45F2C" w:rsidRPr="00277BF2">
              <w:rPr>
                <w:rFonts w:ascii="Calibri Light" w:hAnsi="Calibri Light"/>
                <w:bCs/>
                <w:color w:val="404040" w:themeColor="text1" w:themeTint="BF"/>
                <w:sz w:val="23"/>
                <w:szCs w:val="23"/>
              </w:rPr>
              <w:t>Richard Gibbs;</w:t>
            </w:r>
            <w:r w:rsidR="00C45F2C" w:rsidRPr="00277BF2">
              <w:rPr>
                <w:rFonts w:ascii="Calibri Light" w:hAnsi="Calibri Light"/>
                <w:b/>
                <w:bCs/>
                <w:color w:val="404040" w:themeColor="text1" w:themeTint="BF"/>
                <w:sz w:val="23"/>
                <w:szCs w:val="23"/>
              </w:rPr>
              <w:t xml:space="preserve"> </w:t>
            </w:r>
            <w:r w:rsidRPr="00277BF2">
              <w:rPr>
                <w:rFonts w:ascii="Calibri Light" w:hAnsi="Calibri Light"/>
                <w:b/>
                <w:bCs/>
                <w:color w:val="404040" w:themeColor="text1" w:themeTint="BF"/>
                <w:sz w:val="23"/>
                <w:szCs w:val="23"/>
              </w:rPr>
              <w:t xml:space="preserve">Partners/Broad: </w:t>
            </w:r>
            <w:r w:rsidR="00C45F2C" w:rsidRPr="00277BF2">
              <w:rPr>
                <w:rFonts w:ascii="Calibri Light" w:hAnsi="Calibri Light"/>
                <w:bCs/>
                <w:color w:val="404040" w:themeColor="text1" w:themeTint="BF"/>
                <w:sz w:val="23"/>
                <w:szCs w:val="23"/>
              </w:rPr>
              <w:t>Birgit Funke,</w:t>
            </w:r>
            <w:r w:rsidR="00663401" w:rsidRPr="00277BF2">
              <w:rPr>
                <w:rFonts w:ascii="Calibri Light" w:hAnsi="Calibri Light"/>
                <w:bCs/>
                <w:color w:val="404040" w:themeColor="text1" w:themeTint="BF"/>
                <w:sz w:val="23"/>
                <w:szCs w:val="23"/>
              </w:rPr>
              <w:t xml:space="preserve"> Stacey Gabriel,</w:t>
            </w:r>
            <w:r w:rsidR="00C45F2C" w:rsidRPr="00277BF2">
              <w:rPr>
                <w:rFonts w:ascii="Calibri Light" w:hAnsi="Calibri Light"/>
                <w:bCs/>
                <w:color w:val="404040" w:themeColor="text1" w:themeTint="BF"/>
                <w:sz w:val="23"/>
                <w:szCs w:val="23"/>
              </w:rPr>
              <w:t xml:space="preserve"> Niall Lennon,</w:t>
            </w:r>
            <w:r w:rsidR="00C45F2C" w:rsidRPr="00277BF2">
              <w:rPr>
                <w:rFonts w:ascii="Calibri Light" w:hAnsi="Calibri Light"/>
                <w:b/>
                <w:bCs/>
                <w:color w:val="404040" w:themeColor="text1" w:themeTint="BF"/>
                <w:sz w:val="23"/>
                <w:szCs w:val="23"/>
              </w:rPr>
              <w:t xml:space="preserve"> </w:t>
            </w:r>
            <w:r w:rsidR="00C45F2C" w:rsidRPr="00277BF2">
              <w:rPr>
                <w:rFonts w:ascii="Calibri Light" w:hAnsi="Calibri Light"/>
                <w:bCs/>
                <w:color w:val="404040" w:themeColor="text1" w:themeTint="BF"/>
                <w:sz w:val="23"/>
                <w:szCs w:val="23"/>
              </w:rPr>
              <w:t>Heidi Rehm,</w:t>
            </w:r>
            <w:r w:rsidR="00C45F2C" w:rsidRPr="00277BF2">
              <w:rPr>
                <w:rFonts w:ascii="Calibri Light" w:hAnsi="Calibri Light"/>
                <w:b/>
                <w:bCs/>
                <w:color w:val="404040" w:themeColor="text1" w:themeTint="BF"/>
                <w:sz w:val="23"/>
                <w:szCs w:val="23"/>
              </w:rPr>
              <w:t xml:space="preserve"> </w:t>
            </w:r>
            <w:r w:rsidRPr="00277BF2">
              <w:rPr>
                <w:rFonts w:ascii="Calibri Light" w:hAnsi="Calibri Light"/>
                <w:b/>
                <w:bCs/>
                <w:color w:val="404040" w:themeColor="text1" w:themeTint="BF"/>
                <w:sz w:val="23"/>
                <w:szCs w:val="23"/>
              </w:rPr>
              <w:t xml:space="preserve">NHGRI: </w:t>
            </w:r>
            <w:r w:rsidR="00C45F2C" w:rsidRPr="00277BF2">
              <w:rPr>
                <w:rFonts w:ascii="Calibri Light" w:hAnsi="Calibri Light"/>
                <w:bCs/>
                <w:color w:val="404040" w:themeColor="text1" w:themeTint="BF"/>
                <w:sz w:val="23"/>
                <w:szCs w:val="23"/>
              </w:rPr>
              <w:t>Rongling Li, Teri Manolio, Ken Wiley,</w:t>
            </w:r>
            <w:r w:rsidR="00C45F2C" w:rsidRPr="00277BF2">
              <w:rPr>
                <w:rFonts w:ascii="Calibri Light" w:hAnsi="Calibri Light"/>
                <w:b/>
                <w:bCs/>
                <w:color w:val="404040" w:themeColor="text1" w:themeTint="BF"/>
                <w:sz w:val="23"/>
                <w:szCs w:val="23"/>
              </w:rPr>
              <w:t xml:space="preserve"> </w:t>
            </w:r>
            <w:r w:rsidR="00C45F2C" w:rsidRPr="00277BF2">
              <w:rPr>
                <w:rFonts w:ascii="Calibri Light" w:hAnsi="Calibri Light"/>
                <w:bCs/>
                <w:color w:val="404040" w:themeColor="text1" w:themeTint="BF"/>
                <w:sz w:val="23"/>
                <w:szCs w:val="23"/>
              </w:rPr>
              <w:t>Jyoti Gupta, Kira Wong;</w:t>
            </w:r>
            <w:r w:rsidR="00C45F2C" w:rsidRPr="00277BF2">
              <w:rPr>
                <w:rFonts w:ascii="Calibri Light" w:hAnsi="Calibri Light"/>
                <w:b/>
                <w:bCs/>
                <w:color w:val="404040" w:themeColor="text1" w:themeTint="BF"/>
                <w:sz w:val="23"/>
                <w:szCs w:val="23"/>
              </w:rPr>
              <w:t xml:space="preserve"> </w:t>
            </w:r>
            <w:r w:rsidRPr="00277BF2">
              <w:rPr>
                <w:rFonts w:ascii="Calibri Light" w:hAnsi="Calibri Light"/>
                <w:b/>
                <w:bCs/>
                <w:color w:val="404040" w:themeColor="text1" w:themeTint="BF"/>
                <w:sz w:val="23"/>
                <w:szCs w:val="23"/>
              </w:rPr>
              <w:t xml:space="preserve">CC: </w:t>
            </w:r>
            <w:r w:rsidR="009A6A7C" w:rsidRPr="00277BF2">
              <w:rPr>
                <w:rFonts w:ascii="Calibri Light" w:hAnsi="Calibri Light"/>
                <w:bCs/>
                <w:color w:val="404040" w:themeColor="text1" w:themeTint="BF"/>
                <w:sz w:val="23"/>
                <w:szCs w:val="23"/>
              </w:rPr>
              <w:t>Paul Harris, Melissa Basford, Kayla Howell, Brianne Brucker Derveloy;</w:t>
            </w:r>
            <w:r w:rsidRPr="00277BF2">
              <w:rPr>
                <w:rFonts w:ascii="Calibri Light" w:hAnsi="Calibri Light"/>
                <w:b/>
                <w:bCs/>
                <w:color w:val="404040" w:themeColor="text1" w:themeTint="BF"/>
                <w:sz w:val="23"/>
                <w:szCs w:val="23"/>
              </w:rPr>
              <w:t xml:space="preserve"> ESP: </w:t>
            </w:r>
            <w:r w:rsidR="00C45F2C" w:rsidRPr="00277BF2">
              <w:rPr>
                <w:rFonts w:ascii="Calibri Light" w:hAnsi="Calibri Light"/>
                <w:bCs/>
                <w:color w:val="404040" w:themeColor="text1" w:themeTint="BF"/>
                <w:sz w:val="23"/>
                <w:szCs w:val="23"/>
              </w:rPr>
              <w:t xml:space="preserve">Howard McLeod (Moffit Cancer Center), </w:t>
            </w:r>
            <w:r w:rsidR="009A6A7C" w:rsidRPr="00277BF2">
              <w:rPr>
                <w:rFonts w:ascii="Calibri Light" w:hAnsi="Calibri Light"/>
                <w:bCs/>
                <w:color w:val="404040" w:themeColor="text1" w:themeTint="BF"/>
                <w:sz w:val="23"/>
                <w:szCs w:val="23"/>
              </w:rPr>
              <w:t xml:space="preserve">Eta Berner (University of Alabama – Birmingham), Kimberly Doheny (Johns Hopkins University), </w:t>
            </w:r>
            <w:r w:rsidR="00C45F2C" w:rsidRPr="00277BF2">
              <w:rPr>
                <w:rFonts w:ascii="Calibri Light" w:hAnsi="Calibri Light"/>
                <w:bCs/>
                <w:color w:val="404040" w:themeColor="text1" w:themeTint="BF"/>
                <w:sz w:val="23"/>
                <w:szCs w:val="23"/>
              </w:rPr>
              <w:t>Gerardo Heiss (University of North Carolina), Stan Huff (InterMountain Healthcare), Lisa Parker (University of Pittsburgh), Vandana Shashi (Duke University)</w:t>
            </w:r>
          </w:p>
        </w:tc>
      </w:tr>
      <w:tr w:rsidR="00A44EB1" w:rsidRPr="00A44EB1" w14:paraId="1F0C24A3" w14:textId="77777777" w:rsidTr="00054F01">
        <w:trPr>
          <w:trHeight w:val="375"/>
        </w:trPr>
        <w:tc>
          <w:tcPr>
            <w:tcW w:w="11341" w:type="dxa"/>
            <w:tcBorders>
              <w:top w:val="double" w:sz="4" w:space="0" w:color="auto"/>
              <w:left w:val="single" w:sz="8" w:space="0" w:color="auto"/>
              <w:bottom w:val="single" w:sz="8" w:space="0" w:color="auto"/>
              <w:right w:val="single" w:sz="8" w:space="0" w:color="auto"/>
            </w:tcBorders>
            <w:shd w:val="clear" w:color="auto" w:fill="008BCC"/>
            <w:tcMar>
              <w:top w:w="29" w:type="dxa"/>
              <w:left w:w="29" w:type="dxa"/>
              <w:bottom w:w="29" w:type="dxa"/>
              <w:right w:w="29" w:type="dxa"/>
            </w:tcMar>
            <w:vAlign w:val="center"/>
          </w:tcPr>
          <w:p w14:paraId="7D6ECF1A" w14:textId="77777777" w:rsidR="00A44EB1" w:rsidRPr="00A44EB1" w:rsidRDefault="00A44EB1" w:rsidP="00A44EB1">
            <w:pPr>
              <w:spacing w:before="120" w:after="120" w:line="276" w:lineRule="auto"/>
              <w:rPr>
                <w:b/>
                <w:sz w:val="24"/>
                <w:szCs w:val="24"/>
              </w:rPr>
            </w:pPr>
            <w:r w:rsidRPr="00A44EB1">
              <w:rPr>
                <w:b/>
                <w:color w:val="FFFFFF" w:themeColor="background1"/>
                <w:sz w:val="24"/>
                <w:szCs w:val="24"/>
              </w:rPr>
              <w:t>Welcome, Opening Remarks, General Updates</w:t>
            </w:r>
            <w:r>
              <w:rPr>
                <w:b/>
                <w:color w:val="FFFFFF" w:themeColor="background1"/>
                <w:sz w:val="24"/>
                <w:szCs w:val="24"/>
              </w:rPr>
              <w:t xml:space="preserve"> – </w:t>
            </w:r>
            <w:r w:rsidRPr="00A44EB1">
              <w:rPr>
                <w:b/>
                <w:i/>
                <w:color w:val="FFFFFF" w:themeColor="background1"/>
                <w:sz w:val="24"/>
                <w:szCs w:val="24"/>
              </w:rPr>
              <w:t>Rongling Li &amp; Howard McLeod</w:t>
            </w:r>
          </w:p>
        </w:tc>
      </w:tr>
      <w:tr w:rsidR="00A44EB1" w:rsidRPr="00A44EB1" w14:paraId="7B75F12C" w14:textId="77777777" w:rsidTr="00054F01">
        <w:trPr>
          <w:trHeight w:val="321"/>
        </w:trPr>
        <w:tc>
          <w:tcPr>
            <w:tcW w:w="11341" w:type="dxa"/>
            <w:tcBorders>
              <w:top w:val="double" w:sz="4" w:space="0" w:color="auto"/>
              <w:left w:val="single" w:sz="8" w:space="0" w:color="auto"/>
              <w:bottom w:val="single" w:sz="8" w:space="0" w:color="auto"/>
              <w:right w:val="single" w:sz="8" w:space="0" w:color="auto"/>
            </w:tcBorders>
            <w:shd w:val="clear" w:color="auto" w:fill="FFFFFF" w:themeFill="background1"/>
            <w:tcMar>
              <w:top w:w="29" w:type="dxa"/>
              <w:left w:w="29" w:type="dxa"/>
              <w:bottom w:w="29" w:type="dxa"/>
              <w:right w:w="29" w:type="dxa"/>
            </w:tcMar>
            <w:vAlign w:val="center"/>
          </w:tcPr>
          <w:p w14:paraId="2FE6555C" w14:textId="77777777" w:rsidR="00A44EB1" w:rsidRPr="00277BF2" w:rsidRDefault="001620B5" w:rsidP="00277BF2">
            <w:pPr>
              <w:pStyle w:val="ListParagraph"/>
              <w:numPr>
                <w:ilvl w:val="0"/>
                <w:numId w:val="4"/>
              </w:numPr>
              <w:spacing w:before="120" w:after="120" w:line="240" w:lineRule="auto"/>
              <w:rPr>
                <w:rFonts w:asciiTheme="majorHAnsi" w:hAnsiTheme="majorHAnsi"/>
                <w:b/>
                <w:sz w:val="23"/>
                <w:szCs w:val="23"/>
              </w:rPr>
            </w:pPr>
            <w:r w:rsidRPr="00277BF2">
              <w:rPr>
                <w:rFonts w:asciiTheme="majorHAnsi" w:hAnsiTheme="majorHAnsi"/>
                <w:sz w:val="23"/>
                <w:szCs w:val="23"/>
              </w:rPr>
              <w:t xml:space="preserve">Rongling welcomed the ESP members, and highlighted addition of two new eMERGE III ESP members: Kim Doheny (Johns Hopkins University) and Vandana Shashi (Duke University).  </w:t>
            </w:r>
          </w:p>
          <w:p w14:paraId="32658396" w14:textId="46119C81" w:rsidR="001620B5" w:rsidRPr="001620B5" w:rsidRDefault="001620B5" w:rsidP="00277BF2">
            <w:pPr>
              <w:pStyle w:val="ListParagraph"/>
              <w:numPr>
                <w:ilvl w:val="0"/>
                <w:numId w:val="4"/>
              </w:numPr>
              <w:spacing w:before="120" w:after="120" w:line="240" w:lineRule="auto"/>
              <w:rPr>
                <w:rFonts w:ascii="Calibri Light" w:hAnsi="Calibri Light"/>
                <w:b/>
                <w:szCs w:val="24"/>
              </w:rPr>
            </w:pPr>
            <w:r w:rsidRPr="00277BF2">
              <w:rPr>
                <w:rFonts w:asciiTheme="majorHAnsi" w:hAnsiTheme="majorHAnsi"/>
                <w:sz w:val="23"/>
                <w:szCs w:val="23"/>
              </w:rPr>
              <w:t>Howard thank</w:t>
            </w:r>
            <w:r w:rsidR="00F95310" w:rsidRPr="00277BF2">
              <w:rPr>
                <w:rFonts w:asciiTheme="majorHAnsi" w:hAnsiTheme="majorHAnsi"/>
                <w:sz w:val="23"/>
                <w:szCs w:val="23"/>
              </w:rPr>
              <w:t>ed</w:t>
            </w:r>
            <w:r w:rsidRPr="00277BF2">
              <w:rPr>
                <w:rFonts w:asciiTheme="majorHAnsi" w:hAnsiTheme="majorHAnsi"/>
                <w:sz w:val="23"/>
                <w:szCs w:val="23"/>
              </w:rPr>
              <w:t xml:space="preserve"> the coordinating center for creation of the ESP conference documents, and expresse</w:t>
            </w:r>
            <w:r w:rsidR="00F95310" w:rsidRPr="00277BF2">
              <w:rPr>
                <w:rFonts w:asciiTheme="majorHAnsi" w:hAnsiTheme="majorHAnsi"/>
                <w:sz w:val="23"/>
                <w:szCs w:val="23"/>
              </w:rPr>
              <w:t>d</w:t>
            </w:r>
            <w:r w:rsidRPr="00277BF2">
              <w:rPr>
                <w:rFonts w:asciiTheme="majorHAnsi" w:hAnsiTheme="majorHAnsi"/>
                <w:sz w:val="23"/>
                <w:szCs w:val="23"/>
              </w:rPr>
              <w:t xml:space="preserve"> his excitement at the kickoff eMERGE III.</w:t>
            </w:r>
          </w:p>
        </w:tc>
      </w:tr>
      <w:tr w:rsidR="00A44EB1" w:rsidRPr="00A44EB1" w14:paraId="2B075716" w14:textId="77777777" w:rsidTr="00054F01">
        <w:trPr>
          <w:trHeight w:val="321"/>
        </w:trPr>
        <w:tc>
          <w:tcPr>
            <w:tcW w:w="11341" w:type="dxa"/>
            <w:tcBorders>
              <w:top w:val="single" w:sz="8" w:space="0" w:color="auto"/>
              <w:left w:val="single" w:sz="8" w:space="0" w:color="auto"/>
              <w:bottom w:val="single" w:sz="8" w:space="0" w:color="auto"/>
              <w:right w:val="single" w:sz="8" w:space="0" w:color="auto"/>
            </w:tcBorders>
            <w:shd w:val="clear" w:color="auto" w:fill="008BCC"/>
            <w:tcMar>
              <w:top w:w="29" w:type="dxa"/>
              <w:left w:w="29" w:type="dxa"/>
              <w:bottom w:w="29" w:type="dxa"/>
              <w:right w:w="29" w:type="dxa"/>
            </w:tcMar>
            <w:vAlign w:val="center"/>
          </w:tcPr>
          <w:p w14:paraId="76B22376" w14:textId="77777777" w:rsidR="00A44EB1" w:rsidRPr="00A44EB1" w:rsidRDefault="00A44EB1" w:rsidP="00A44EB1">
            <w:pPr>
              <w:spacing w:before="120" w:after="120" w:line="240" w:lineRule="auto"/>
              <w:rPr>
                <w:b/>
                <w:color w:val="FFFFFF" w:themeColor="background1"/>
                <w:sz w:val="24"/>
                <w:szCs w:val="24"/>
              </w:rPr>
            </w:pPr>
            <w:r w:rsidRPr="00A44EB1">
              <w:rPr>
                <w:b/>
                <w:color w:val="FFFFFF" w:themeColor="background1"/>
                <w:sz w:val="24"/>
                <w:szCs w:val="24"/>
              </w:rPr>
              <w:t>Network Introduction</w:t>
            </w:r>
            <w:r>
              <w:rPr>
                <w:b/>
                <w:color w:val="FFFFFF" w:themeColor="background1"/>
                <w:sz w:val="24"/>
                <w:szCs w:val="24"/>
              </w:rPr>
              <w:t xml:space="preserve"> –</w:t>
            </w:r>
            <w:r w:rsidRPr="00A44EB1">
              <w:rPr>
                <w:b/>
                <w:i/>
                <w:color w:val="FFFFFF" w:themeColor="background1"/>
                <w:sz w:val="24"/>
                <w:szCs w:val="24"/>
              </w:rPr>
              <w:t xml:space="preserve"> Rex Chisholm</w:t>
            </w:r>
          </w:p>
        </w:tc>
      </w:tr>
      <w:tr w:rsidR="00A44EB1" w:rsidRPr="00A44EB1" w14:paraId="45B2B252" w14:textId="77777777" w:rsidTr="00054F01">
        <w:trPr>
          <w:trHeight w:val="321"/>
        </w:trPr>
        <w:tc>
          <w:tcPr>
            <w:tcW w:w="11341" w:type="dxa"/>
            <w:tcBorders>
              <w:top w:val="single" w:sz="8" w:space="0" w:color="auto"/>
              <w:left w:val="single" w:sz="8" w:space="0" w:color="auto"/>
              <w:bottom w:val="single" w:sz="8" w:space="0" w:color="auto"/>
              <w:right w:val="single" w:sz="8" w:space="0" w:color="auto"/>
            </w:tcBorders>
            <w:tcMar>
              <w:top w:w="29" w:type="dxa"/>
              <w:left w:w="29" w:type="dxa"/>
              <w:bottom w:w="29" w:type="dxa"/>
              <w:right w:w="29" w:type="dxa"/>
            </w:tcMar>
            <w:vAlign w:val="center"/>
          </w:tcPr>
          <w:p w14:paraId="53A4AC26" w14:textId="2CADE6C4" w:rsidR="00941C24" w:rsidRPr="00277BF2" w:rsidRDefault="00161C86" w:rsidP="001620B5">
            <w:pPr>
              <w:pStyle w:val="ListParagraph"/>
              <w:numPr>
                <w:ilvl w:val="0"/>
                <w:numId w:val="5"/>
              </w:numPr>
              <w:spacing w:before="120" w:after="120" w:line="240" w:lineRule="auto"/>
              <w:rPr>
                <w:rFonts w:asciiTheme="majorHAnsi" w:hAnsiTheme="majorHAnsi"/>
                <w:sz w:val="23"/>
                <w:szCs w:val="23"/>
              </w:rPr>
            </w:pPr>
            <w:r w:rsidRPr="00277BF2">
              <w:rPr>
                <w:rFonts w:asciiTheme="majorHAnsi" w:hAnsiTheme="majorHAnsi"/>
                <w:sz w:val="23"/>
                <w:szCs w:val="23"/>
              </w:rPr>
              <w:t>In Phase III, the Network incorporated</w:t>
            </w:r>
            <w:r w:rsidR="001620B5" w:rsidRPr="00277BF2">
              <w:rPr>
                <w:rFonts w:asciiTheme="majorHAnsi" w:hAnsiTheme="majorHAnsi"/>
                <w:sz w:val="23"/>
                <w:szCs w:val="23"/>
              </w:rPr>
              <w:t xml:space="preserve"> sequencing </w:t>
            </w:r>
            <w:r w:rsidRPr="00277BF2">
              <w:rPr>
                <w:rFonts w:asciiTheme="majorHAnsi" w:hAnsiTheme="majorHAnsi"/>
                <w:sz w:val="23"/>
                <w:szCs w:val="23"/>
              </w:rPr>
              <w:t>and a focus on</w:t>
            </w:r>
            <w:r w:rsidR="001620B5" w:rsidRPr="00277BF2">
              <w:rPr>
                <w:rFonts w:asciiTheme="majorHAnsi" w:hAnsiTheme="majorHAnsi"/>
                <w:sz w:val="23"/>
                <w:szCs w:val="23"/>
              </w:rPr>
              <w:t xml:space="preserve"> return of results </w:t>
            </w:r>
            <w:r w:rsidRPr="00277BF2">
              <w:rPr>
                <w:rFonts w:asciiTheme="majorHAnsi" w:hAnsiTheme="majorHAnsi"/>
                <w:sz w:val="23"/>
                <w:szCs w:val="23"/>
              </w:rPr>
              <w:t xml:space="preserve">to participants. </w:t>
            </w:r>
          </w:p>
          <w:p w14:paraId="6F6D20BE" w14:textId="4F60C099" w:rsidR="00DA4C6B" w:rsidRPr="00277BF2" w:rsidRDefault="00DA4C6B" w:rsidP="00DA4C6B">
            <w:pPr>
              <w:pStyle w:val="ListParagraph"/>
              <w:numPr>
                <w:ilvl w:val="1"/>
                <w:numId w:val="5"/>
              </w:numPr>
              <w:spacing w:before="120" w:after="120" w:line="240" w:lineRule="auto"/>
              <w:rPr>
                <w:rFonts w:asciiTheme="majorHAnsi" w:hAnsiTheme="majorHAnsi"/>
                <w:sz w:val="23"/>
                <w:szCs w:val="23"/>
              </w:rPr>
            </w:pPr>
            <w:r w:rsidRPr="00277BF2">
              <w:rPr>
                <w:rFonts w:asciiTheme="majorHAnsi" w:hAnsiTheme="majorHAnsi"/>
                <w:sz w:val="23"/>
                <w:szCs w:val="23"/>
              </w:rPr>
              <w:t>The Network will have ~</w:t>
            </w:r>
            <w:r w:rsidR="0018126B">
              <w:rPr>
                <w:rFonts w:asciiTheme="majorHAnsi" w:hAnsiTheme="majorHAnsi"/>
                <w:sz w:val="23"/>
                <w:szCs w:val="23"/>
              </w:rPr>
              <w:t>87</w:t>
            </w:r>
            <w:r w:rsidRPr="00277BF2">
              <w:rPr>
                <w:rFonts w:asciiTheme="majorHAnsi" w:hAnsiTheme="majorHAnsi"/>
                <w:sz w:val="23"/>
                <w:szCs w:val="23"/>
              </w:rPr>
              <w:t>,000 GWAS samples available to conduct common variant analysis.</w:t>
            </w:r>
          </w:p>
          <w:p w14:paraId="488E0B4A" w14:textId="48E9BA0F" w:rsidR="00DA4C6B" w:rsidRPr="00277BF2" w:rsidRDefault="00DA4C6B" w:rsidP="00DA4C6B">
            <w:pPr>
              <w:pStyle w:val="ListParagraph"/>
              <w:numPr>
                <w:ilvl w:val="1"/>
                <w:numId w:val="5"/>
              </w:numPr>
              <w:spacing w:before="120" w:after="120" w:line="240" w:lineRule="auto"/>
              <w:rPr>
                <w:rFonts w:asciiTheme="majorHAnsi" w:hAnsiTheme="majorHAnsi"/>
                <w:sz w:val="23"/>
                <w:szCs w:val="23"/>
              </w:rPr>
            </w:pPr>
            <w:r w:rsidRPr="00277BF2">
              <w:rPr>
                <w:rFonts w:asciiTheme="majorHAnsi" w:hAnsiTheme="majorHAnsi"/>
                <w:sz w:val="23"/>
                <w:szCs w:val="23"/>
              </w:rPr>
              <w:t xml:space="preserve">The Network </w:t>
            </w:r>
            <w:r w:rsidR="00F95310" w:rsidRPr="00277BF2">
              <w:rPr>
                <w:rFonts w:asciiTheme="majorHAnsi" w:hAnsiTheme="majorHAnsi"/>
                <w:sz w:val="23"/>
                <w:szCs w:val="23"/>
              </w:rPr>
              <w:t>developed</w:t>
            </w:r>
            <w:r w:rsidRPr="00277BF2">
              <w:rPr>
                <w:rFonts w:asciiTheme="majorHAnsi" w:hAnsiTheme="majorHAnsi"/>
                <w:sz w:val="23"/>
                <w:szCs w:val="23"/>
              </w:rPr>
              <w:t xml:space="preserve"> an eMERGE III sequencing panel, consisting of 109 genes </w:t>
            </w:r>
            <w:r w:rsidR="00A8531D" w:rsidRPr="00277BF2">
              <w:rPr>
                <w:rFonts w:asciiTheme="majorHAnsi" w:hAnsiTheme="majorHAnsi"/>
                <w:sz w:val="23"/>
                <w:szCs w:val="23"/>
              </w:rPr>
              <w:t>(ACMG</w:t>
            </w:r>
            <w:r w:rsidRPr="00277BF2">
              <w:rPr>
                <w:rFonts w:asciiTheme="majorHAnsi" w:hAnsiTheme="majorHAnsi"/>
                <w:sz w:val="23"/>
                <w:szCs w:val="23"/>
              </w:rPr>
              <w:t>56 and 53 submitted by sites) and ~1500 SNPs</w:t>
            </w:r>
            <w:r w:rsidR="00AE2CA8" w:rsidRPr="00277BF2">
              <w:rPr>
                <w:rFonts w:asciiTheme="majorHAnsi" w:hAnsiTheme="majorHAnsi"/>
                <w:sz w:val="23"/>
                <w:szCs w:val="23"/>
              </w:rPr>
              <w:t>.</w:t>
            </w:r>
          </w:p>
          <w:p w14:paraId="0C53EFE0" w14:textId="42107CB1" w:rsidR="00FE3449" w:rsidRPr="00277BF2" w:rsidRDefault="00F95310" w:rsidP="00DA4C6B">
            <w:pPr>
              <w:pStyle w:val="ListParagraph"/>
              <w:numPr>
                <w:ilvl w:val="1"/>
                <w:numId w:val="5"/>
              </w:numPr>
              <w:spacing w:before="120" w:after="120" w:line="240" w:lineRule="auto"/>
              <w:rPr>
                <w:rFonts w:asciiTheme="majorHAnsi" w:hAnsiTheme="majorHAnsi"/>
                <w:sz w:val="23"/>
                <w:szCs w:val="23"/>
              </w:rPr>
            </w:pPr>
            <w:r w:rsidRPr="00277BF2">
              <w:rPr>
                <w:rFonts w:asciiTheme="majorHAnsi" w:hAnsiTheme="majorHAnsi"/>
                <w:sz w:val="23"/>
                <w:szCs w:val="23"/>
              </w:rPr>
              <w:t>This phase of eMERGE</w:t>
            </w:r>
            <w:r w:rsidR="00FE3449" w:rsidRPr="00277BF2">
              <w:rPr>
                <w:rFonts w:asciiTheme="majorHAnsi" w:hAnsiTheme="majorHAnsi"/>
                <w:sz w:val="23"/>
                <w:szCs w:val="23"/>
              </w:rPr>
              <w:t xml:space="preserve"> will focus on “detailed, deep sequencing” in order to </w:t>
            </w:r>
            <w:r w:rsidR="00576C86" w:rsidRPr="00277BF2">
              <w:rPr>
                <w:rFonts w:asciiTheme="majorHAnsi" w:hAnsiTheme="majorHAnsi"/>
                <w:sz w:val="23"/>
                <w:szCs w:val="23"/>
              </w:rPr>
              <w:t>discover</w:t>
            </w:r>
            <w:r w:rsidR="00FE3449" w:rsidRPr="00277BF2">
              <w:rPr>
                <w:rFonts w:asciiTheme="majorHAnsi" w:hAnsiTheme="majorHAnsi"/>
                <w:sz w:val="23"/>
                <w:szCs w:val="23"/>
              </w:rPr>
              <w:t xml:space="preserve"> novel, rare and new variants, as well as </w:t>
            </w:r>
            <w:r w:rsidR="00C805F1" w:rsidRPr="00277BF2">
              <w:rPr>
                <w:rFonts w:asciiTheme="majorHAnsi" w:hAnsiTheme="majorHAnsi"/>
                <w:sz w:val="23"/>
                <w:szCs w:val="23"/>
              </w:rPr>
              <w:t xml:space="preserve">further </w:t>
            </w:r>
            <w:r w:rsidRPr="00277BF2">
              <w:rPr>
                <w:rFonts w:asciiTheme="majorHAnsi" w:hAnsiTheme="majorHAnsi"/>
                <w:sz w:val="23"/>
                <w:szCs w:val="23"/>
              </w:rPr>
              <w:t xml:space="preserve">develop the knowledgebase on </w:t>
            </w:r>
            <w:r w:rsidR="00FE3449" w:rsidRPr="00277BF2">
              <w:rPr>
                <w:rFonts w:asciiTheme="majorHAnsi" w:hAnsiTheme="majorHAnsi"/>
                <w:sz w:val="23"/>
                <w:szCs w:val="23"/>
              </w:rPr>
              <w:t xml:space="preserve">previously identified variants. </w:t>
            </w:r>
          </w:p>
          <w:p w14:paraId="0B261DA0" w14:textId="77777777" w:rsidR="00DA4C6B" w:rsidRPr="00277BF2" w:rsidRDefault="00DA4C6B" w:rsidP="001620B5">
            <w:pPr>
              <w:pStyle w:val="ListParagraph"/>
              <w:numPr>
                <w:ilvl w:val="0"/>
                <w:numId w:val="5"/>
              </w:numPr>
              <w:spacing w:before="120" w:after="120" w:line="240" w:lineRule="auto"/>
              <w:rPr>
                <w:rFonts w:asciiTheme="majorHAnsi" w:hAnsiTheme="majorHAnsi"/>
                <w:sz w:val="23"/>
                <w:szCs w:val="23"/>
              </w:rPr>
            </w:pPr>
            <w:r w:rsidRPr="00277BF2">
              <w:rPr>
                <w:rFonts w:asciiTheme="majorHAnsi" w:hAnsiTheme="majorHAnsi"/>
                <w:sz w:val="23"/>
                <w:szCs w:val="23"/>
              </w:rPr>
              <w:t xml:space="preserve">In Phase III, </w:t>
            </w:r>
            <w:r w:rsidR="00161C86" w:rsidRPr="00277BF2">
              <w:rPr>
                <w:rFonts w:asciiTheme="majorHAnsi" w:hAnsiTheme="majorHAnsi"/>
                <w:sz w:val="23"/>
                <w:szCs w:val="23"/>
              </w:rPr>
              <w:t>The Network has</w:t>
            </w:r>
            <w:r w:rsidRPr="00277BF2">
              <w:rPr>
                <w:rFonts w:asciiTheme="majorHAnsi" w:hAnsiTheme="majorHAnsi"/>
                <w:sz w:val="23"/>
                <w:szCs w:val="23"/>
              </w:rPr>
              <w:t xml:space="preserve"> implemented the following organizational changes:</w:t>
            </w:r>
          </w:p>
          <w:p w14:paraId="504B2DE9" w14:textId="46D4971C" w:rsidR="00A44EB1" w:rsidRPr="00277BF2" w:rsidRDefault="00DA4C6B" w:rsidP="00DA4C6B">
            <w:pPr>
              <w:pStyle w:val="ListParagraph"/>
              <w:numPr>
                <w:ilvl w:val="1"/>
                <w:numId w:val="5"/>
              </w:numPr>
              <w:spacing w:before="120" w:after="120" w:line="240" w:lineRule="auto"/>
              <w:rPr>
                <w:rFonts w:asciiTheme="majorHAnsi" w:hAnsiTheme="majorHAnsi"/>
                <w:sz w:val="23"/>
                <w:szCs w:val="23"/>
              </w:rPr>
            </w:pPr>
            <w:r w:rsidRPr="00277BF2">
              <w:rPr>
                <w:rFonts w:asciiTheme="majorHAnsi" w:hAnsiTheme="majorHAnsi"/>
                <w:sz w:val="23"/>
                <w:szCs w:val="23"/>
                <w:u w:val="single"/>
              </w:rPr>
              <w:t>Sites</w:t>
            </w:r>
            <w:r w:rsidRPr="00277BF2">
              <w:rPr>
                <w:rFonts w:asciiTheme="majorHAnsi" w:hAnsiTheme="majorHAnsi"/>
                <w:sz w:val="23"/>
                <w:szCs w:val="23"/>
              </w:rPr>
              <w:t xml:space="preserve">: </w:t>
            </w:r>
            <w:r w:rsidR="00161C86" w:rsidRPr="00277BF2">
              <w:rPr>
                <w:rFonts w:asciiTheme="majorHAnsi" w:hAnsiTheme="majorHAnsi"/>
                <w:sz w:val="23"/>
                <w:szCs w:val="23"/>
              </w:rPr>
              <w:t xml:space="preserve">Columbia and </w:t>
            </w:r>
            <w:r w:rsidR="001620B5" w:rsidRPr="00277BF2">
              <w:rPr>
                <w:rFonts w:asciiTheme="majorHAnsi" w:hAnsiTheme="majorHAnsi"/>
                <w:sz w:val="23"/>
                <w:szCs w:val="23"/>
              </w:rPr>
              <w:t>Harvard</w:t>
            </w:r>
            <w:r w:rsidR="00F95310" w:rsidRPr="00277BF2">
              <w:rPr>
                <w:rFonts w:asciiTheme="majorHAnsi" w:hAnsiTheme="majorHAnsi"/>
                <w:sz w:val="23"/>
                <w:szCs w:val="23"/>
              </w:rPr>
              <w:t xml:space="preserve"> were added. Mt Sinai and Marshfield are Network </w:t>
            </w:r>
            <w:r w:rsidR="00C805F1" w:rsidRPr="00277BF2">
              <w:rPr>
                <w:rFonts w:asciiTheme="majorHAnsi" w:hAnsiTheme="majorHAnsi"/>
                <w:sz w:val="23"/>
                <w:szCs w:val="23"/>
              </w:rPr>
              <w:t>p</w:t>
            </w:r>
            <w:r w:rsidR="00F95310" w:rsidRPr="00277BF2">
              <w:rPr>
                <w:rFonts w:asciiTheme="majorHAnsi" w:hAnsiTheme="majorHAnsi"/>
                <w:sz w:val="23"/>
                <w:szCs w:val="23"/>
              </w:rPr>
              <w:t>artners</w:t>
            </w:r>
            <w:r w:rsidR="00AE2CA8" w:rsidRPr="00277BF2">
              <w:rPr>
                <w:rFonts w:asciiTheme="majorHAnsi" w:hAnsiTheme="majorHAnsi"/>
                <w:sz w:val="23"/>
                <w:szCs w:val="23"/>
              </w:rPr>
              <w:t xml:space="preserve"> </w:t>
            </w:r>
            <w:r w:rsidR="00C805F1" w:rsidRPr="00277BF2">
              <w:rPr>
                <w:rFonts w:asciiTheme="majorHAnsi" w:hAnsiTheme="majorHAnsi"/>
                <w:sz w:val="23"/>
                <w:szCs w:val="23"/>
              </w:rPr>
              <w:t>e</w:t>
            </w:r>
            <w:r w:rsidR="00F95310" w:rsidRPr="00277BF2">
              <w:rPr>
                <w:rFonts w:asciiTheme="majorHAnsi" w:hAnsiTheme="majorHAnsi"/>
                <w:sz w:val="23"/>
                <w:szCs w:val="23"/>
              </w:rPr>
              <w:t>meritus.</w:t>
            </w:r>
            <w:r w:rsidRPr="00277BF2">
              <w:rPr>
                <w:rFonts w:asciiTheme="majorHAnsi" w:hAnsiTheme="majorHAnsi"/>
                <w:sz w:val="23"/>
                <w:szCs w:val="23"/>
              </w:rPr>
              <w:t xml:space="preserve"> </w:t>
            </w:r>
          </w:p>
          <w:p w14:paraId="6F2D129E" w14:textId="64B5D4A7" w:rsidR="00DA4C6B" w:rsidRPr="00277BF2" w:rsidRDefault="00DA4C6B" w:rsidP="00DA4C6B">
            <w:pPr>
              <w:pStyle w:val="ListParagraph"/>
              <w:numPr>
                <w:ilvl w:val="1"/>
                <w:numId w:val="5"/>
              </w:numPr>
              <w:spacing w:before="120" w:after="120" w:line="240" w:lineRule="auto"/>
              <w:rPr>
                <w:rFonts w:asciiTheme="majorHAnsi" w:hAnsiTheme="majorHAnsi"/>
                <w:sz w:val="23"/>
                <w:szCs w:val="23"/>
              </w:rPr>
            </w:pPr>
            <w:r w:rsidRPr="00277BF2">
              <w:rPr>
                <w:rFonts w:asciiTheme="majorHAnsi" w:hAnsiTheme="majorHAnsi"/>
                <w:sz w:val="23"/>
                <w:szCs w:val="23"/>
                <w:u w:val="single"/>
              </w:rPr>
              <w:t>Sequencing Centers</w:t>
            </w:r>
            <w:r w:rsidRPr="00277BF2">
              <w:rPr>
                <w:rFonts w:asciiTheme="majorHAnsi" w:hAnsiTheme="majorHAnsi"/>
                <w:sz w:val="23"/>
                <w:szCs w:val="23"/>
              </w:rPr>
              <w:t xml:space="preserve">: </w:t>
            </w:r>
            <w:r w:rsidR="00F95310" w:rsidRPr="00277BF2">
              <w:rPr>
                <w:rFonts w:asciiTheme="majorHAnsi" w:hAnsiTheme="majorHAnsi"/>
                <w:sz w:val="23"/>
                <w:szCs w:val="23"/>
              </w:rPr>
              <w:t>Sequencing this phase will be performed by Partners/Broad and Baylor.</w:t>
            </w:r>
          </w:p>
          <w:p w14:paraId="2F302279" w14:textId="5E155CDE" w:rsidR="00DA4C6B" w:rsidRPr="00277BF2" w:rsidRDefault="00DA4C6B" w:rsidP="008C5E7D">
            <w:pPr>
              <w:pStyle w:val="ListParagraph"/>
              <w:numPr>
                <w:ilvl w:val="1"/>
                <w:numId w:val="5"/>
              </w:numPr>
              <w:spacing w:before="120" w:after="120" w:line="240" w:lineRule="auto"/>
              <w:rPr>
                <w:rFonts w:asciiTheme="majorHAnsi" w:hAnsiTheme="majorHAnsi"/>
                <w:sz w:val="23"/>
                <w:szCs w:val="23"/>
              </w:rPr>
            </w:pPr>
            <w:r w:rsidRPr="00277BF2">
              <w:rPr>
                <w:rFonts w:asciiTheme="majorHAnsi" w:hAnsiTheme="majorHAnsi"/>
                <w:sz w:val="23"/>
                <w:szCs w:val="23"/>
                <w:u w:val="single"/>
              </w:rPr>
              <w:t>Workgroups</w:t>
            </w:r>
            <w:r w:rsidRPr="00277BF2">
              <w:rPr>
                <w:rFonts w:asciiTheme="majorHAnsi" w:hAnsiTheme="majorHAnsi"/>
                <w:sz w:val="23"/>
                <w:szCs w:val="23"/>
              </w:rPr>
              <w:t>: Clinical Annotation and Outcomes</w:t>
            </w:r>
            <w:r w:rsidR="00F95310" w:rsidRPr="00277BF2">
              <w:rPr>
                <w:rFonts w:asciiTheme="majorHAnsi" w:hAnsiTheme="majorHAnsi"/>
                <w:sz w:val="23"/>
                <w:szCs w:val="23"/>
              </w:rPr>
              <w:t xml:space="preserve"> workgroups have been assembled.  </w:t>
            </w:r>
            <w:r w:rsidR="00FD7571" w:rsidRPr="00277BF2">
              <w:rPr>
                <w:rFonts w:asciiTheme="majorHAnsi" w:hAnsiTheme="majorHAnsi"/>
                <w:sz w:val="23"/>
                <w:szCs w:val="23"/>
              </w:rPr>
              <w:t xml:space="preserve">CERC and PGx </w:t>
            </w:r>
            <w:r w:rsidR="00F95310" w:rsidRPr="00277BF2">
              <w:rPr>
                <w:rFonts w:asciiTheme="majorHAnsi" w:hAnsiTheme="majorHAnsi"/>
                <w:sz w:val="23"/>
                <w:szCs w:val="23"/>
              </w:rPr>
              <w:t xml:space="preserve">workgroups </w:t>
            </w:r>
            <w:r w:rsidR="00FD7571" w:rsidRPr="00277BF2">
              <w:rPr>
                <w:rFonts w:asciiTheme="majorHAnsi" w:hAnsiTheme="majorHAnsi"/>
                <w:sz w:val="23"/>
                <w:szCs w:val="23"/>
              </w:rPr>
              <w:t>have</w:t>
            </w:r>
            <w:r w:rsidR="008C5E7D" w:rsidRPr="00277BF2">
              <w:rPr>
                <w:rFonts w:asciiTheme="majorHAnsi" w:hAnsiTheme="majorHAnsi"/>
                <w:sz w:val="23"/>
                <w:szCs w:val="23"/>
              </w:rPr>
              <w:t xml:space="preserve"> been absorbed into relevant Phase III workgroups</w:t>
            </w:r>
            <w:r w:rsidR="00F95310" w:rsidRPr="00277BF2">
              <w:rPr>
                <w:rFonts w:asciiTheme="majorHAnsi" w:hAnsiTheme="majorHAnsi"/>
                <w:sz w:val="23"/>
                <w:szCs w:val="23"/>
              </w:rPr>
              <w:t xml:space="preserve">.  The </w:t>
            </w:r>
            <w:r w:rsidR="008C5E7D" w:rsidRPr="00277BF2">
              <w:rPr>
                <w:rFonts w:asciiTheme="majorHAnsi" w:hAnsiTheme="majorHAnsi"/>
                <w:sz w:val="23"/>
                <w:szCs w:val="23"/>
              </w:rPr>
              <w:t xml:space="preserve">Pediatrics </w:t>
            </w:r>
            <w:r w:rsidR="00F95310" w:rsidRPr="00277BF2">
              <w:rPr>
                <w:rFonts w:asciiTheme="majorHAnsi" w:hAnsiTheme="majorHAnsi"/>
                <w:sz w:val="23"/>
                <w:szCs w:val="23"/>
              </w:rPr>
              <w:t xml:space="preserve">workgroup </w:t>
            </w:r>
            <w:r w:rsidR="00FD7571" w:rsidRPr="00277BF2">
              <w:rPr>
                <w:rFonts w:asciiTheme="majorHAnsi" w:hAnsiTheme="majorHAnsi"/>
                <w:sz w:val="23"/>
                <w:szCs w:val="23"/>
              </w:rPr>
              <w:t>has</w:t>
            </w:r>
            <w:r w:rsidR="008C5E7D" w:rsidRPr="00277BF2">
              <w:rPr>
                <w:rFonts w:asciiTheme="majorHAnsi" w:hAnsiTheme="majorHAnsi"/>
                <w:sz w:val="23"/>
                <w:szCs w:val="23"/>
              </w:rPr>
              <w:t xml:space="preserve"> been dis</w:t>
            </w:r>
            <w:r w:rsidR="00F95310" w:rsidRPr="00277BF2">
              <w:rPr>
                <w:rFonts w:asciiTheme="majorHAnsi" w:hAnsiTheme="majorHAnsi"/>
                <w:sz w:val="23"/>
                <w:szCs w:val="23"/>
              </w:rPr>
              <w:t>continued,</w:t>
            </w:r>
            <w:r w:rsidR="00C805F1" w:rsidRPr="00277BF2">
              <w:rPr>
                <w:rFonts w:asciiTheme="majorHAnsi" w:hAnsiTheme="majorHAnsi"/>
                <w:sz w:val="23"/>
                <w:szCs w:val="23"/>
              </w:rPr>
              <w:t xml:space="preserve"> with the understanding that the work is represented in the newly formed workgroups and if pediatric specific opportunities should arise, they could be addressed based on the project.</w:t>
            </w:r>
            <w:r w:rsidR="00F95310" w:rsidRPr="00277BF2">
              <w:rPr>
                <w:rFonts w:asciiTheme="majorHAnsi" w:hAnsiTheme="majorHAnsi"/>
                <w:sz w:val="23"/>
                <w:szCs w:val="23"/>
              </w:rPr>
              <w:t xml:space="preserve">  The </w:t>
            </w:r>
            <w:r w:rsidR="008C5E7D" w:rsidRPr="00277BF2">
              <w:rPr>
                <w:rFonts w:asciiTheme="majorHAnsi" w:hAnsiTheme="majorHAnsi"/>
                <w:sz w:val="23"/>
                <w:szCs w:val="23"/>
              </w:rPr>
              <w:t xml:space="preserve">CERC Survey </w:t>
            </w:r>
            <w:r w:rsidR="00F95310" w:rsidRPr="00277BF2">
              <w:rPr>
                <w:rFonts w:asciiTheme="majorHAnsi" w:hAnsiTheme="majorHAnsi"/>
                <w:sz w:val="23"/>
                <w:szCs w:val="23"/>
              </w:rPr>
              <w:t xml:space="preserve">workgroup </w:t>
            </w:r>
            <w:r w:rsidR="00C805F1" w:rsidRPr="00277BF2">
              <w:rPr>
                <w:rFonts w:asciiTheme="majorHAnsi" w:hAnsiTheme="majorHAnsi"/>
                <w:sz w:val="23"/>
                <w:szCs w:val="23"/>
              </w:rPr>
              <w:t>continues and is wrapping up their Phase II work</w:t>
            </w:r>
            <w:r w:rsidR="008C5E7D" w:rsidRPr="00277BF2">
              <w:rPr>
                <w:rFonts w:asciiTheme="majorHAnsi" w:hAnsiTheme="majorHAnsi"/>
                <w:sz w:val="23"/>
                <w:szCs w:val="23"/>
              </w:rPr>
              <w:t>.</w:t>
            </w:r>
          </w:p>
          <w:p w14:paraId="0015217F" w14:textId="5A0CAE85" w:rsidR="00FD7571" w:rsidRPr="00277BF2" w:rsidRDefault="00C805F1">
            <w:pPr>
              <w:pStyle w:val="ListParagraph"/>
              <w:numPr>
                <w:ilvl w:val="0"/>
                <w:numId w:val="5"/>
              </w:numPr>
              <w:spacing w:before="120" w:after="120" w:line="240" w:lineRule="auto"/>
              <w:rPr>
                <w:rFonts w:ascii="Calibri Light" w:hAnsi="Calibri Light"/>
                <w:szCs w:val="24"/>
              </w:rPr>
            </w:pPr>
            <w:r w:rsidRPr="00277BF2">
              <w:rPr>
                <w:rFonts w:asciiTheme="majorHAnsi" w:hAnsiTheme="majorHAnsi"/>
                <w:sz w:val="23"/>
                <w:szCs w:val="23"/>
              </w:rPr>
              <w:t>The Network clarified that the</w:t>
            </w:r>
            <w:r w:rsidR="00FD7571" w:rsidRPr="00277BF2">
              <w:rPr>
                <w:rFonts w:asciiTheme="majorHAnsi" w:hAnsiTheme="majorHAnsi"/>
                <w:sz w:val="23"/>
                <w:szCs w:val="23"/>
              </w:rPr>
              <w:t xml:space="preserve"> 25,000 subjects selected for sequencing on the panel </w:t>
            </w:r>
            <w:r w:rsidRPr="00277BF2">
              <w:rPr>
                <w:rFonts w:asciiTheme="majorHAnsi" w:hAnsiTheme="majorHAnsi"/>
                <w:sz w:val="23"/>
                <w:szCs w:val="23"/>
              </w:rPr>
              <w:t xml:space="preserve">may be </w:t>
            </w:r>
            <w:r w:rsidR="00FD7571" w:rsidRPr="00277BF2">
              <w:rPr>
                <w:rFonts w:asciiTheme="majorHAnsi" w:hAnsiTheme="majorHAnsi"/>
                <w:sz w:val="23"/>
                <w:szCs w:val="23"/>
              </w:rPr>
              <w:t>new subjects or part of the original cohort</w:t>
            </w:r>
            <w:r w:rsidR="00EE785A" w:rsidRPr="00277BF2">
              <w:rPr>
                <w:rFonts w:asciiTheme="majorHAnsi" w:hAnsiTheme="majorHAnsi"/>
                <w:sz w:val="23"/>
                <w:szCs w:val="23"/>
              </w:rPr>
              <w:t xml:space="preserve">.  </w:t>
            </w:r>
            <w:r w:rsidRPr="00277BF2">
              <w:rPr>
                <w:rFonts w:asciiTheme="majorHAnsi" w:hAnsiTheme="majorHAnsi"/>
                <w:sz w:val="23"/>
                <w:szCs w:val="23"/>
              </w:rPr>
              <w:t>The</w:t>
            </w:r>
            <w:r w:rsidR="00AE2CA8" w:rsidRPr="00277BF2">
              <w:rPr>
                <w:rFonts w:asciiTheme="majorHAnsi" w:hAnsiTheme="majorHAnsi"/>
                <w:sz w:val="23"/>
                <w:szCs w:val="23"/>
              </w:rPr>
              <w:t xml:space="preserve"> </w:t>
            </w:r>
            <w:r w:rsidR="00EE785A" w:rsidRPr="00277BF2">
              <w:rPr>
                <w:rFonts w:asciiTheme="majorHAnsi" w:hAnsiTheme="majorHAnsi"/>
                <w:sz w:val="23"/>
                <w:szCs w:val="23"/>
              </w:rPr>
              <w:t xml:space="preserve">decision </w:t>
            </w:r>
            <w:r w:rsidRPr="00277BF2">
              <w:rPr>
                <w:rFonts w:asciiTheme="majorHAnsi" w:hAnsiTheme="majorHAnsi"/>
                <w:sz w:val="23"/>
                <w:szCs w:val="23"/>
              </w:rPr>
              <w:t xml:space="preserve">to enrich with Phase III phenotypes of interest </w:t>
            </w:r>
            <w:r w:rsidR="00EE785A" w:rsidRPr="00277BF2">
              <w:rPr>
                <w:rFonts w:asciiTheme="majorHAnsi" w:hAnsiTheme="majorHAnsi"/>
                <w:sz w:val="23"/>
                <w:szCs w:val="23"/>
              </w:rPr>
              <w:t>is</w:t>
            </w:r>
            <w:r w:rsidR="00FD7571" w:rsidRPr="00277BF2">
              <w:rPr>
                <w:rFonts w:asciiTheme="majorHAnsi" w:hAnsiTheme="majorHAnsi"/>
                <w:sz w:val="23"/>
                <w:szCs w:val="23"/>
              </w:rPr>
              <w:t xml:space="preserve"> site-dependent</w:t>
            </w:r>
            <w:r w:rsidR="00EE785A" w:rsidRPr="00277BF2">
              <w:rPr>
                <w:rFonts w:asciiTheme="majorHAnsi" w:hAnsiTheme="majorHAnsi"/>
                <w:sz w:val="23"/>
                <w:szCs w:val="23"/>
              </w:rPr>
              <w:t>, with mixed recruitment strategies</w:t>
            </w:r>
            <w:r w:rsidR="00FD7571" w:rsidRPr="00277BF2">
              <w:rPr>
                <w:rFonts w:asciiTheme="majorHAnsi" w:hAnsiTheme="majorHAnsi"/>
                <w:sz w:val="23"/>
                <w:szCs w:val="23"/>
              </w:rPr>
              <w:t>.</w:t>
            </w:r>
            <w:r w:rsidR="00FD7571">
              <w:rPr>
                <w:rFonts w:ascii="Calibri Light" w:hAnsi="Calibri Light"/>
                <w:szCs w:val="24"/>
              </w:rPr>
              <w:t xml:space="preserve"> </w:t>
            </w:r>
          </w:p>
        </w:tc>
      </w:tr>
      <w:tr w:rsidR="00A44EB1" w:rsidRPr="00A44EB1" w14:paraId="207BB7F8" w14:textId="77777777" w:rsidTr="00054F01">
        <w:trPr>
          <w:trHeight w:val="321"/>
        </w:trPr>
        <w:tc>
          <w:tcPr>
            <w:tcW w:w="11341" w:type="dxa"/>
            <w:tcBorders>
              <w:top w:val="single" w:sz="8" w:space="0" w:color="auto"/>
              <w:left w:val="single" w:sz="8" w:space="0" w:color="auto"/>
              <w:bottom w:val="single" w:sz="8" w:space="0" w:color="auto"/>
              <w:right w:val="single" w:sz="8" w:space="0" w:color="auto"/>
            </w:tcBorders>
            <w:shd w:val="clear" w:color="auto" w:fill="008BCC"/>
            <w:tcMar>
              <w:top w:w="29" w:type="dxa"/>
              <w:left w:w="29" w:type="dxa"/>
              <w:bottom w:w="29" w:type="dxa"/>
              <w:right w:w="29" w:type="dxa"/>
            </w:tcMar>
            <w:vAlign w:val="center"/>
          </w:tcPr>
          <w:p w14:paraId="736FBB92" w14:textId="77777777" w:rsidR="00A44EB1" w:rsidRPr="00A44EB1" w:rsidRDefault="00A44EB1" w:rsidP="00A44EB1">
            <w:pPr>
              <w:spacing w:before="120" w:after="120" w:line="240" w:lineRule="auto"/>
              <w:rPr>
                <w:b/>
                <w:color w:val="404040" w:themeColor="text1" w:themeTint="BF"/>
                <w:sz w:val="24"/>
                <w:szCs w:val="24"/>
              </w:rPr>
            </w:pPr>
            <w:r w:rsidRPr="00A44EB1">
              <w:rPr>
                <w:b/>
                <w:color w:val="FFFFFF" w:themeColor="background1"/>
                <w:sz w:val="24"/>
                <w:szCs w:val="24"/>
              </w:rPr>
              <w:t xml:space="preserve">DNA Sequence &amp; Analysis Pipeline – </w:t>
            </w:r>
            <w:r w:rsidRPr="00A44EB1">
              <w:rPr>
                <w:b/>
                <w:i/>
                <w:color w:val="FFFFFF" w:themeColor="background1"/>
                <w:sz w:val="24"/>
                <w:szCs w:val="24"/>
              </w:rPr>
              <w:t>Richard Gibbs &amp; Niall Lennon</w:t>
            </w:r>
          </w:p>
        </w:tc>
      </w:tr>
      <w:tr w:rsidR="00A44EB1" w:rsidRPr="00A44EB1" w14:paraId="0CADFFF7" w14:textId="77777777" w:rsidTr="00054F01">
        <w:trPr>
          <w:trHeight w:val="321"/>
        </w:trPr>
        <w:tc>
          <w:tcPr>
            <w:tcW w:w="11341" w:type="dxa"/>
            <w:tcBorders>
              <w:top w:val="single" w:sz="8" w:space="0" w:color="auto"/>
              <w:left w:val="single" w:sz="8" w:space="0" w:color="auto"/>
              <w:bottom w:val="single" w:sz="8" w:space="0" w:color="auto"/>
              <w:right w:val="single" w:sz="8" w:space="0" w:color="auto"/>
            </w:tcBorders>
            <w:tcMar>
              <w:top w:w="29" w:type="dxa"/>
              <w:left w:w="29" w:type="dxa"/>
              <w:bottom w:w="29" w:type="dxa"/>
              <w:right w:w="29" w:type="dxa"/>
            </w:tcMar>
            <w:vAlign w:val="center"/>
          </w:tcPr>
          <w:p w14:paraId="454D562C" w14:textId="1D67DEAF" w:rsidR="00A44EB1" w:rsidRPr="00277BF2" w:rsidRDefault="00EE785A" w:rsidP="00277BF2">
            <w:pPr>
              <w:pStyle w:val="ListParagraph"/>
              <w:numPr>
                <w:ilvl w:val="0"/>
                <w:numId w:val="5"/>
              </w:numPr>
              <w:spacing w:before="120" w:after="120" w:line="240" w:lineRule="auto"/>
              <w:rPr>
                <w:rFonts w:asciiTheme="majorHAnsi" w:hAnsiTheme="majorHAnsi"/>
                <w:b/>
                <w:sz w:val="23"/>
                <w:szCs w:val="23"/>
              </w:rPr>
            </w:pPr>
            <w:r w:rsidRPr="00277BF2">
              <w:rPr>
                <w:rFonts w:asciiTheme="majorHAnsi" w:hAnsiTheme="majorHAnsi"/>
                <w:sz w:val="23"/>
                <w:szCs w:val="23"/>
              </w:rPr>
              <w:lastRenderedPageBreak/>
              <w:t xml:space="preserve">Currently, the CSGs are validating sample preparation and sequencing processes, and expect to begin sequencing by May 2016.  </w:t>
            </w:r>
            <w:r w:rsidR="00253089" w:rsidRPr="00277BF2">
              <w:rPr>
                <w:rFonts w:asciiTheme="majorHAnsi" w:hAnsiTheme="majorHAnsi"/>
                <w:sz w:val="23"/>
                <w:szCs w:val="23"/>
              </w:rPr>
              <w:t>Technical conclusions indicate</w:t>
            </w:r>
            <w:r w:rsidR="00AE2CA8" w:rsidRPr="00277BF2">
              <w:rPr>
                <w:rFonts w:asciiTheme="majorHAnsi" w:hAnsiTheme="majorHAnsi"/>
                <w:sz w:val="23"/>
                <w:szCs w:val="23"/>
              </w:rPr>
              <w:t xml:space="preserve"> that</w:t>
            </w:r>
            <w:r w:rsidR="00253089" w:rsidRPr="00277BF2">
              <w:rPr>
                <w:rFonts w:asciiTheme="majorHAnsi" w:hAnsiTheme="majorHAnsi"/>
                <w:sz w:val="23"/>
                <w:szCs w:val="23"/>
              </w:rPr>
              <w:t xml:space="preserve"> both reagents are very high quality,</w:t>
            </w:r>
            <w:r w:rsidR="00AE2CA8" w:rsidRPr="00277BF2">
              <w:rPr>
                <w:rFonts w:asciiTheme="majorHAnsi" w:hAnsiTheme="majorHAnsi"/>
                <w:sz w:val="23"/>
                <w:szCs w:val="23"/>
              </w:rPr>
              <w:t xml:space="preserve"> and</w:t>
            </w:r>
            <w:r w:rsidR="00253089" w:rsidRPr="00277BF2">
              <w:rPr>
                <w:rFonts w:asciiTheme="majorHAnsi" w:hAnsiTheme="majorHAnsi"/>
                <w:sz w:val="23"/>
                <w:szCs w:val="23"/>
              </w:rPr>
              <w:t xml:space="preserve"> minor </w:t>
            </w:r>
            <w:r w:rsidR="00AE2CA8" w:rsidRPr="00277BF2">
              <w:rPr>
                <w:rFonts w:asciiTheme="majorHAnsi" w:hAnsiTheme="majorHAnsi"/>
                <w:sz w:val="23"/>
                <w:szCs w:val="23"/>
              </w:rPr>
              <w:t xml:space="preserve">pipeline </w:t>
            </w:r>
            <w:r w:rsidR="00253089" w:rsidRPr="00277BF2">
              <w:rPr>
                <w:rFonts w:asciiTheme="majorHAnsi" w:hAnsiTheme="majorHAnsi"/>
                <w:sz w:val="23"/>
                <w:szCs w:val="23"/>
              </w:rPr>
              <w:t>differences are being scrutinized</w:t>
            </w:r>
            <w:r w:rsidR="00AE2CA8" w:rsidRPr="00277BF2">
              <w:rPr>
                <w:rFonts w:asciiTheme="majorHAnsi" w:hAnsiTheme="majorHAnsi"/>
                <w:sz w:val="23"/>
                <w:szCs w:val="23"/>
              </w:rPr>
              <w:t>.</w:t>
            </w:r>
          </w:p>
          <w:p w14:paraId="42EFAED9" w14:textId="120E6FAD" w:rsidR="00253089" w:rsidRPr="00277BF2" w:rsidRDefault="00AE2B70" w:rsidP="00277BF2">
            <w:pPr>
              <w:pStyle w:val="ListParagraph"/>
              <w:numPr>
                <w:ilvl w:val="0"/>
                <w:numId w:val="5"/>
              </w:numPr>
              <w:spacing w:before="120" w:after="120" w:line="240" w:lineRule="auto"/>
              <w:rPr>
                <w:rFonts w:asciiTheme="majorHAnsi" w:hAnsiTheme="majorHAnsi"/>
                <w:b/>
                <w:sz w:val="23"/>
                <w:szCs w:val="23"/>
              </w:rPr>
            </w:pPr>
            <w:r w:rsidRPr="00277BF2">
              <w:rPr>
                <w:rFonts w:asciiTheme="majorHAnsi" w:hAnsiTheme="majorHAnsi"/>
                <w:sz w:val="23"/>
                <w:szCs w:val="23"/>
              </w:rPr>
              <w:t>D</w:t>
            </w:r>
            <w:r w:rsidR="00253089" w:rsidRPr="00277BF2">
              <w:rPr>
                <w:rFonts w:asciiTheme="majorHAnsi" w:hAnsiTheme="majorHAnsi"/>
                <w:sz w:val="23"/>
                <w:szCs w:val="23"/>
              </w:rPr>
              <w:t xml:space="preserve">ifferences </w:t>
            </w:r>
            <w:r w:rsidR="00AE2CA8" w:rsidRPr="00277BF2">
              <w:rPr>
                <w:rFonts w:asciiTheme="majorHAnsi" w:hAnsiTheme="majorHAnsi"/>
                <w:sz w:val="23"/>
                <w:szCs w:val="23"/>
              </w:rPr>
              <w:t>in the</w:t>
            </w:r>
            <w:r w:rsidR="000C4DAB" w:rsidRPr="00277BF2">
              <w:rPr>
                <w:rFonts w:asciiTheme="majorHAnsi" w:hAnsiTheme="majorHAnsi"/>
                <w:sz w:val="23"/>
                <w:szCs w:val="23"/>
              </w:rPr>
              <w:t xml:space="preserve"> reagents</w:t>
            </w:r>
            <w:r w:rsidR="008A1ACA" w:rsidRPr="00277BF2">
              <w:rPr>
                <w:rFonts w:asciiTheme="majorHAnsi" w:hAnsiTheme="majorHAnsi"/>
                <w:sz w:val="23"/>
                <w:szCs w:val="23"/>
              </w:rPr>
              <w:t xml:space="preserve"> used by the CSGs</w:t>
            </w:r>
            <w:r w:rsidRPr="00277BF2">
              <w:rPr>
                <w:rFonts w:asciiTheme="majorHAnsi" w:hAnsiTheme="majorHAnsi"/>
                <w:sz w:val="23"/>
                <w:szCs w:val="23"/>
              </w:rPr>
              <w:t xml:space="preserve"> were discussed</w:t>
            </w:r>
            <w:r w:rsidR="000C4DAB" w:rsidRPr="00277BF2">
              <w:rPr>
                <w:rFonts w:asciiTheme="majorHAnsi" w:hAnsiTheme="majorHAnsi"/>
                <w:sz w:val="23"/>
                <w:szCs w:val="23"/>
              </w:rPr>
              <w:t xml:space="preserve">. </w:t>
            </w:r>
            <w:r w:rsidR="00AE2CA8" w:rsidRPr="00277BF2">
              <w:rPr>
                <w:rFonts w:asciiTheme="majorHAnsi" w:hAnsiTheme="majorHAnsi"/>
                <w:sz w:val="23"/>
                <w:szCs w:val="23"/>
              </w:rPr>
              <w:t>Partners/</w:t>
            </w:r>
            <w:r w:rsidR="00253089" w:rsidRPr="00277BF2">
              <w:rPr>
                <w:rFonts w:asciiTheme="majorHAnsi" w:hAnsiTheme="majorHAnsi"/>
                <w:sz w:val="23"/>
                <w:szCs w:val="23"/>
              </w:rPr>
              <w:t>Broad is using the Illumina product, and Baylor is using the Nimble</w:t>
            </w:r>
            <w:r w:rsidR="006C5750" w:rsidRPr="00277BF2">
              <w:rPr>
                <w:rFonts w:asciiTheme="majorHAnsi" w:hAnsiTheme="majorHAnsi"/>
                <w:sz w:val="23"/>
                <w:szCs w:val="23"/>
              </w:rPr>
              <w:t>Gen</w:t>
            </w:r>
            <w:r w:rsidR="00253089" w:rsidRPr="00277BF2">
              <w:rPr>
                <w:rFonts w:asciiTheme="majorHAnsi" w:hAnsiTheme="majorHAnsi"/>
                <w:sz w:val="23"/>
                <w:szCs w:val="23"/>
              </w:rPr>
              <w:t xml:space="preserve"> product. </w:t>
            </w:r>
            <w:r w:rsidRPr="00277BF2">
              <w:rPr>
                <w:rFonts w:asciiTheme="majorHAnsi" w:hAnsiTheme="majorHAnsi"/>
                <w:sz w:val="23"/>
                <w:szCs w:val="23"/>
              </w:rPr>
              <w:t>Both have similar performance in tests to date.</w:t>
            </w:r>
          </w:p>
          <w:p w14:paraId="0013A502" w14:textId="625920C8" w:rsidR="00253089" w:rsidRPr="001620B5" w:rsidRDefault="00253089" w:rsidP="00277BF2">
            <w:pPr>
              <w:pStyle w:val="ListParagraph"/>
              <w:numPr>
                <w:ilvl w:val="0"/>
                <w:numId w:val="5"/>
              </w:numPr>
              <w:spacing w:before="120" w:after="120" w:line="240" w:lineRule="auto"/>
              <w:rPr>
                <w:rFonts w:ascii="Calibri Light" w:hAnsi="Calibri Light"/>
                <w:b/>
              </w:rPr>
            </w:pPr>
            <w:r w:rsidRPr="00277BF2">
              <w:rPr>
                <w:rFonts w:asciiTheme="majorHAnsi" w:hAnsiTheme="majorHAnsi"/>
                <w:sz w:val="23"/>
                <w:szCs w:val="23"/>
              </w:rPr>
              <w:t xml:space="preserve">ESP </w:t>
            </w:r>
            <w:r w:rsidR="00AE2B70" w:rsidRPr="00277BF2">
              <w:rPr>
                <w:rFonts w:asciiTheme="majorHAnsi" w:hAnsiTheme="majorHAnsi"/>
                <w:sz w:val="23"/>
                <w:szCs w:val="23"/>
              </w:rPr>
              <w:t>questioned</w:t>
            </w:r>
            <w:r w:rsidRPr="00277BF2">
              <w:rPr>
                <w:rFonts w:asciiTheme="majorHAnsi" w:hAnsiTheme="majorHAnsi"/>
                <w:sz w:val="23"/>
                <w:szCs w:val="23"/>
              </w:rPr>
              <w:t xml:space="preserve"> </w:t>
            </w:r>
            <w:r w:rsidR="006C5750" w:rsidRPr="00277BF2">
              <w:rPr>
                <w:rFonts w:asciiTheme="majorHAnsi" w:hAnsiTheme="majorHAnsi"/>
                <w:sz w:val="23"/>
                <w:szCs w:val="23"/>
              </w:rPr>
              <w:t xml:space="preserve">if controls were being shared or sourced. </w:t>
            </w:r>
            <w:r w:rsidR="00AE2B70" w:rsidRPr="00277BF2">
              <w:rPr>
                <w:rFonts w:asciiTheme="majorHAnsi" w:hAnsiTheme="majorHAnsi"/>
                <w:sz w:val="23"/>
                <w:szCs w:val="23"/>
              </w:rPr>
              <w:t>C</w:t>
            </w:r>
            <w:r w:rsidR="006C5750" w:rsidRPr="00277BF2">
              <w:rPr>
                <w:rFonts w:asciiTheme="majorHAnsi" w:hAnsiTheme="majorHAnsi"/>
                <w:sz w:val="23"/>
                <w:szCs w:val="23"/>
              </w:rPr>
              <w:t xml:space="preserve">ontrols are </w:t>
            </w:r>
            <w:r w:rsidR="008A1ACA" w:rsidRPr="00277BF2">
              <w:rPr>
                <w:rFonts w:asciiTheme="majorHAnsi" w:hAnsiTheme="majorHAnsi"/>
                <w:sz w:val="23"/>
                <w:szCs w:val="23"/>
              </w:rPr>
              <w:t xml:space="preserve">indeed </w:t>
            </w:r>
            <w:r w:rsidR="006C5750" w:rsidRPr="00277BF2">
              <w:rPr>
                <w:rFonts w:asciiTheme="majorHAnsi" w:hAnsiTheme="majorHAnsi"/>
                <w:sz w:val="23"/>
                <w:szCs w:val="23"/>
              </w:rPr>
              <w:t>either shared or sourced, based upon practical issues</w:t>
            </w:r>
            <w:r w:rsidR="008A1ACA" w:rsidRPr="00277BF2">
              <w:rPr>
                <w:rFonts w:asciiTheme="majorHAnsi" w:hAnsiTheme="majorHAnsi"/>
                <w:sz w:val="23"/>
                <w:szCs w:val="23"/>
              </w:rPr>
              <w:t xml:space="preserve"> such as the</w:t>
            </w:r>
            <w:r w:rsidR="006C5750" w:rsidRPr="00277BF2">
              <w:rPr>
                <w:rFonts w:asciiTheme="majorHAnsi" w:hAnsiTheme="majorHAnsi"/>
                <w:sz w:val="23"/>
                <w:szCs w:val="23"/>
              </w:rPr>
              <w:t xml:space="preserve"> amount of DNA available and where it comes from</w:t>
            </w:r>
            <w:r w:rsidR="000C4DAB" w:rsidRPr="00277BF2">
              <w:rPr>
                <w:rFonts w:asciiTheme="majorHAnsi" w:hAnsiTheme="majorHAnsi"/>
                <w:sz w:val="23"/>
                <w:szCs w:val="23"/>
              </w:rPr>
              <w:t>.</w:t>
            </w:r>
            <w:r w:rsidR="006C5750">
              <w:rPr>
                <w:rFonts w:ascii="Calibri Light" w:hAnsi="Calibri Light"/>
              </w:rPr>
              <w:t xml:space="preserve"> </w:t>
            </w:r>
          </w:p>
        </w:tc>
      </w:tr>
      <w:tr w:rsidR="00A44EB1" w:rsidRPr="00A44EB1" w14:paraId="0B75DCD2" w14:textId="77777777" w:rsidTr="00054F01">
        <w:trPr>
          <w:trHeight w:val="321"/>
        </w:trPr>
        <w:tc>
          <w:tcPr>
            <w:tcW w:w="11341" w:type="dxa"/>
            <w:tcBorders>
              <w:top w:val="single" w:sz="8" w:space="0" w:color="auto"/>
              <w:left w:val="single" w:sz="8" w:space="0" w:color="auto"/>
              <w:bottom w:val="single" w:sz="8" w:space="0" w:color="auto"/>
              <w:right w:val="single" w:sz="8" w:space="0" w:color="auto"/>
            </w:tcBorders>
            <w:shd w:val="clear" w:color="auto" w:fill="008BCC"/>
            <w:tcMar>
              <w:top w:w="29" w:type="dxa"/>
              <w:left w:w="29" w:type="dxa"/>
              <w:bottom w:w="29" w:type="dxa"/>
              <w:right w:w="29" w:type="dxa"/>
            </w:tcMar>
            <w:vAlign w:val="center"/>
          </w:tcPr>
          <w:p w14:paraId="0A417017" w14:textId="77777777" w:rsidR="00A44EB1" w:rsidRPr="00A44EB1" w:rsidRDefault="00A44EB1" w:rsidP="00A44EB1">
            <w:pPr>
              <w:spacing w:before="120" w:after="120" w:line="240" w:lineRule="auto"/>
              <w:rPr>
                <w:b/>
                <w:color w:val="FFFFFF" w:themeColor="background1"/>
                <w:sz w:val="24"/>
                <w:szCs w:val="24"/>
              </w:rPr>
            </w:pPr>
            <w:r w:rsidRPr="00A44EB1">
              <w:rPr>
                <w:b/>
                <w:color w:val="FFFFFF" w:themeColor="background1"/>
                <w:sz w:val="24"/>
                <w:szCs w:val="24"/>
              </w:rPr>
              <w:t xml:space="preserve">Clinical Annotation Workgroup – </w:t>
            </w:r>
            <w:r w:rsidRPr="00A44EB1">
              <w:rPr>
                <w:b/>
                <w:i/>
                <w:color w:val="FFFFFF" w:themeColor="background1"/>
                <w:sz w:val="24"/>
                <w:szCs w:val="24"/>
              </w:rPr>
              <w:t>Birgit Funke &amp; Heidi Rehm</w:t>
            </w:r>
          </w:p>
        </w:tc>
      </w:tr>
      <w:tr w:rsidR="00A44EB1" w:rsidRPr="00A44EB1" w14:paraId="71EF9BBF" w14:textId="77777777" w:rsidTr="00054F01">
        <w:trPr>
          <w:trHeight w:val="321"/>
        </w:trPr>
        <w:tc>
          <w:tcPr>
            <w:tcW w:w="11341" w:type="dxa"/>
            <w:tcBorders>
              <w:top w:val="single" w:sz="8" w:space="0" w:color="auto"/>
              <w:left w:val="single" w:sz="8" w:space="0" w:color="auto"/>
              <w:bottom w:val="single" w:sz="8" w:space="0" w:color="auto"/>
              <w:right w:val="single" w:sz="8" w:space="0" w:color="auto"/>
            </w:tcBorders>
            <w:shd w:val="clear" w:color="auto" w:fill="auto"/>
            <w:tcMar>
              <w:top w:w="29" w:type="dxa"/>
              <w:left w:w="29" w:type="dxa"/>
              <w:bottom w:w="29" w:type="dxa"/>
              <w:right w:w="29" w:type="dxa"/>
            </w:tcMar>
            <w:vAlign w:val="center"/>
          </w:tcPr>
          <w:p w14:paraId="43A529FE" w14:textId="67BBD1FA" w:rsidR="00576C86" w:rsidRPr="00277BF2" w:rsidRDefault="00576C86" w:rsidP="00F50F23">
            <w:pPr>
              <w:pStyle w:val="ListParagraph"/>
              <w:numPr>
                <w:ilvl w:val="0"/>
                <w:numId w:val="5"/>
              </w:numPr>
              <w:spacing w:before="120" w:after="120" w:line="240" w:lineRule="auto"/>
              <w:rPr>
                <w:rFonts w:asciiTheme="majorHAnsi" w:hAnsiTheme="majorHAnsi"/>
                <w:sz w:val="23"/>
                <w:szCs w:val="23"/>
              </w:rPr>
            </w:pPr>
            <w:r w:rsidRPr="00277BF2">
              <w:rPr>
                <w:rFonts w:asciiTheme="majorHAnsi" w:hAnsiTheme="majorHAnsi"/>
                <w:sz w:val="23"/>
                <w:szCs w:val="23"/>
              </w:rPr>
              <w:t xml:space="preserve">The Clinical Annotation Workgroup </w:t>
            </w:r>
            <w:r w:rsidR="00A8531D" w:rsidRPr="00277BF2">
              <w:rPr>
                <w:rFonts w:asciiTheme="majorHAnsi" w:hAnsiTheme="majorHAnsi"/>
                <w:sz w:val="23"/>
                <w:szCs w:val="23"/>
              </w:rPr>
              <w:t xml:space="preserve">was formed in response to the Network’s need </w:t>
            </w:r>
            <w:r w:rsidRPr="00277BF2">
              <w:rPr>
                <w:rFonts w:asciiTheme="majorHAnsi" w:hAnsiTheme="majorHAnsi"/>
                <w:sz w:val="23"/>
                <w:szCs w:val="23"/>
              </w:rPr>
              <w:t>to build</w:t>
            </w:r>
            <w:r w:rsidR="00A8531D" w:rsidRPr="00277BF2">
              <w:rPr>
                <w:rFonts w:asciiTheme="majorHAnsi" w:hAnsiTheme="majorHAnsi"/>
                <w:sz w:val="23"/>
                <w:szCs w:val="23"/>
              </w:rPr>
              <w:t xml:space="preserve"> a solid foundation for consistent interpretation of results from the eMERGE-seq panel across sites. The workgroup </w:t>
            </w:r>
            <w:r w:rsidR="008A1ACA" w:rsidRPr="00277BF2">
              <w:rPr>
                <w:rFonts w:asciiTheme="majorHAnsi" w:hAnsiTheme="majorHAnsi"/>
                <w:sz w:val="23"/>
                <w:szCs w:val="23"/>
              </w:rPr>
              <w:t xml:space="preserve">has developed a pipeline to assess the clinical validity </w:t>
            </w:r>
            <w:r w:rsidR="00DB0C85" w:rsidRPr="00277BF2">
              <w:rPr>
                <w:rFonts w:asciiTheme="majorHAnsi" w:hAnsiTheme="majorHAnsi"/>
                <w:sz w:val="23"/>
                <w:szCs w:val="23"/>
              </w:rPr>
              <w:t xml:space="preserve">of gene/disease associations </w:t>
            </w:r>
            <w:r w:rsidR="008A1ACA" w:rsidRPr="00277BF2">
              <w:rPr>
                <w:rFonts w:asciiTheme="majorHAnsi" w:hAnsiTheme="majorHAnsi"/>
                <w:sz w:val="23"/>
                <w:szCs w:val="23"/>
              </w:rPr>
              <w:t>and assign draft ClinGen classifications</w:t>
            </w:r>
            <w:r w:rsidR="00A8531D" w:rsidRPr="00277BF2">
              <w:rPr>
                <w:rFonts w:asciiTheme="majorHAnsi" w:hAnsiTheme="majorHAnsi"/>
                <w:sz w:val="23"/>
                <w:szCs w:val="23"/>
              </w:rPr>
              <w:t xml:space="preserve"> </w:t>
            </w:r>
            <w:r w:rsidR="00DB0C85" w:rsidRPr="00277BF2">
              <w:rPr>
                <w:rFonts w:asciiTheme="majorHAnsi" w:hAnsiTheme="majorHAnsi"/>
                <w:sz w:val="23"/>
                <w:szCs w:val="23"/>
              </w:rPr>
              <w:t xml:space="preserve">to </w:t>
            </w:r>
            <w:r w:rsidR="00A8531D" w:rsidRPr="00277BF2">
              <w:rPr>
                <w:rFonts w:asciiTheme="majorHAnsi" w:hAnsiTheme="majorHAnsi"/>
                <w:sz w:val="23"/>
                <w:szCs w:val="23"/>
              </w:rPr>
              <w:t xml:space="preserve">the </w:t>
            </w:r>
            <w:r w:rsidR="00277BF2">
              <w:rPr>
                <w:rFonts w:asciiTheme="majorHAnsi" w:hAnsiTheme="majorHAnsi"/>
                <w:sz w:val="23"/>
                <w:szCs w:val="23"/>
              </w:rPr>
              <w:t>eMERGE-s</w:t>
            </w:r>
            <w:r w:rsidR="008A1ACA" w:rsidRPr="00277BF2">
              <w:rPr>
                <w:rFonts w:asciiTheme="majorHAnsi" w:hAnsiTheme="majorHAnsi"/>
                <w:sz w:val="23"/>
                <w:szCs w:val="23"/>
              </w:rPr>
              <w:t xml:space="preserve">eq panel of </w:t>
            </w:r>
            <w:r w:rsidR="00A8531D" w:rsidRPr="00277BF2">
              <w:rPr>
                <w:rFonts w:asciiTheme="majorHAnsi" w:hAnsiTheme="majorHAnsi"/>
                <w:sz w:val="23"/>
                <w:szCs w:val="23"/>
              </w:rPr>
              <w:t>109 genes, ~900</w:t>
            </w:r>
            <w:r w:rsidR="00AE2CA8" w:rsidRPr="00277BF2">
              <w:rPr>
                <w:rFonts w:asciiTheme="majorHAnsi" w:hAnsiTheme="majorHAnsi"/>
                <w:sz w:val="23"/>
                <w:szCs w:val="23"/>
              </w:rPr>
              <w:t xml:space="preserve"> site proposed </w:t>
            </w:r>
            <w:r w:rsidR="00A8531D" w:rsidRPr="00277BF2">
              <w:rPr>
                <w:rFonts w:asciiTheme="majorHAnsi" w:hAnsiTheme="majorHAnsi"/>
                <w:sz w:val="23"/>
                <w:szCs w:val="23"/>
              </w:rPr>
              <w:t xml:space="preserve">SNPs and </w:t>
            </w:r>
            <w:r w:rsidR="00277BF2" w:rsidRPr="00277BF2">
              <w:rPr>
                <w:rFonts w:asciiTheme="majorHAnsi" w:hAnsiTheme="majorHAnsi"/>
                <w:sz w:val="23"/>
                <w:szCs w:val="23"/>
              </w:rPr>
              <w:t>pharmacogenomic loci</w:t>
            </w:r>
            <w:r w:rsidR="008A1ACA" w:rsidRPr="00277BF2">
              <w:rPr>
                <w:rFonts w:asciiTheme="majorHAnsi" w:hAnsiTheme="majorHAnsi"/>
                <w:sz w:val="23"/>
                <w:szCs w:val="23"/>
              </w:rPr>
              <w:t>.  Furth</w:t>
            </w:r>
            <w:r w:rsidR="00DB0C85" w:rsidRPr="00277BF2">
              <w:rPr>
                <w:rFonts w:asciiTheme="majorHAnsi" w:hAnsiTheme="majorHAnsi"/>
                <w:sz w:val="23"/>
                <w:szCs w:val="23"/>
              </w:rPr>
              <w:t xml:space="preserve">er work will include </w:t>
            </w:r>
            <w:r w:rsidR="008A1ACA" w:rsidRPr="00277BF2">
              <w:rPr>
                <w:rFonts w:asciiTheme="majorHAnsi" w:hAnsiTheme="majorHAnsi"/>
                <w:sz w:val="23"/>
                <w:szCs w:val="23"/>
              </w:rPr>
              <w:t xml:space="preserve">finalizing ClinGen classifications and </w:t>
            </w:r>
            <w:r w:rsidR="00DB0C85" w:rsidRPr="00277BF2">
              <w:rPr>
                <w:rFonts w:asciiTheme="majorHAnsi" w:hAnsiTheme="majorHAnsi"/>
                <w:sz w:val="23"/>
                <w:szCs w:val="23"/>
              </w:rPr>
              <w:t xml:space="preserve">coming to a consensus on which variants are clinically actionable and therefore, </w:t>
            </w:r>
            <w:r w:rsidR="00A8531D" w:rsidRPr="00277BF2">
              <w:rPr>
                <w:rFonts w:asciiTheme="majorHAnsi" w:hAnsiTheme="majorHAnsi"/>
                <w:sz w:val="23"/>
                <w:szCs w:val="23"/>
              </w:rPr>
              <w:t>returnabl</w:t>
            </w:r>
            <w:r w:rsidR="00DB0C85" w:rsidRPr="00277BF2">
              <w:rPr>
                <w:rFonts w:asciiTheme="majorHAnsi" w:hAnsiTheme="majorHAnsi"/>
                <w:sz w:val="23"/>
                <w:szCs w:val="23"/>
              </w:rPr>
              <w:t>e</w:t>
            </w:r>
            <w:r w:rsidR="00A8531D" w:rsidRPr="00277BF2">
              <w:rPr>
                <w:rFonts w:asciiTheme="majorHAnsi" w:hAnsiTheme="majorHAnsi"/>
                <w:sz w:val="23"/>
                <w:szCs w:val="23"/>
              </w:rPr>
              <w:t xml:space="preserve"> (site-specific </w:t>
            </w:r>
            <w:r w:rsidR="00A25457" w:rsidRPr="00277BF2">
              <w:rPr>
                <w:rFonts w:asciiTheme="majorHAnsi" w:hAnsiTheme="majorHAnsi"/>
                <w:sz w:val="23"/>
                <w:szCs w:val="23"/>
              </w:rPr>
              <w:t xml:space="preserve">policies and procedures </w:t>
            </w:r>
            <w:r w:rsidR="00A8531D" w:rsidRPr="00277BF2">
              <w:rPr>
                <w:rFonts w:asciiTheme="majorHAnsi" w:hAnsiTheme="majorHAnsi"/>
                <w:sz w:val="23"/>
                <w:szCs w:val="23"/>
              </w:rPr>
              <w:t>will impact returnability as well).</w:t>
            </w:r>
            <w:r w:rsidR="00F50F23" w:rsidRPr="00277BF2">
              <w:rPr>
                <w:rFonts w:asciiTheme="majorHAnsi" w:hAnsiTheme="majorHAnsi"/>
                <w:sz w:val="23"/>
                <w:szCs w:val="23"/>
              </w:rPr>
              <w:t xml:space="preserve"> </w:t>
            </w:r>
          </w:p>
          <w:p w14:paraId="2CA407A7" w14:textId="3B6D281A" w:rsidR="005A378C" w:rsidRPr="00277BF2" w:rsidRDefault="00AE2B70" w:rsidP="005A378C">
            <w:pPr>
              <w:pStyle w:val="ListParagraph"/>
              <w:numPr>
                <w:ilvl w:val="0"/>
                <w:numId w:val="5"/>
              </w:numPr>
              <w:spacing w:before="120" w:after="120" w:line="240" w:lineRule="auto"/>
              <w:rPr>
                <w:rFonts w:asciiTheme="majorHAnsi" w:hAnsiTheme="majorHAnsi"/>
                <w:sz w:val="23"/>
                <w:szCs w:val="23"/>
              </w:rPr>
            </w:pPr>
            <w:r w:rsidRPr="00277BF2">
              <w:rPr>
                <w:rFonts w:asciiTheme="majorHAnsi" w:hAnsiTheme="majorHAnsi"/>
                <w:sz w:val="23"/>
                <w:szCs w:val="23"/>
              </w:rPr>
              <w:t xml:space="preserve">Participant consent was discussed, with particular interest in those participants consented before the creation of the sequencing panel. </w:t>
            </w:r>
            <w:r w:rsidR="005A378C" w:rsidRPr="00277BF2">
              <w:rPr>
                <w:rFonts w:asciiTheme="majorHAnsi" w:hAnsiTheme="majorHAnsi"/>
                <w:sz w:val="23"/>
                <w:szCs w:val="23"/>
              </w:rPr>
              <w:t xml:space="preserve"> </w:t>
            </w:r>
            <w:r w:rsidRPr="00277BF2">
              <w:rPr>
                <w:rFonts w:asciiTheme="majorHAnsi" w:hAnsiTheme="majorHAnsi"/>
                <w:sz w:val="23"/>
                <w:szCs w:val="23"/>
              </w:rPr>
              <w:t>A</w:t>
            </w:r>
            <w:r w:rsidR="008D6ECA" w:rsidRPr="00277BF2">
              <w:rPr>
                <w:rFonts w:asciiTheme="majorHAnsi" w:hAnsiTheme="majorHAnsi"/>
                <w:sz w:val="23"/>
                <w:szCs w:val="23"/>
              </w:rPr>
              <w:t xml:space="preserve"> broad range of return </w:t>
            </w:r>
            <w:r w:rsidRPr="00277BF2">
              <w:rPr>
                <w:rFonts w:asciiTheme="majorHAnsi" w:hAnsiTheme="majorHAnsi"/>
                <w:sz w:val="23"/>
                <w:szCs w:val="23"/>
              </w:rPr>
              <w:t xml:space="preserve">of results </w:t>
            </w:r>
            <w:r w:rsidR="008D6ECA" w:rsidRPr="00277BF2">
              <w:rPr>
                <w:rFonts w:asciiTheme="majorHAnsi" w:hAnsiTheme="majorHAnsi"/>
                <w:sz w:val="23"/>
                <w:szCs w:val="23"/>
              </w:rPr>
              <w:t xml:space="preserve">options has been discussed with participants.  </w:t>
            </w:r>
            <w:r w:rsidRPr="00277BF2">
              <w:rPr>
                <w:rFonts w:asciiTheme="majorHAnsi" w:hAnsiTheme="majorHAnsi"/>
                <w:sz w:val="23"/>
                <w:szCs w:val="23"/>
              </w:rPr>
              <w:t xml:space="preserve">Options presented are </w:t>
            </w:r>
            <w:r w:rsidR="008D6ECA" w:rsidRPr="00277BF2">
              <w:rPr>
                <w:rFonts w:asciiTheme="majorHAnsi" w:hAnsiTheme="majorHAnsi"/>
                <w:sz w:val="23"/>
                <w:szCs w:val="23"/>
              </w:rPr>
              <w:t>site dependent and cohort-specific, ranging from broad consent with the full expectation to return results if care is affected (Geisinger) to a tier system designed to engage patients and providers</w:t>
            </w:r>
            <w:r w:rsidR="00AE2CA8" w:rsidRPr="00277BF2">
              <w:rPr>
                <w:rFonts w:asciiTheme="majorHAnsi" w:hAnsiTheme="majorHAnsi"/>
                <w:sz w:val="23"/>
                <w:szCs w:val="23"/>
              </w:rPr>
              <w:t xml:space="preserve"> in the return of results process </w:t>
            </w:r>
            <w:r w:rsidR="008D6ECA" w:rsidRPr="00277BF2">
              <w:rPr>
                <w:rFonts w:asciiTheme="majorHAnsi" w:hAnsiTheme="majorHAnsi"/>
                <w:sz w:val="23"/>
                <w:szCs w:val="23"/>
              </w:rPr>
              <w:t xml:space="preserve">(VU).  </w:t>
            </w:r>
          </w:p>
          <w:p w14:paraId="2BC64FC9" w14:textId="52C6F304" w:rsidR="00F003C5" w:rsidRPr="00F50F23" w:rsidRDefault="007C17BD" w:rsidP="007C17BD">
            <w:pPr>
              <w:pStyle w:val="ListParagraph"/>
              <w:numPr>
                <w:ilvl w:val="0"/>
                <w:numId w:val="5"/>
              </w:numPr>
              <w:spacing w:before="120" w:after="120" w:line="240" w:lineRule="auto"/>
              <w:rPr>
                <w:rFonts w:ascii="Calibri Light" w:hAnsi="Calibri Light"/>
                <w:szCs w:val="24"/>
              </w:rPr>
            </w:pPr>
            <w:r w:rsidRPr="00277BF2">
              <w:rPr>
                <w:rFonts w:asciiTheme="majorHAnsi" w:hAnsiTheme="majorHAnsi"/>
                <w:sz w:val="23"/>
                <w:szCs w:val="23"/>
              </w:rPr>
              <w:t>T</w:t>
            </w:r>
            <w:r w:rsidR="00F003C5" w:rsidRPr="00277BF2">
              <w:rPr>
                <w:rFonts w:asciiTheme="majorHAnsi" w:hAnsiTheme="majorHAnsi"/>
                <w:sz w:val="23"/>
                <w:szCs w:val="23"/>
              </w:rPr>
              <w:t>he Network</w:t>
            </w:r>
            <w:r w:rsidRPr="00277BF2">
              <w:rPr>
                <w:rFonts w:asciiTheme="majorHAnsi" w:hAnsiTheme="majorHAnsi"/>
                <w:sz w:val="23"/>
                <w:szCs w:val="23"/>
              </w:rPr>
              <w:t>’s plans</w:t>
            </w:r>
            <w:r w:rsidR="00F003C5" w:rsidRPr="00277BF2">
              <w:rPr>
                <w:rFonts w:asciiTheme="majorHAnsi" w:hAnsiTheme="majorHAnsi"/>
                <w:sz w:val="23"/>
                <w:szCs w:val="23"/>
              </w:rPr>
              <w:t xml:space="preserve"> </w:t>
            </w:r>
            <w:r w:rsidRPr="00277BF2">
              <w:rPr>
                <w:rFonts w:asciiTheme="majorHAnsi" w:hAnsiTheme="majorHAnsi"/>
                <w:sz w:val="23"/>
                <w:szCs w:val="23"/>
              </w:rPr>
              <w:t xml:space="preserve">for </w:t>
            </w:r>
            <w:r w:rsidR="00F003C5" w:rsidRPr="00277BF2">
              <w:rPr>
                <w:rFonts w:asciiTheme="majorHAnsi" w:hAnsiTheme="majorHAnsi"/>
                <w:sz w:val="23"/>
                <w:szCs w:val="23"/>
              </w:rPr>
              <w:t>provid</w:t>
            </w:r>
            <w:r w:rsidRPr="00277BF2">
              <w:rPr>
                <w:rFonts w:asciiTheme="majorHAnsi" w:hAnsiTheme="majorHAnsi"/>
                <w:sz w:val="23"/>
                <w:szCs w:val="23"/>
              </w:rPr>
              <w:t>ing</w:t>
            </w:r>
            <w:r w:rsidR="00F003C5" w:rsidRPr="00277BF2">
              <w:rPr>
                <w:rFonts w:asciiTheme="majorHAnsi" w:hAnsiTheme="majorHAnsi"/>
                <w:sz w:val="23"/>
                <w:szCs w:val="23"/>
              </w:rPr>
              <w:t xml:space="preserve"> candidate gene information to patients and family members</w:t>
            </w:r>
            <w:r w:rsidRPr="00277BF2">
              <w:rPr>
                <w:rFonts w:asciiTheme="majorHAnsi" w:hAnsiTheme="majorHAnsi"/>
                <w:sz w:val="23"/>
                <w:szCs w:val="23"/>
              </w:rPr>
              <w:t xml:space="preserve"> was </w:t>
            </w:r>
            <w:r w:rsidR="00151192" w:rsidRPr="00277BF2">
              <w:rPr>
                <w:rFonts w:asciiTheme="majorHAnsi" w:hAnsiTheme="majorHAnsi"/>
                <w:sz w:val="23"/>
                <w:szCs w:val="23"/>
              </w:rPr>
              <w:t>discussed. Variant</w:t>
            </w:r>
            <w:r w:rsidR="0013098C" w:rsidRPr="00277BF2">
              <w:rPr>
                <w:rFonts w:asciiTheme="majorHAnsi" w:hAnsiTheme="majorHAnsi"/>
                <w:sz w:val="23"/>
                <w:szCs w:val="23"/>
              </w:rPr>
              <w:t xml:space="preserve"> of unknown significance (</w:t>
            </w:r>
            <w:r w:rsidR="008D6ECA" w:rsidRPr="00277BF2">
              <w:rPr>
                <w:rFonts w:asciiTheme="majorHAnsi" w:hAnsiTheme="majorHAnsi"/>
                <w:sz w:val="23"/>
                <w:szCs w:val="23"/>
              </w:rPr>
              <w:t>VUS</w:t>
            </w:r>
            <w:r w:rsidR="00151192" w:rsidRPr="00277BF2">
              <w:rPr>
                <w:rFonts w:asciiTheme="majorHAnsi" w:hAnsiTheme="majorHAnsi"/>
                <w:sz w:val="23"/>
                <w:szCs w:val="23"/>
              </w:rPr>
              <w:t xml:space="preserve">) </w:t>
            </w:r>
            <w:r w:rsidR="00AE2CA8" w:rsidRPr="00277BF2">
              <w:rPr>
                <w:rFonts w:asciiTheme="majorHAnsi" w:hAnsiTheme="majorHAnsi"/>
                <w:sz w:val="23"/>
                <w:szCs w:val="23"/>
              </w:rPr>
              <w:t>results</w:t>
            </w:r>
            <w:r w:rsidR="008D6ECA" w:rsidRPr="00277BF2">
              <w:rPr>
                <w:rFonts w:asciiTheme="majorHAnsi" w:hAnsiTheme="majorHAnsi"/>
                <w:sz w:val="23"/>
                <w:szCs w:val="23"/>
              </w:rPr>
              <w:t xml:space="preserve"> will not generally be returned to healthy patients, but </w:t>
            </w:r>
            <w:r w:rsidR="003D2390" w:rsidRPr="00277BF2">
              <w:rPr>
                <w:rFonts w:asciiTheme="majorHAnsi" w:hAnsiTheme="majorHAnsi"/>
                <w:sz w:val="23"/>
                <w:szCs w:val="23"/>
              </w:rPr>
              <w:t>GeneInsight does have a m</w:t>
            </w:r>
            <w:r w:rsidR="00F67541" w:rsidRPr="00277BF2">
              <w:rPr>
                <w:rFonts w:asciiTheme="majorHAnsi" w:hAnsiTheme="majorHAnsi"/>
                <w:sz w:val="23"/>
                <w:szCs w:val="23"/>
              </w:rPr>
              <w:t>echanism to update reports over the length of the study</w:t>
            </w:r>
            <w:r w:rsidR="008D6ECA" w:rsidRPr="00277BF2">
              <w:rPr>
                <w:rFonts w:asciiTheme="majorHAnsi" w:hAnsiTheme="majorHAnsi"/>
                <w:sz w:val="23"/>
                <w:szCs w:val="23"/>
              </w:rPr>
              <w:t>, so if a variant becomes implicated in disease it can be returned in the future</w:t>
            </w:r>
            <w:r w:rsidR="00F67541" w:rsidRPr="00277BF2">
              <w:rPr>
                <w:rFonts w:asciiTheme="majorHAnsi" w:hAnsiTheme="majorHAnsi"/>
                <w:sz w:val="23"/>
                <w:szCs w:val="23"/>
              </w:rPr>
              <w:t>.</w:t>
            </w:r>
            <w:r w:rsidR="0080527F" w:rsidRPr="00277BF2">
              <w:rPr>
                <w:rFonts w:asciiTheme="majorHAnsi" w:hAnsiTheme="majorHAnsi"/>
                <w:sz w:val="23"/>
                <w:szCs w:val="23"/>
              </w:rPr>
              <w:t xml:space="preserve">  Further, </w:t>
            </w:r>
            <w:r w:rsidR="00601BA5" w:rsidRPr="00277BF2">
              <w:rPr>
                <w:rFonts w:asciiTheme="majorHAnsi" w:hAnsiTheme="majorHAnsi"/>
                <w:sz w:val="23"/>
                <w:szCs w:val="23"/>
              </w:rPr>
              <w:t xml:space="preserve">raw data, including </w:t>
            </w:r>
            <w:r w:rsidR="0080527F" w:rsidRPr="00277BF2">
              <w:rPr>
                <w:rFonts w:asciiTheme="majorHAnsi" w:hAnsiTheme="majorHAnsi"/>
                <w:sz w:val="23"/>
                <w:szCs w:val="23"/>
              </w:rPr>
              <w:t>VUS data will be stored and available for analysis (ex: to study penetrance).</w:t>
            </w:r>
            <w:r w:rsidR="008D6ECA" w:rsidRPr="00277BF2">
              <w:rPr>
                <w:rFonts w:asciiTheme="majorHAnsi" w:hAnsiTheme="majorHAnsi"/>
                <w:sz w:val="23"/>
                <w:szCs w:val="23"/>
              </w:rPr>
              <w:t xml:space="preserve">  </w:t>
            </w:r>
            <w:r w:rsidR="00F67541" w:rsidRPr="00277BF2">
              <w:rPr>
                <w:rFonts w:asciiTheme="majorHAnsi" w:hAnsiTheme="majorHAnsi"/>
                <w:sz w:val="23"/>
                <w:szCs w:val="23"/>
              </w:rPr>
              <w:t xml:space="preserve"> </w:t>
            </w:r>
          </w:p>
        </w:tc>
      </w:tr>
      <w:tr w:rsidR="00A44EB1" w:rsidRPr="00A44EB1" w14:paraId="24E4FA31" w14:textId="77777777" w:rsidTr="00054F01">
        <w:trPr>
          <w:trHeight w:val="321"/>
        </w:trPr>
        <w:tc>
          <w:tcPr>
            <w:tcW w:w="11341" w:type="dxa"/>
            <w:tcBorders>
              <w:top w:val="single" w:sz="8" w:space="0" w:color="auto"/>
              <w:left w:val="single" w:sz="8" w:space="0" w:color="auto"/>
              <w:bottom w:val="single" w:sz="8" w:space="0" w:color="auto"/>
              <w:right w:val="single" w:sz="8" w:space="0" w:color="auto"/>
            </w:tcBorders>
            <w:shd w:val="clear" w:color="auto" w:fill="008BCC"/>
            <w:tcMar>
              <w:top w:w="29" w:type="dxa"/>
              <w:left w:w="29" w:type="dxa"/>
              <w:bottom w:w="29" w:type="dxa"/>
              <w:right w:w="29" w:type="dxa"/>
            </w:tcMar>
            <w:vAlign w:val="center"/>
          </w:tcPr>
          <w:p w14:paraId="1036E467" w14:textId="77777777" w:rsidR="00A44EB1" w:rsidRPr="00A44EB1" w:rsidRDefault="00A44EB1" w:rsidP="00A44EB1">
            <w:pPr>
              <w:spacing w:before="120" w:after="120" w:line="240" w:lineRule="auto"/>
              <w:rPr>
                <w:b/>
                <w:color w:val="FFFFFF" w:themeColor="background1"/>
                <w:sz w:val="24"/>
                <w:szCs w:val="24"/>
              </w:rPr>
            </w:pPr>
            <w:r w:rsidRPr="00A44EB1">
              <w:rPr>
                <w:b/>
                <w:color w:val="FFFFFF" w:themeColor="background1"/>
                <w:sz w:val="24"/>
                <w:szCs w:val="24"/>
              </w:rPr>
              <w:t>Discussion and Suggestions from ESP</w:t>
            </w:r>
          </w:p>
        </w:tc>
      </w:tr>
      <w:tr w:rsidR="00A44EB1" w:rsidRPr="00A44EB1" w14:paraId="79D6AADC" w14:textId="77777777" w:rsidTr="00054F01">
        <w:trPr>
          <w:trHeight w:val="321"/>
        </w:trPr>
        <w:tc>
          <w:tcPr>
            <w:tcW w:w="11341" w:type="dxa"/>
            <w:tcBorders>
              <w:top w:val="single" w:sz="8" w:space="0" w:color="auto"/>
              <w:left w:val="single" w:sz="8" w:space="0" w:color="auto"/>
              <w:bottom w:val="single" w:sz="8" w:space="0" w:color="auto"/>
              <w:right w:val="single" w:sz="8" w:space="0" w:color="auto"/>
            </w:tcBorders>
            <w:shd w:val="clear" w:color="auto" w:fill="auto"/>
            <w:tcMar>
              <w:top w:w="29" w:type="dxa"/>
              <w:left w:w="29" w:type="dxa"/>
              <w:bottom w:w="29" w:type="dxa"/>
              <w:right w:w="29" w:type="dxa"/>
            </w:tcMar>
            <w:vAlign w:val="center"/>
          </w:tcPr>
          <w:p w14:paraId="7F5EFB2B" w14:textId="2D09643E" w:rsidR="00A44EB1" w:rsidRPr="00277BF2" w:rsidRDefault="007C17BD" w:rsidP="007C17BD">
            <w:pPr>
              <w:pStyle w:val="ListParagraph"/>
              <w:numPr>
                <w:ilvl w:val="0"/>
                <w:numId w:val="5"/>
              </w:numPr>
              <w:spacing w:before="120" w:after="120" w:line="240" w:lineRule="auto"/>
              <w:rPr>
                <w:rFonts w:asciiTheme="majorHAnsi" w:hAnsiTheme="majorHAnsi"/>
                <w:sz w:val="23"/>
                <w:szCs w:val="23"/>
              </w:rPr>
            </w:pPr>
            <w:r w:rsidRPr="00277BF2">
              <w:rPr>
                <w:rFonts w:asciiTheme="majorHAnsi" w:hAnsiTheme="majorHAnsi"/>
                <w:sz w:val="23"/>
                <w:szCs w:val="23"/>
              </w:rPr>
              <w:t xml:space="preserve">The </w:t>
            </w:r>
            <w:r w:rsidR="001F381E" w:rsidRPr="00277BF2">
              <w:rPr>
                <w:rFonts w:asciiTheme="majorHAnsi" w:hAnsiTheme="majorHAnsi"/>
                <w:sz w:val="23"/>
                <w:szCs w:val="23"/>
              </w:rPr>
              <w:t xml:space="preserve">ESP </w:t>
            </w:r>
            <w:r w:rsidRPr="00277BF2">
              <w:rPr>
                <w:rFonts w:asciiTheme="majorHAnsi" w:hAnsiTheme="majorHAnsi"/>
                <w:sz w:val="23"/>
                <w:szCs w:val="23"/>
              </w:rPr>
              <w:t xml:space="preserve">requested further information on the frequency of </w:t>
            </w:r>
            <w:r w:rsidR="001F381E" w:rsidRPr="00277BF2">
              <w:rPr>
                <w:rFonts w:asciiTheme="majorHAnsi" w:hAnsiTheme="majorHAnsi"/>
                <w:sz w:val="23"/>
                <w:szCs w:val="23"/>
              </w:rPr>
              <w:t>genetic testing data being returned to</w:t>
            </w:r>
            <w:r w:rsidR="003D2390" w:rsidRPr="00277BF2">
              <w:rPr>
                <w:rFonts w:asciiTheme="majorHAnsi" w:hAnsiTheme="majorHAnsi"/>
                <w:sz w:val="23"/>
                <w:szCs w:val="23"/>
              </w:rPr>
              <w:t xml:space="preserve"> site </w:t>
            </w:r>
            <w:r w:rsidR="001F381E" w:rsidRPr="00277BF2">
              <w:rPr>
                <w:rFonts w:asciiTheme="majorHAnsi" w:hAnsiTheme="majorHAnsi"/>
                <w:sz w:val="23"/>
                <w:szCs w:val="23"/>
              </w:rPr>
              <w:t>EHR</w:t>
            </w:r>
            <w:r w:rsidR="003D2390" w:rsidRPr="00277BF2">
              <w:rPr>
                <w:rFonts w:asciiTheme="majorHAnsi" w:hAnsiTheme="majorHAnsi"/>
                <w:sz w:val="23"/>
                <w:szCs w:val="23"/>
              </w:rPr>
              <w:t>s</w:t>
            </w:r>
            <w:r w:rsidR="001F381E" w:rsidRPr="00277BF2">
              <w:rPr>
                <w:rFonts w:asciiTheme="majorHAnsi" w:hAnsiTheme="majorHAnsi"/>
                <w:sz w:val="23"/>
                <w:szCs w:val="23"/>
              </w:rPr>
              <w:t xml:space="preserve">, and </w:t>
            </w:r>
            <w:r w:rsidR="003D2390" w:rsidRPr="00277BF2">
              <w:rPr>
                <w:rFonts w:asciiTheme="majorHAnsi" w:hAnsiTheme="majorHAnsi"/>
                <w:sz w:val="23"/>
                <w:szCs w:val="23"/>
              </w:rPr>
              <w:t xml:space="preserve">if </w:t>
            </w:r>
            <w:r w:rsidR="001F381E" w:rsidRPr="00277BF2">
              <w:rPr>
                <w:rFonts w:asciiTheme="majorHAnsi" w:hAnsiTheme="majorHAnsi"/>
                <w:sz w:val="23"/>
                <w:szCs w:val="23"/>
              </w:rPr>
              <w:t>that</w:t>
            </w:r>
            <w:r w:rsidR="003D2390" w:rsidRPr="00277BF2">
              <w:rPr>
                <w:rFonts w:asciiTheme="majorHAnsi" w:hAnsiTheme="majorHAnsi"/>
                <w:sz w:val="23"/>
                <w:szCs w:val="23"/>
              </w:rPr>
              <w:t xml:space="preserve"> was accomplished</w:t>
            </w:r>
            <w:r w:rsidR="001F381E" w:rsidRPr="00277BF2">
              <w:rPr>
                <w:rFonts w:asciiTheme="majorHAnsi" w:hAnsiTheme="majorHAnsi"/>
                <w:sz w:val="23"/>
                <w:szCs w:val="23"/>
              </w:rPr>
              <w:t xml:space="preserve"> by </w:t>
            </w:r>
            <w:r w:rsidRPr="00277BF2">
              <w:rPr>
                <w:rFonts w:asciiTheme="majorHAnsi" w:hAnsiTheme="majorHAnsi"/>
                <w:sz w:val="23"/>
                <w:szCs w:val="23"/>
              </w:rPr>
              <w:t xml:space="preserve">a </w:t>
            </w:r>
            <w:r w:rsidR="001F381E" w:rsidRPr="00277BF2">
              <w:rPr>
                <w:rFonts w:asciiTheme="majorHAnsi" w:hAnsiTheme="majorHAnsi"/>
                <w:sz w:val="23"/>
                <w:szCs w:val="23"/>
              </w:rPr>
              <w:t>special pathway</w:t>
            </w:r>
            <w:r w:rsidR="000608C2" w:rsidRPr="00277BF2">
              <w:rPr>
                <w:rFonts w:asciiTheme="majorHAnsi" w:hAnsiTheme="majorHAnsi"/>
                <w:sz w:val="23"/>
                <w:szCs w:val="23"/>
              </w:rPr>
              <w:t>.</w:t>
            </w:r>
            <w:r w:rsidR="001F381E" w:rsidRPr="00277BF2">
              <w:rPr>
                <w:rFonts w:asciiTheme="majorHAnsi" w:hAnsiTheme="majorHAnsi"/>
                <w:sz w:val="23"/>
                <w:szCs w:val="23"/>
              </w:rPr>
              <w:t xml:space="preserve"> </w:t>
            </w:r>
            <w:r w:rsidR="000608C2" w:rsidRPr="00277BF2">
              <w:rPr>
                <w:rFonts w:asciiTheme="majorHAnsi" w:hAnsiTheme="majorHAnsi"/>
                <w:sz w:val="23"/>
                <w:szCs w:val="23"/>
              </w:rPr>
              <w:t xml:space="preserve"> </w:t>
            </w:r>
            <w:r w:rsidRPr="00277BF2">
              <w:rPr>
                <w:rFonts w:asciiTheme="majorHAnsi" w:hAnsiTheme="majorHAnsi"/>
                <w:sz w:val="23"/>
                <w:szCs w:val="23"/>
              </w:rPr>
              <w:t>T</w:t>
            </w:r>
            <w:r w:rsidR="00AE2CA8" w:rsidRPr="00277BF2">
              <w:rPr>
                <w:rFonts w:asciiTheme="majorHAnsi" w:hAnsiTheme="majorHAnsi"/>
                <w:sz w:val="23"/>
                <w:szCs w:val="23"/>
              </w:rPr>
              <w:t>he EHRI</w:t>
            </w:r>
            <w:r w:rsidR="003815A2" w:rsidRPr="00277BF2">
              <w:rPr>
                <w:rFonts w:asciiTheme="majorHAnsi" w:hAnsiTheme="majorHAnsi"/>
                <w:sz w:val="23"/>
                <w:szCs w:val="23"/>
              </w:rPr>
              <w:t xml:space="preserve"> workgroup </w:t>
            </w:r>
            <w:r w:rsidR="003D2390" w:rsidRPr="00277BF2">
              <w:rPr>
                <w:rFonts w:asciiTheme="majorHAnsi" w:hAnsiTheme="majorHAnsi"/>
                <w:sz w:val="23"/>
                <w:szCs w:val="23"/>
              </w:rPr>
              <w:t xml:space="preserve">identified that a </w:t>
            </w:r>
            <w:r w:rsidR="003815A2" w:rsidRPr="00277BF2">
              <w:rPr>
                <w:rFonts w:asciiTheme="majorHAnsi" w:hAnsiTheme="majorHAnsi"/>
                <w:sz w:val="23"/>
                <w:szCs w:val="23"/>
              </w:rPr>
              <w:t>f</w:t>
            </w:r>
            <w:r w:rsidR="001F381E" w:rsidRPr="00277BF2">
              <w:rPr>
                <w:rFonts w:asciiTheme="majorHAnsi" w:hAnsiTheme="majorHAnsi"/>
                <w:sz w:val="23"/>
                <w:szCs w:val="23"/>
              </w:rPr>
              <w:t xml:space="preserve">ile-based transfer from GeneInsight </w:t>
            </w:r>
            <w:r w:rsidR="003D2390" w:rsidRPr="00277BF2">
              <w:rPr>
                <w:rFonts w:asciiTheme="majorHAnsi" w:hAnsiTheme="majorHAnsi"/>
                <w:sz w:val="23"/>
                <w:szCs w:val="23"/>
              </w:rPr>
              <w:t xml:space="preserve">is </w:t>
            </w:r>
            <w:r w:rsidR="003815A2" w:rsidRPr="00277BF2">
              <w:rPr>
                <w:rFonts w:asciiTheme="majorHAnsi" w:hAnsiTheme="majorHAnsi"/>
                <w:sz w:val="23"/>
                <w:szCs w:val="23"/>
              </w:rPr>
              <w:t>the optimal process for returning data to EHR</w:t>
            </w:r>
            <w:r w:rsidR="003D2390" w:rsidRPr="00277BF2">
              <w:rPr>
                <w:rFonts w:asciiTheme="majorHAnsi" w:hAnsiTheme="majorHAnsi"/>
                <w:sz w:val="23"/>
                <w:szCs w:val="23"/>
              </w:rPr>
              <w:t>s</w:t>
            </w:r>
            <w:r w:rsidR="003815A2" w:rsidRPr="00277BF2">
              <w:rPr>
                <w:rFonts w:asciiTheme="majorHAnsi" w:hAnsiTheme="majorHAnsi"/>
                <w:sz w:val="23"/>
                <w:szCs w:val="23"/>
              </w:rPr>
              <w:t xml:space="preserve">. The Network has identified local solutions, but not a generalizable solution to date. </w:t>
            </w:r>
          </w:p>
        </w:tc>
      </w:tr>
      <w:tr w:rsidR="001C028F" w:rsidRPr="00A44EB1" w14:paraId="753D16C6" w14:textId="77777777" w:rsidTr="001C028F">
        <w:trPr>
          <w:trHeight w:val="321"/>
        </w:trPr>
        <w:tc>
          <w:tcPr>
            <w:tcW w:w="11341" w:type="dxa"/>
            <w:tcBorders>
              <w:top w:val="single" w:sz="8" w:space="0" w:color="auto"/>
              <w:left w:val="single" w:sz="8" w:space="0" w:color="auto"/>
              <w:bottom w:val="single" w:sz="8" w:space="0" w:color="auto"/>
              <w:right w:val="single" w:sz="8" w:space="0" w:color="auto"/>
            </w:tcBorders>
            <w:shd w:val="clear" w:color="auto" w:fill="008BCC"/>
            <w:tcMar>
              <w:top w:w="29" w:type="dxa"/>
              <w:left w:w="29" w:type="dxa"/>
              <w:bottom w:w="29" w:type="dxa"/>
              <w:right w:w="29" w:type="dxa"/>
            </w:tcMar>
            <w:vAlign w:val="center"/>
          </w:tcPr>
          <w:p w14:paraId="42E56413" w14:textId="26782BF1" w:rsidR="001C028F" w:rsidRPr="00277BF2" w:rsidRDefault="001C028F" w:rsidP="001C028F">
            <w:pPr>
              <w:pStyle w:val="ListParagraph"/>
              <w:spacing w:before="120" w:after="120" w:line="240" w:lineRule="auto"/>
              <w:ind w:left="0"/>
              <w:rPr>
                <w:rFonts w:asciiTheme="majorHAnsi" w:hAnsiTheme="majorHAnsi"/>
                <w:sz w:val="23"/>
                <w:szCs w:val="23"/>
              </w:rPr>
            </w:pPr>
            <w:r w:rsidRPr="001C028F">
              <w:rPr>
                <w:b/>
                <w:color w:val="FFFFFF" w:themeColor="background1"/>
                <w:sz w:val="24"/>
                <w:szCs w:val="24"/>
              </w:rPr>
              <w:t>Executive Session</w:t>
            </w:r>
          </w:p>
        </w:tc>
      </w:tr>
      <w:tr w:rsidR="001C028F" w:rsidRPr="00A44EB1" w14:paraId="090F1266" w14:textId="77777777" w:rsidTr="001C028F">
        <w:trPr>
          <w:trHeight w:val="321"/>
        </w:trPr>
        <w:tc>
          <w:tcPr>
            <w:tcW w:w="11341" w:type="dxa"/>
            <w:tcBorders>
              <w:top w:val="single" w:sz="8" w:space="0" w:color="auto"/>
              <w:left w:val="single" w:sz="8" w:space="0" w:color="auto"/>
              <w:bottom w:val="single" w:sz="8" w:space="0" w:color="auto"/>
              <w:right w:val="single" w:sz="8" w:space="0" w:color="auto"/>
            </w:tcBorders>
            <w:shd w:val="clear" w:color="auto" w:fill="auto"/>
            <w:tcMar>
              <w:top w:w="29" w:type="dxa"/>
              <w:left w:w="29" w:type="dxa"/>
              <w:bottom w:w="29" w:type="dxa"/>
              <w:right w:w="29" w:type="dxa"/>
            </w:tcMar>
            <w:vAlign w:val="center"/>
          </w:tcPr>
          <w:p w14:paraId="0AA03B98" w14:textId="77777777" w:rsidR="001C028F" w:rsidRDefault="001C028F" w:rsidP="001C028F">
            <w:pPr>
              <w:numPr>
                <w:ilvl w:val="0"/>
                <w:numId w:val="6"/>
              </w:numPr>
              <w:spacing w:after="0" w:line="240" w:lineRule="auto"/>
              <w:contextualSpacing/>
              <w:rPr>
                <w:rFonts w:asciiTheme="majorHAnsi" w:eastAsia="Times New Roman" w:hAnsiTheme="majorHAnsi" w:cs="Times New Roman"/>
                <w:b/>
                <w:szCs w:val="18"/>
              </w:rPr>
            </w:pPr>
            <w:r>
              <w:rPr>
                <w:rFonts w:asciiTheme="majorHAnsi" w:eastAsia="Times New Roman" w:hAnsiTheme="majorHAnsi" w:cs="Times New Roman"/>
                <w:szCs w:val="18"/>
              </w:rPr>
              <w:t>The ESP was pleased with the ESP packet and network presentations, and felt the investigators presented a good foundation for the future work that the Network will do. They felt that the presentations were aspirational due to the newness of eMERGE3, but the plans presented for future work were reasonable.</w:t>
            </w:r>
          </w:p>
          <w:p w14:paraId="401AFD2D" w14:textId="77777777" w:rsidR="001C028F" w:rsidRDefault="001C028F" w:rsidP="001C028F">
            <w:pPr>
              <w:numPr>
                <w:ilvl w:val="0"/>
                <w:numId w:val="6"/>
              </w:numPr>
              <w:spacing w:after="0" w:line="240" w:lineRule="auto"/>
              <w:contextualSpacing/>
              <w:rPr>
                <w:rFonts w:asciiTheme="majorHAnsi" w:eastAsia="Times New Roman" w:hAnsiTheme="majorHAnsi" w:cs="Times New Roman"/>
                <w:b/>
                <w:szCs w:val="18"/>
              </w:rPr>
            </w:pPr>
            <w:r>
              <w:rPr>
                <w:rFonts w:asciiTheme="majorHAnsi" w:eastAsia="Times New Roman" w:hAnsiTheme="majorHAnsi" w:cs="Times New Roman"/>
                <w:szCs w:val="18"/>
              </w:rPr>
              <w:t xml:space="preserve">The ESP expressed appreciation for how the eMERGE network had previously disseminated lessons learned from Ethical, Legal and Social Implications (ELSI) research to the scientific community and recommended that the network continue to study social and ethical issues, especially relating to the process of reporting clinically reportable variants (e.g. who is involved when decisions are made about returning results, etc).  Therefore, other institutions and consortia </w:t>
            </w:r>
            <w:r>
              <w:rPr>
                <w:rFonts w:asciiTheme="majorHAnsi" w:eastAsia="Times New Roman" w:hAnsiTheme="majorHAnsi" w:cs="Times New Roman"/>
                <w:szCs w:val="18"/>
              </w:rPr>
              <w:lastRenderedPageBreak/>
              <w:t xml:space="preserve">can make use of the same practices and learn from any pitfalls.  They expect to see publications on the process of gaining consistency in variant interpretation and clinical reportability. </w:t>
            </w:r>
          </w:p>
          <w:p w14:paraId="666F81B6" w14:textId="73E52578" w:rsidR="001C028F" w:rsidRDefault="001C028F" w:rsidP="001C028F">
            <w:pPr>
              <w:numPr>
                <w:ilvl w:val="0"/>
                <w:numId w:val="6"/>
              </w:numPr>
              <w:spacing w:after="0" w:line="240" w:lineRule="auto"/>
              <w:contextualSpacing/>
              <w:rPr>
                <w:rFonts w:asciiTheme="majorHAnsi" w:eastAsia="Times New Roman" w:hAnsiTheme="majorHAnsi" w:cs="Times New Roman"/>
                <w:b/>
                <w:szCs w:val="18"/>
              </w:rPr>
            </w:pPr>
            <w:r>
              <w:rPr>
                <w:rFonts w:asciiTheme="majorHAnsi" w:eastAsia="Times New Roman" w:hAnsiTheme="majorHAnsi" w:cs="Times New Roman"/>
                <w:szCs w:val="18"/>
              </w:rPr>
              <w:t xml:space="preserve">Regarding reporting of variants of all classes as described in the “ACMG Standards and Guidelines” to study sites (note: reporting variants of all classes to site investigators does not mean returning variants of all classes to patients’ EMRs.  Sites will decide, based on their study objectives and IRB approval, which variants they will return to patients), some ESP members recommended reporting of all classes of variants to the study sites because: 1) it would increase possibilities </w:t>
            </w:r>
            <w:r w:rsidR="007A692B">
              <w:rPr>
                <w:rFonts w:asciiTheme="majorHAnsi" w:eastAsia="Times New Roman" w:hAnsiTheme="majorHAnsi" w:cs="Times New Roman"/>
                <w:szCs w:val="18"/>
              </w:rPr>
              <w:t xml:space="preserve">for scientific enquiry; and 2) </w:t>
            </w:r>
            <w:r>
              <w:rPr>
                <w:rFonts w:asciiTheme="majorHAnsi" w:eastAsia="Times New Roman" w:hAnsiTheme="majorHAnsi" w:cs="Times New Roman"/>
                <w:szCs w:val="18"/>
              </w:rPr>
              <w:t>it would also allow the network to compare the ethical, legal, and social implications across sites of having a clinical report including information that they do not plan to report to patients.  However, a few ESP members advocated the potential merits of permitting and studying different reporting practices, as well as the opportunity to study patient service seeking following reports and impact (including financial and service utilization) on institutions of different degrees of reporting.</w:t>
            </w:r>
          </w:p>
          <w:p w14:paraId="5ECFFF34" w14:textId="77777777" w:rsidR="001C028F" w:rsidRDefault="001C028F" w:rsidP="001C028F">
            <w:pPr>
              <w:spacing w:after="0" w:line="240" w:lineRule="auto"/>
              <w:ind w:left="720"/>
              <w:contextualSpacing/>
              <w:rPr>
                <w:rFonts w:asciiTheme="majorHAnsi" w:eastAsia="Times New Roman" w:hAnsiTheme="majorHAnsi" w:cs="Times New Roman"/>
                <w:szCs w:val="18"/>
              </w:rPr>
            </w:pPr>
            <w:r>
              <w:rPr>
                <w:rFonts w:asciiTheme="majorHAnsi" w:eastAsia="Times New Roman" w:hAnsiTheme="majorHAnsi" w:cs="Times New Roman"/>
                <w:szCs w:val="18"/>
              </w:rPr>
              <w:t>NHGRI staff noted that reporting variants of all classes to sites likely has significant budgetary implications which the Institute will try to work through with the investigators.</w:t>
            </w:r>
          </w:p>
          <w:p w14:paraId="6C7E50CB" w14:textId="77777777" w:rsidR="001C028F" w:rsidRDefault="001C028F" w:rsidP="001C028F">
            <w:pPr>
              <w:numPr>
                <w:ilvl w:val="0"/>
                <w:numId w:val="6"/>
              </w:numPr>
              <w:spacing w:after="0" w:line="240" w:lineRule="auto"/>
              <w:contextualSpacing/>
              <w:rPr>
                <w:rFonts w:asciiTheme="majorHAnsi" w:eastAsia="Times New Roman" w:hAnsiTheme="majorHAnsi" w:cs="Times New Roman"/>
                <w:b/>
                <w:szCs w:val="18"/>
              </w:rPr>
            </w:pPr>
            <w:r>
              <w:rPr>
                <w:rFonts w:asciiTheme="majorHAnsi" w:eastAsia="Times New Roman" w:hAnsiTheme="majorHAnsi" w:cs="Times New Roman"/>
                <w:szCs w:val="18"/>
              </w:rPr>
              <w:t xml:space="preserve">The ESP expressed some concerns about having one sequencing center appearing to be leading the sequencing efforts based on the presentations given. The NHGRI staff reassured them that the two sequencing centers are working together well and communicating to harmonize data flow.  One center is leading on clinical reporting using GeneInsight, which was the focus of the presentation to the ESP, and the other center is leading on sequencing data generation and management using DNANexus. </w:t>
            </w:r>
          </w:p>
          <w:p w14:paraId="44EE72F5" w14:textId="77777777" w:rsidR="001C028F" w:rsidRDefault="001C028F" w:rsidP="001C028F">
            <w:pPr>
              <w:numPr>
                <w:ilvl w:val="0"/>
                <w:numId w:val="6"/>
              </w:numPr>
              <w:spacing w:after="0" w:line="240" w:lineRule="auto"/>
              <w:contextualSpacing/>
              <w:rPr>
                <w:rFonts w:asciiTheme="majorHAnsi" w:eastAsia="Times New Roman" w:hAnsiTheme="majorHAnsi" w:cs="Times New Roman"/>
                <w:b/>
                <w:szCs w:val="18"/>
              </w:rPr>
            </w:pPr>
            <w:r>
              <w:rPr>
                <w:rFonts w:asciiTheme="majorHAnsi" w:eastAsia="Times New Roman" w:hAnsiTheme="majorHAnsi" w:cs="Times New Roman"/>
                <w:szCs w:val="18"/>
              </w:rPr>
              <w:t>The ESP members discussed the potential value of reinstating the pediatric working group, and ultimately felt that it was best to continue without one given that it has not been judged to be productive in the past.</w:t>
            </w:r>
          </w:p>
          <w:p w14:paraId="018FD2AE" w14:textId="77777777" w:rsidR="00FA383B" w:rsidRDefault="00FA383B" w:rsidP="001C028F">
            <w:pPr>
              <w:spacing w:line="240" w:lineRule="auto"/>
              <w:rPr>
                <w:rFonts w:asciiTheme="majorHAnsi" w:eastAsia="Times New Roman" w:hAnsiTheme="majorHAnsi" w:cs="Times New Roman"/>
                <w:b/>
                <w:color w:val="008BCC"/>
                <w:sz w:val="28"/>
                <w:szCs w:val="24"/>
              </w:rPr>
            </w:pPr>
          </w:p>
          <w:p w14:paraId="0ABCFA8C" w14:textId="77653ADB" w:rsidR="001C028F" w:rsidRDefault="001C028F" w:rsidP="001C028F">
            <w:pPr>
              <w:spacing w:line="240" w:lineRule="auto"/>
              <w:rPr>
                <w:rFonts w:asciiTheme="majorHAnsi" w:eastAsia="Times New Roman" w:hAnsiTheme="majorHAnsi" w:cs="Times New Roman"/>
                <w:b/>
                <w:color w:val="008BCC"/>
                <w:sz w:val="28"/>
                <w:szCs w:val="24"/>
              </w:rPr>
            </w:pPr>
            <w:bookmarkStart w:id="0" w:name="_GoBack"/>
            <w:bookmarkEnd w:id="0"/>
            <w:r>
              <w:rPr>
                <w:rFonts w:asciiTheme="majorHAnsi" w:eastAsia="Times New Roman" w:hAnsiTheme="majorHAnsi" w:cs="Times New Roman"/>
                <w:b/>
                <w:color w:val="008BCC"/>
                <w:sz w:val="28"/>
                <w:szCs w:val="24"/>
              </w:rPr>
              <w:t>ESP Recommendations:</w:t>
            </w:r>
          </w:p>
          <w:p w14:paraId="0EE482A9" w14:textId="77777777" w:rsidR="001C028F" w:rsidRDefault="001C028F" w:rsidP="001C028F">
            <w:pPr>
              <w:pStyle w:val="ListParagraph"/>
              <w:numPr>
                <w:ilvl w:val="0"/>
                <w:numId w:val="7"/>
              </w:numPr>
              <w:spacing w:line="240" w:lineRule="auto"/>
              <w:rPr>
                <w:rFonts w:asciiTheme="majorHAnsi" w:eastAsia="Times New Roman" w:hAnsiTheme="majorHAnsi" w:cs="Times New Roman"/>
                <w:szCs w:val="18"/>
              </w:rPr>
            </w:pPr>
            <w:r>
              <w:rPr>
                <w:rFonts w:asciiTheme="majorHAnsi" w:eastAsia="Times New Roman" w:hAnsiTheme="majorHAnsi" w:cs="Times New Roman"/>
                <w:szCs w:val="18"/>
              </w:rPr>
              <w:t>The ESP recommended that the network study the social and ethical issues involved in the process of making scientific decisions about variant annotation and reporting clinically reportable variants (e.g. who is involved when decisions are made about returning results, etc). This study could lead to a network publication.</w:t>
            </w:r>
          </w:p>
          <w:p w14:paraId="6F7550E7" w14:textId="77777777" w:rsidR="001C028F" w:rsidRDefault="001C028F" w:rsidP="001C028F">
            <w:pPr>
              <w:pStyle w:val="ListParagraph"/>
              <w:numPr>
                <w:ilvl w:val="0"/>
                <w:numId w:val="7"/>
              </w:numPr>
              <w:spacing w:line="240" w:lineRule="auto"/>
              <w:rPr>
                <w:rFonts w:asciiTheme="majorHAnsi" w:eastAsia="Times New Roman" w:hAnsiTheme="majorHAnsi" w:cs="Times New Roman"/>
                <w:szCs w:val="18"/>
              </w:rPr>
            </w:pPr>
            <w:r>
              <w:rPr>
                <w:rFonts w:asciiTheme="majorHAnsi" w:eastAsia="Times New Roman" w:hAnsiTheme="majorHAnsi" w:cs="Times New Roman"/>
                <w:szCs w:val="18"/>
              </w:rPr>
              <w:t xml:space="preserve">The ESP recommended that both sequencing centers issue clinical reports for all variants to the sites, pending resolution of budgetary issues. </w:t>
            </w:r>
          </w:p>
          <w:p w14:paraId="41C04B21" w14:textId="77777777" w:rsidR="001C028F" w:rsidRPr="001C028F" w:rsidRDefault="001C028F" w:rsidP="001C028F">
            <w:pPr>
              <w:pStyle w:val="ListParagraph"/>
              <w:spacing w:before="120" w:after="120" w:line="240" w:lineRule="auto"/>
              <w:ind w:left="0"/>
              <w:rPr>
                <w:b/>
                <w:color w:val="FFFFFF" w:themeColor="background1"/>
                <w:sz w:val="24"/>
                <w:szCs w:val="24"/>
              </w:rPr>
            </w:pPr>
          </w:p>
        </w:tc>
      </w:tr>
      <w:tr w:rsidR="00A44EB1" w:rsidRPr="00A44EB1" w14:paraId="61F9BBB1" w14:textId="77777777" w:rsidTr="00054F01">
        <w:trPr>
          <w:trHeight w:val="321"/>
        </w:trPr>
        <w:tc>
          <w:tcPr>
            <w:tcW w:w="11341" w:type="dxa"/>
            <w:tcBorders>
              <w:top w:val="single" w:sz="8" w:space="0" w:color="auto"/>
              <w:left w:val="single" w:sz="8" w:space="0" w:color="auto"/>
              <w:bottom w:val="single" w:sz="8" w:space="0" w:color="auto"/>
              <w:right w:val="single" w:sz="8" w:space="0" w:color="auto"/>
            </w:tcBorders>
            <w:tcMar>
              <w:top w:w="29" w:type="dxa"/>
              <w:left w:w="29" w:type="dxa"/>
              <w:bottom w:w="29" w:type="dxa"/>
              <w:right w:w="29" w:type="dxa"/>
            </w:tcMar>
            <w:vAlign w:val="center"/>
          </w:tcPr>
          <w:p w14:paraId="28E5F580" w14:textId="77777777" w:rsidR="00A44EB1" w:rsidRPr="00A44EB1" w:rsidRDefault="00A44EB1" w:rsidP="00A44EB1">
            <w:pPr>
              <w:spacing w:before="120" w:after="120" w:line="276" w:lineRule="auto"/>
              <w:jc w:val="center"/>
              <w:rPr>
                <w:b/>
                <w:color w:val="008BCC"/>
                <w:sz w:val="28"/>
              </w:rPr>
            </w:pPr>
            <w:r w:rsidRPr="00A44EB1">
              <w:rPr>
                <w:b/>
                <w:color w:val="404040" w:themeColor="text1" w:themeTint="BF"/>
                <w:sz w:val="28"/>
              </w:rPr>
              <w:lastRenderedPageBreak/>
              <w:t>eMERGE Network</w:t>
            </w:r>
            <w:r>
              <w:rPr>
                <w:b/>
                <w:color w:val="404040" w:themeColor="text1" w:themeTint="BF"/>
                <w:sz w:val="28"/>
              </w:rPr>
              <w:t>:</w:t>
            </w:r>
            <w:r w:rsidRPr="00A44EB1">
              <w:rPr>
                <w:b/>
                <w:color w:val="404040" w:themeColor="text1" w:themeTint="BF"/>
                <w:sz w:val="28"/>
              </w:rPr>
              <w:t xml:space="preserve"> </w:t>
            </w:r>
            <w:r w:rsidRPr="00A44EB1">
              <w:rPr>
                <w:b/>
                <w:color w:val="008BCC"/>
                <w:sz w:val="28"/>
              </w:rPr>
              <w:t xml:space="preserve">Steering Committee/External Scientific Panel Meeting </w:t>
            </w:r>
          </w:p>
          <w:p w14:paraId="1907F975" w14:textId="77777777" w:rsidR="00A44EB1" w:rsidRPr="00A44EB1" w:rsidRDefault="00A44EB1" w:rsidP="00A44EB1">
            <w:pPr>
              <w:spacing w:before="120" w:after="120" w:line="276" w:lineRule="auto"/>
              <w:jc w:val="center"/>
              <w:rPr>
                <w:rFonts w:ascii="Calibri Light" w:hAnsi="Calibri Light"/>
              </w:rPr>
            </w:pPr>
            <w:r w:rsidRPr="009D4592">
              <w:rPr>
                <w:color w:val="404040" w:themeColor="text1" w:themeTint="BF"/>
                <w:sz w:val="28"/>
              </w:rPr>
              <w:t>October 6-7, 2016 | Bethesda, MD</w:t>
            </w:r>
          </w:p>
        </w:tc>
      </w:tr>
      <w:tr w:rsidR="00A44EB1" w:rsidRPr="00A44EB1" w14:paraId="2623F751" w14:textId="77777777" w:rsidTr="00054F01">
        <w:trPr>
          <w:trHeight w:val="908"/>
        </w:trPr>
        <w:tc>
          <w:tcPr>
            <w:tcW w:w="11341" w:type="dxa"/>
            <w:tcBorders>
              <w:top w:val="double" w:sz="4" w:space="0" w:color="auto"/>
              <w:bottom w:val="single" w:sz="8" w:space="0" w:color="auto"/>
            </w:tcBorders>
            <w:tcMar>
              <w:top w:w="58" w:type="dxa"/>
              <w:left w:w="86" w:type="dxa"/>
              <w:bottom w:w="58" w:type="dxa"/>
              <w:right w:w="86" w:type="dxa"/>
            </w:tcMar>
            <w:vAlign w:val="center"/>
          </w:tcPr>
          <w:p w14:paraId="44A26C5D" w14:textId="77777777" w:rsidR="00A44EB1" w:rsidRPr="00A44EB1" w:rsidRDefault="00A44EB1" w:rsidP="00A44EB1">
            <w:pPr>
              <w:spacing w:after="0" w:line="276" w:lineRule="auto"/>
              <w:jc w:val="center"/>
              <w:rPr>
                <w:rFonts w:asciiTheme="majorHAnsi" w:hAnsiTheme="majorHAnsi"/>
                <w:b/>
                <w:bCs/>
                <w:sz w:val="28"/>
                <w:szCs w:val="28"/>
              </w:rPr>
            </w:pPr>
            <w:r w:rsidRPr="00A44EB1">
              <w:rPr>
                <w:rFonts w:ascii="Cambria" w:hAnsi="Cambria"/>
                <w:b/>
                <w:bCs/>
                <w:noProof/>
                <w:sz w:val="28"/>
                <w:szCs w:val="28"/>
              </w:rPr>
              <w:drawing>
                <wp:inline distT="0" distB="0" distL="0" distR="0" wp14:anchorId="6C1B1661" wp14:editId="663680FF">
                  <wp:extent cx="2619375" cy="431190"/>
                  <wp:effectExtent l="0" t="0" r="0" b="6985"/>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ERGE logo (blue_grey) (email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4081" cy="443488"/>
                          </a:xfrm>
                          <a:prstGeom prst="rect">
                            <a:avLst/>
                          </a:prstGeom>
                        </pic:spPr>
                      </pic:pic>
                    </a:graphicData>
                  </a:graphic>
                </wp:inline>
              </w:drawing>
            </w:r>
          </w:p>
        </w:tc>
      </w:tr>
    </w:tbl>
    <w:p w14:paraId="4CD3957F" w14:textId="77777777" w:rsidR="002142B6" w:rsidRDefault="00FA383B"/>
    <w:sectPr w:rsidR="002142B6" w:rsidSect="00A44E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FE0CF" w14:textId="77777777" w:rsidR="00F50F23" w:rsidRDefault="00F50F23" w:rsidP="00F50F23">
      <w:pPr>
        <w:spacing w:after="0" w:line="240" w:lineRule="auto"/>
      </w:pPr>
      <w:r>
        <w:separator/>
      </w:r>
    </w:p>
  </w:endnote>
  <w:endnote w:type="continuationSeparator" w:id="0">
    <w:p w14:paraId="0CDE779D" w14:textId="77777777" w:rsidR="00F50F23" w:rsidRDefault="00F50F23" w:rsidP="00F50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94168" w14:textId="77777777" w:rsidR="00F50F23" w:rsidRDefault="00F50F23" w:rsidP="00F50F23">
      <w:pPr>
        <w:spacing w:after="0" w:line="240" w:lineRule="auto"/>
      </w:pPr>
      <w:r>
        <w:separator/>
      </w:r>
    </w:p>
  </w:footnote>
  <w:footnote w:type="continuationSeparator" w:id="0">
    <w:p w14:paraId="06CDCB78" w14:textId="77777777" w:rsidR="00F50F23" w:rsidRDefault="00F50F23" w:rsidP="00F50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0D12"/>
    <w:multiLevelType w:val="hybridMultilevel"/>
    <w:tmpl w:val="7660E6EA"/>
    <w:lvl w:ilvl="0" w:tplc="61E295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D3BB3"/>
    <w:multiLevelType w:val="hybridMultilevel"/>
    <w:tmpl w:val="57B666E0"/>
    <w:lvl w:ilvl="0" w:tplc="6EBC9E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52A67A5"/>
    <w:multiLevelType w:val="hybridMultilevel"/>
    <w:tmpl w:val="07C8C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23DF1"/>
    <w:multiLevelType w:val="hybridMultilevel"/>
    <w:tmpl w:val="4C06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2B486C"/>
    <w:multiLevelType w:val="hybridMultilevel"/>
    <w:tmpl w:val="2950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017C0"/>
    <w:multiLevelType w:val="hybridMultilevel"/>
    <w:tmpl w:val="CE3C782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6" w15:restartNumberingAfterBreak="0">
    <w:nsid w:val="712F573F"/>
    <w:multiLevelType w:val="hybridMultilevel"/>
    <w:tmpl w:val="9B64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3"/>
    <w:lvlOverride w:ilvl="0"/>
    <w:lvlOverride w:ilvl="1"/>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B1"/>
    <w:rsid w:val="00015CF9"/>
    <w:rsid w:val="000608C2"/>
    <w:rsid w:val="000C4DAB"/>
    <w:rsid w:val="0013098C"/>
    <w:rsid w:val="00151192"/>
    <w:rsid w:val="00161C86"/>
    <w:rsid w:val="001620B5"/>
    <w:rsid w:val="0018126B"/>
    <w:rsid w:val="001979B9"/>
    <w:rsid w:val="001A4D27"/>
    <w:rsid w:val="001C028F"/>
    <w:rsid w:val="001C0ECE"/>
    <w:rsid w:val="001C5B8A"/>
    <w:rsid w:val="001F381E"/>
    <w:rsid w:val="0021580F"/>
    <w:rsid w:val="00222DDA"/>
    <w:rsid w:val="00253089"/>
    <w:rsid w:val="00277BF2"/>
    <w:rsid w:val="003815A2"/>
    <w:rsid w:val="003D2390"/>
    <w:rsid w:val="004504C3"/>
    <w:rsid w:val="004A0F05"/>
    <w:rsid w:val="004B02A8"/>
    <w:rsid w:val="004B38FC"/>
    <w:rsid w:val="005606C2"/>
    <w:rsid w:val="00576C86"/>
    <w:rsid w:val="005A378C"/>
    <w:rsid w:val="00601BA5"/>
    <w:rsid w:val="00663401"/>
    <w:rsid w:val="006C5750"/>
    <w:rsid w:val="006F7F00"/>
    <w:rsid w:val="00774DE8"/>
    <w:rsid w:val="007A692B"/>
    <w:rsid w:val="007C17BD"/>
    <w:rsid w:val="007F3F81"/>
    <w:rsid w:val="0080527F"/>
    <w:rsid w:val="00852F1B"/>
    <w:rsid w:val="008A1ACA"/>
    <w:rsid w:val="008C5E7D"/>
    <w:rsid w:val="008D6ECA"/>
    <w:rsid w:val="00941C24"/>
    <w:rsid w:val="009A6A7C"/>
    <w:rsid w:val="009D4592"/>
    <w:rsid w:val="00A25457"/>
    <w:rsid w:val="00A44EB1"/>
    <w:rsid w:val="00A8531D"/>
    <w:rsid w:val="00AE2B70"/>
    <w:rsid w:val="00AE2CA8"/>
    <w:rsid w:val="00AF586E"/>
    <w:rsid w:val="00B44652"/>
    <w:rsid w:val="00C45F2C"/>
    <w:rsid w:val="00C805F1"/>
    <w:rsid w:val="00D1798D"/>
    <w:rsid w:val="00D75BCB"/>
    <w:rsid w:val="00DA4C6B"/>
    <w:rsid w:val="00DB0C85"/>
    <w:rsid w:val="00E9291B"/>
    <w:rsid w:val="00EE785A"/>
    <w:rsid w:val="00F003C5"/>
    <w:rsid w:val="00F50F23"/>
    <w:rsid w:val="00F67541"/>
    <w:rsid w:val="00F81494"/>
    <w:rsid w:val="00F95310"/>
    <w:rsid w:val="00FA383B"/>
    <w:rsid w:val="00FD7571"/>
    <w:rsid w:val="00FE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FE66"/>
  <w15:chartTrackingRefBased/>
  <w15:docId w15:val="{DCBEB7C3-962B-46FB-934B-75C2F6C1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EB1"/>
    <w:rPr>
      <w:color w:val="0000FF"/>
      <w:u w:val="single"/>
    </w:rPr>
  </w:style>
  <w:style w:type="paragraph" w:styleId="ListParagraph">
    <w:name w:val="List Paragraph"/>
    <w:basedOn w:val="Normal"/>
    <w:uiPriority w:val="34"/>
    <w:qFormat/>
    <w:rsid w:val="001620B5"/>
    <w:pPr>
      <w:ind w:left="720"/>
      <w:contextualSpacing/>
    </w:pPr>
  </w:style>
  <w:style w:type="paragraph" w:styleId="Header">
    <w:name w:val="header"/>
    <w:basedOn w:val="Normal"/>
    <w:link w:val="HeaderChar"/>
    <w:uiPriority w:val="99"/>
    <w:unhideWhenUsed/>
    <w:rsid w:val="00F50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F23"/>
  </w:style>
  <w:style w:type="paragraph" w:styleId="Footer">
    <w:name w:val="footer"/>
    <w:basedOn w:val="Normal"/>
    <w:link w:val="FooterChar"/>
    <w:uiPriority w:val="99"/>
    <w:unhideWhenUsed/>
    <w:rsid w:val="00F50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F23"/>
  </w:style>
  <w:style w:type="character" w:styleId="CommentReference">
    <w:name w:val="annotation reference"/>
    <w:basedOn w:val="DefaultParagraphFont"/>
    <w:uiPriority w:val="99"/>
    <w:semiHidden/>
    <w:unhideWhenUsed/>
    <w:rsid w:val="008A1ACA"/>
    <w:rPr>
      <w:sz w:val="16"/>
      <w:szCs w:val="16"/>
    </w:rPr>
  </w:style>
  <w:style w:type="paragraph" w:styleId="CommentText">
    <w:name w:val="annotation text"/>
    <w:basedOn w:val="Normal"/>
    <w:link w:val="CommentTextChar"/>
    <w:uiPriority w:val="99"/>
    <w:semiHidden/>
    <w:unhideWhenUsed/>
    <w:rsid w:val="008A1ACA"/>
    <w:pPr>
      <w:spacing w:line="240" w:lineRule="auto"/>
    </w:pPr>
    <w:rPr>
      <w:sz w:val="20"/>
      <w:szCs w:val="20"/>
    </w:rPr>
  </w:style>
  <w:style w:type="character" w:customStyle="1" w:styleId="CommentTextChar">
    <w:name w:val="Comment Text Char"/>
    <w:basedOn w:val="DefaultParagraphFont"/>
    <w:link w:val="CommentText"/>
    <w:uiPriority w:val="99"/>
    <w:semiHidden/>
    <w:rsid w:val="008A1ACA"/>
    <w:rPr>
      <w:sz w:val="20"/>
      <w:szCs w:val="20"/>
    </w:rPr>
  </w:style>
  <w:style w:type="paragraph" w:styleId="CommentSubject">
    <w:name w:val="annotation subject"/>
    <w:basedOn w:val="CommentText"/>
    <w:next w:val="CommentText"/>
    <w:link w:val="CommentSubjectChar"/>
    <w:uiPriority w:val="99"/>
    <w:semiHidden/>
    <w:unhideWhenUsed/>
    <w:rsid w:val="008A1ACA"/>
    <w:rPr>
      <w:b/>
      <w:bCs/>
    </w:rPr>
  </w:style>
  <w:style w:type="character" w:customStyle="1" w:styleId="CommentSubjectChar">
    <w:name w:val="Comment Subject Char"/>
    <w:basedOn w:val="CommentTextChar"/>
    <w:link w:val="CommentSubject"/>
    <w:uiPriority w:val="99"/>
    <w:semiHidden/>
    <w:rsid w:val="008A1ACA"/>
    <w:rPr>
      <w:b/>
      <w:bCs/>
      <w:sz w:val="20"/>
      <w:szCs w:val="20"/>
    </w:rPr>
  </w:style>
  <w:style w:type="paragraph" w:styleId="BalloonText">
    <w:name w:val="Balloon Text"/>
    <w:basedOn w:val="Normal"/>
    <w:link w:val="BalloonTextChar"/>
    <w:uiPriority w:val="99"/>
    <w:semiHidden/>
    <w:unhideWhenUsed/>
    <w:rsid w:val="008A1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merge.mc.vanderbil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3025</TotalTime>
  <Pages>3</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Kayla Marie</dc:creator>
  <cp:keywords/>
  <dc:description/>
  <cp:lastModifiedBy>Derveloy, Brianne B</cp:lastModifiedBy>
  <cp:revision>31</cp:revision>
  <dcterms:created xsi:type="dcterms:W3CDTF">2016-02-29T20:28:00Z</dcterms:created>
  <dcterms:modified xsi:type="dcterms:W3CDTF">2016-04-13T14:17:00Z</dcterms:modified>
</cp:coreProperties>
</file>