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F97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17970ACB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6480"/>
      </w:tblGrid>
      <w:tr w:rsidR="00E337BB" w:rsidRPr="005F7C97" w14:paraId="5E19E6C4" w14:textId="77777777" w:rsidTr="00116A1F">
        <w:tc>
          <w:tcPr>
            <w:tcW w:w="3078" w:type="dxa"/>
            <w:vAlign w:val="center"/>
          </w:tcPr>
          <w:p w14:paraId="1885BDB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480" w:type="dxa"/>
          </w:tcPr>
          <w:p w14:paraId="5DCB5F75" w14:textId="4ED00FFE" w:rsidR="000225D2" w:rsidRPr="005F7C97" w:rsidRDefault="00116A1F" w:rsidP="003F637C">
            <w:r>
              <w:t>7/</w:t>
            </w:r>
            <w:r w:rsidR="00B36179">
              <w:t>12</w:t>
            </w:r>
            <w:bookmarkStart w:id="0" w:name="_GoBack"/>
            <w:bookmarkEnd w:id="0"/>
            <w:r w:rsidR="00123207">
              <w:t>/2016</w:t>
            </w:r>
          </w:p>
        </w:tc>
      </w:tr>
      <w:tr w:rsidR="00E337BB" w:rsidRPr="005F7C97" w14:paraId="73AEEF8D" w14:textId="77777777" w:rsidTr="007523EE">
        <w:trPr>
          <w:trHeight w:val="692"/>
        </w:trPr>
        <w:tc>
          <w:tcPr>
            <w:tcW w:w="3078" w:type="dxa"/>
            <w:vAlign w:val="center"/>
          </w:tcPr>
          <w:p w14:paraId="22B6D02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480" w:type="dxa"/>
          </w:tcPr>
          <w:p w14:paraId="68311AB2" w14:textId="77777777" w:rsid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A0551" w14:textId="51A92013" w:rsidR="000225D2" w:rsidRDefault="00116A1F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PheWAS for functional variants in the complement system</w:t>
            </w:r>
          </w:p>
          <w:p w14:paraId="4E0D6A2C" w14:textId="1EE22543" w:rsidR="00961709" w:rsidRP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7BB" w:rsidRPr="005F7C97" w14:paraId="1699B8D2" w14:textId="77777777" w:rsidTr="00116A1F">
        <w:tc>
          <w:tcPr>
            <w:tcW w:w="3078" w:type="dxa"/>
            <w:vAlign w:val="center"/>
          </w:tcPr>
          <w:p w14:paraId="1928DEB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480" w:type="dxa"/>
          </w:tcPr>
          <w:p w14:paraId="4D0AC86C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2DB08" w14:textId="12E7F3C0" w:rsidR="000225D2" w:rsidRPr="00171D96" w:rsidRDefault="00116A1F" w:rsidP="007D4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Kiryluk</w:t>
            </w:r>
          </w:p>
        </w:tc>
      </w:tr>
      <w:tr w:rsidR="00E337BB" w:rsidRPr="005F7C97" w14:paraId="1AF10D02" w14:textId="77777777" w:rsidTr="00116A1F">
        <w:trPr>
          <w:trHeight w:val="467"/>
        </w:trPr>
        <w:tc>
          <w:tcPr>
            <w:tcW w:w="3078" w:type="dxa"/>
            <w:vAlign w:val="center"/>
          </w:tcPr>
          <w:p w14:paraId="22540DE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480" w:type="dxa"/>
          </w:tcPr>
          <w:p w14:paraId="31B7A277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566B" w14:textId="03110806" w:rsidR="000225D2" w:rsidRPr="00171D96" w:rsidRDefault="00116A1F" w:rsidP="00116A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Gharavi</w:t>
            </w:r>
          </w:p>
        </w:tc>
      </w:tr>
      <w:tr w:rsidR="00E337BB" w:rsidRPr="005F7C97" w14:paraId="55DBFB3D" w14:textId="77777777" w:rsidTr="00116A1F">
        <w:tc>
          <w:tcPr>
            <w:tcW w:w="3078" w:type="dxa"/>
            <w:vAlign w:val="center"/>
          </w:tcPr>
          <w:p w14:paraId="2C8CB9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480" w:type="dxa"/>
          </w:tcPr>
          <w:p w14:paraId="6C5BED5E" w14:textId="77777777" w:rsidR="001F719E" w:rsidRDefault="001F719E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3F31C" w14:textId="62EA84AE" w:rsidR="005406AC" w:rsidRPr="00DE08D9" w:rsidRDefault="00116A1F" w:rsidP="000B4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Joshua Denny, </w:t>
            </w:r>
            <w:r w:rsidR="00B83400">
              <w:rPr>
                <w:rFonts w:ascii="Arial" w:hAnsi="Arial" w:cs="Arial"/>
                <w:sz w:val="20"/>
                <w:szCs w:val="20"/>
              </w:rPr>
              <w:t xml:space="preserve">George Hripcsak, Chunhua Weng, </w:t>
            </w:r>
            <w:r w:rsidR="00B340D4">
              <w:rPr>
                <w:rFonts w:ascii="Arial" w:hAnsi="Arial" w:cs="Arial"/>
                <w:sz w:val="20"/>
                <w:szCs w:val="20"/>
              </w:rPr>
              <w:t xml:space="preserve">Ning Shang, </w:t>
            </w:r>
            <w:r w:rsidR="00B51549">
              <w:rPr>
                <w:rFonts w:ascii="Arial" w:hAnsi="Arial" w:cs="Arial"/>
                <w:sz w:val="20"/>
                <w:szCs w:val="20"/>
              </w:rPr>
              <w:t xml:space="preserve">Scott Hebbring, 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="00C34ED4" w:rsidRPr="00DE08D9"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 xml:space="preserve">eMERGE </w:t>
            </w:r>
            <w:r w:rsidRPr="00DE08D9">
              <w:rPr>
                <w:rFonts w:ascii="Arial" w:hAnsi="Arial" w:cs="Arial"/>
                <w:i/>
                <w:sz w:val="20"/>
                <w:szCs w:val="20"/>
              </w:rPr>
              <w:t>members</w:t>
            </w:r>
            <w:r w:rsidR="00091D92" w:rsidRPr="00DE08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>interested in participating</w:t>
            </w:r>
          </w:p>
          <w:p w14:paraId="590CA9D3" w14:textId="20331720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352591CC" w14:textId="77777777" w:rsidTr="00116A1F">
        <w:trPr>
          <w:trHeight w:val="512"/>
        </w:trPr>
        <w:tc>
          <w:tcPr>
            <w:tcW w:w="3078" w:type="dxa"/>
            <w:vAlign w:val="center"/>
          </w:tcPr>
          <w:p w14:paraId="7342291A" w14:textId="59714978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480" w:type="dxa"/>
          </w:tcPr>
          <w:p w14:paraId="181D9446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6D06" w14:textId="1A04424B" w:rsidR="005406AC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propose a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B55FB5" w14:textId="1708602A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1FE413F4" w14:textId="77777777" w:rsidTr="00116A1F">
        <w:trPr>
          <w:trHeight w:val="864"/>
        </w:trPr>
        <w:tc>
          <w:tcPr>
            <w:tcW w:w="3078" w:type="dxa"/>
            <w:vAlign w:val="center"/>
          </w:tcPr>
          <w:p w14:paraId="7D57204A" w14:textId="4EFC4623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480" w:type="dxa"/>
          </w:tcPr>
          <w:p w14:paraId="0A806D19" w14:textId="7BB2E078" w:rsidR="00DB5317" w:rsidRDefault="0024117C" w:rsidP="00116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Our group has been</w:t>
            </w:r>
            <w:r w:rsid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interested in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116A1F">
              <w:rPr>
                <w:rFonts w:ascii="Arial" w:hAnsi="Arial" w:cs="Arial"/>
                <w:color w:val="000000"/>
                <w:sz w:val="20"/>
                <w:szCs w:val="20"/>
              </w:rPr>
              <w:t>genetic regulation of the complement system</w:t>
            </w:r>
            <w:r w:rsidR="00BB7DF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>his study will test</w:t>
            </w:r>
            <w:r w:rsidR="00BB7DF6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known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4CDA">
              <w:rPr>
                <w:rFonts w:ascii="Arial" w:hAnsi="Arial" w:cs="Arial"/>
                <w:color w:val="000000"/>
                <w:sz w:val="20"/>
                <w:szCs w:val="20"/>
              </w:rPr>
              <w:t>GWAS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r w:rsidR="00BB7DF6">
              <w:rPr>
                <w:rFonts w:ascii="Arial" w:hAnsi="Arial" w:cs="Arial"/>
                <w:color w:val="000000"/>
                <w:sz w:val="20"/>
                <w:szCs w:val="20"/>
              </w:rPr>
              <w:t>ariants in the complement genes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B7DF6">
              <w:rPr>
                <w:rFonts w:ascii="Arial" w:hAnsi="Arial" w:cs="Arial"/>
                <w:color w:val="000000"/>
                <w:sz w:val="20"/>
                <w:szCs w:val="20"/>
              </w:rPr>
              <w:t>for pleiotropic effects phenome-wide.</w:t>
            </w:r>
          </w:p>
          <w:p w14:paraId="4586C567" w14:textId="77777777" w:rsidR="00DB5317" w:rsidRDefault="00DB5317" w:rsidP="00116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EEDE74" w14:textId="3DAB5304" w:rsidR="00116A1F" w:rsidRPr="00116A1F" w:rsidRDefault="00732208" w:rsidP="00116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Complement system</w:t>
            </w:r>
            <w:r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provides a primary defense mechanism against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encapsulated organisms including</w:t>
            </w:r>
            <w:r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6A1F">
              <w:rPr>
                <w:rFonts w:ascii="Arial" w:hAnsi="Arial" w:cs="Arial"/>
                <w:i/>
                <w:color w:val="000000"/>
                <w:sz w:val="20"/>
                <w:szCs w:val="20"/>
              </w:rPr>
              <w:t>Neisseria</w:t>
            </w:r>
            <w:r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However, u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ncontrolled activation of the complement system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may lead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to increased inflammation and tissue injury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serious </w:t>
            </w:r>
            <w:r w:rsidR="00116A1F">
              <w:rPr>
                <w:rFonts w:ascii="Arial" w:hAnsi="Arial" w:cs="Arial"/>
                <w:color w:val="000000"/>
                <w:sz w:val="20"/>
                <w:szCs w:val="20"/>
              </w:rPr>
              <w:t>multi-organ manifestations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example, complement activation </w:t>
            </w:r>
            <w:r w:rsidRPr="00116A1F">
              <w:rPr>
                <w:rFonts w:ascii="Arial" w:hAnsi="Arial" w:cs="Arial"/>
                <w:color w:val="000000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critical</w:t>
            </w:r>
            <w:r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role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pathogenesis of septic shock</w:t>
            </w:r>
            <w:r w:rsidR="00C316E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vascular thrombosis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a</w:t>
            </w:r>
            <w:r w:rsidR="00DB5317">
              <w:rPr>
                <w:rFonts w:ascii="Arial" w:hAnsi="Arial" w:cs="Arial"/>
                <w:color w:val="000000"/>
                <w:sz w:val="20"/>
                <w:szCs w:val="20"/>
              </w:rPr>
              <w:t xml:space="preserve">ctivation of the 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 system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kidney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leads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vascular injury and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>various forms of glomerulonephritis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including 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lupus nephritis (LN)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>, mesangioproliferativ</w:t>
            </w:r>
            <w:r w:rsidR="00116A1F">
              <w:rPr>
                <w:rFonts w:ascii="Arial" w:hAnsi="Arial" w:cs="Arial"/>
                <w:color w:val="000000"/>
                <w:sz w:val="20"/>
                <w:szCs w:val="20"/>
              </w:rPr>
              <w:t>e glome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rulonephritis (MPGN)</w:t>
            </w:r>
            <w:r w:rsid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>post-streptoc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occal glomerulonephritis (PSGN),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and IgA nephropathy (IgAN)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a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 xml:space="preserve">ctivation of complement in the retina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 involved in the pathogenesis of age-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lated macular degeneration (AMD)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There are also</w:t>
            </w:r>
            <w:r w:rsidR="00DB5317">
              <w:rPr>
                <w:rFonts w:ascii="Arial" w:hAnsi="Arial" w:cs="Arial"/>
                <w:color w:val="000000"/>
                <w:sz w:val="20"/>
                <w:szCs w:val="20"/>
              </w:rPr>
              <w:t xml:space="preserve"> rare genetic 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>disorders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due to mutations in specif</w:t>
            </w:r>
            <w:r w:rsidR="0024117C">
              <w:rPr>
                <w:rFonts w:ascii="Arial" w:hAnsi="Arial" w:cs="Arial"/>
                <w:color w:val="000000"/>
                <w:sz w:val="20"/>
                <w:szCs w:val="20"/>
              </w:rPr>
              <w:t xml:space="preserve">ic complement regulatory genes. 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For example,</w:t>
            </w:r>
            <w:r w:rsidR="0024117C">
              <w:rPr>
                <w:rFonts w:ascii="Arial" w:hAnsi="Arial" w:cs="Arial"/>
                <w:color w:val="000000"/>
                <w:sz w:val="20"/>
                <w:szCs w:val="20"/>
              </w:rPr>
              <w:t xml:space="preserve"> mutations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CFH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117C">
              <w:rPr>
                <w:rFonts w:ascii="Arial" w:hAnsi="Arial" w:cs="Arial"/>
                <w:color w:val="000000"/>
                <w:sz w:val="20"/>
                <w:szCs w:val="20"/>
              </w:rPr>
              <w:t>ca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use C3 glomerulonephritis (C3GN)</w:t>
            </w:r>
            <w:r w:rsidR="0024117C">
              <w:rPr>
                <w:rFonts w:ascii="Arial" w:hAnsi="Arial" w:cs="Arial"/>
                <w:color w:val="000000"/>
                <w:sz w:val="20"/>
                <w:szCs w:val="20"/>
              </w:rPr>
              <w:t xml:space="preserve">, dense 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deposit disease (DDD), and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 xml:space="preserve"> atypical hemolytic uremic syndrome (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116A1F" w:rsidRPr="00116A1F">
              <w:rPr>
                <w:rFonts w:ascii="Arial" w:hAnsi="Arial" w:cs="Arial"/>
                <w:color w:val="000000"/>
                <w:sz w:val="20"/>
                <w:szCs w:val="20"/>
              </w:rPr>
              <w:t>HUS)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5D8D22B" w14:textId="77777777" w:rsidR="00116A1F" w:rsidRPr="00116A1F" w:rsidRDefault="00116A1F" w:rsidP="00116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35A8E7" w14:textId="0FD12D4C" w:rsidR="00836192" w:rsidRDefault="0024117C" w:rsidP="008361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Recent </w:t>
            </w:r>
            <w:r w:rsidR="005D10EB">
              <w:rPr>
                <w:rFonts w:ascii="Arial" w:hAnsi="Arial" w:cs="Arial"/>
                <w:color w:val="000000"/>
                <w:sz w:val="20"/>
                <w:szCs w:val="20"/>
              </w:rPr>
              <w:t xml:space="preserve">GWAS and sequencing studies have identified a number of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functional variants in the complement genes 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that have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specific disease associations, including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>AMD, SLE, IgAN</w:t>
            </w:r>
            <w:r w:rsidR="0089256E">
              <w:rPr>
                <w:rFonts w:ascii="Arial" w:hAnsi="Arial" w:cs="Arial"/>
                <w:color w:val="000000"/>
                <w:sz w:val="20"/>
                <w:szCs w:val="20"/>
              </w:rPr>
              <w:t>, and Neisseria infections</w:t>
            </w:r>
            <w:r w:rsidR="00C316EB">
              <w:rPr>
                <w:rFonts w:ascii="Arial" w:hAnsi="Arial" w:cs="Arial"/>
                <w:color w:val="000000"/>
                <w:sz w:val="20"/>
                <w:szCs w:val="20"/>
              </w:rPr>
              <w:t>. Q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uantitative GWAS of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>circulating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complement components (e.g.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 xml:space="preserve">plasma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C3, C4,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="00DE08D9"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levels) identified </w:t>
            </w:r>
            <w:r w:rsidR="00473905">
              <w:rPr>
                <w:rFonts w:ascii="Arial" w:hAnsi="Arial" w:cs="Arial"/>
                <w:color w:val="000000"/>
                <w:sz w:val="20"/>
                <w:szCs w:val="20"/>
              </w:rPr>
              <w:t xml:space="preserve">a number of 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additional </w:t>
            </w:r>
            <w:r w:rsidR="00C316EB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regulatory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>loci,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but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 xml:space="preserve"> their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 xml:space="preserve"> disease associations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>are not yet known</w:t>
            </w:r>
            <w:r w:rsidR="00A02B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36192" w:rsidRPr="00D9389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goal of this study is to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systematically characterize pleiotropic effects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these </w:t>
            </w:r>
            <w:r w:rsidR="000630A2">
              <w:rPr>
                <w:rFonts w:ascii="Arial" w:hAnsi="Arial" w:cs="Arial"/>
                <w:color w:val="000000"/>
                <w:sz w:val="20"/>
                <w:szCs w:val="20"/>
              </w:rPr>
              <w:t>variants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using EHR-based PheWAS approach.</w:t>
            </w:r>
          </w:p>
          <w:p w14:paraId="127EA747" w14:textId="5469F24C" w:rsidR="00A2505B" w:rsidRPr="00E0007C" w:rsidRDefault="00A2505B" w:rsidP="00E000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7BB" w:rsidRPr="005F7C97" w14:paraId="3CA01ECD" w14:textId="77777777" w:rsidTr="003F2C4B">
        <w:trPr>
          <w:trHeight w:val="1250"/>
        </w:trPr>
        <w:tc>
          <w:tcPr>
            <w:tcW w:w="3078" w:type="dxa"/>
            <w:vAlign w:val="center"/>
          </w:tcPr>
          <w:p w14:paraId="0BDE4439" w14:textId="2D3AE5AB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Outline of Project</w:t>
            </w:r>
          </w:p>
        </w:tc>
        <w:tc>
          <w:tcPr>
            <w:tcW w:w="6480" w:type="dxa"/>
          </w:tcPr>
          <w:p w14:paraId="4854E544" w14:textId="679C4347" w:rsidR="00E0007C" w:rsidRDefault="00E0007C" w:rsidP="00E000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project will involve the following</w:t>
            </w:r>
            <w:r w:rsidR="003F2C4B">
              <w:rPr>
                <w:rFonts w:ascii="Arial" w:hAnsi="Arial" w:cs="Arial"/>
                <w:color w:val="000000"/>
                <w:sz w:val="20"/>
                <w:szCs w:val="20"/>
              </w:rPr>
              <w:t xml:space="preserve"> steps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BEC402F" w14:textId="21E907F4" w:rsidR="00E0007C" w:rsidRPr="00FF5380" w:rsidRDefault="00E0007C" w:rsidP="00E000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380">
              <w:rPr>
                <w:rFonts w:ascii="Arial" w:hAnsi="Arial" w:cs="Arial"/>
                <w:color w:val="000000"/>
                <w:sz w:val="20"/>
                <w:szCs w:val="20"/>
              </w:rPr>
              <w:t xml:space="preserve">Manual curation of </w:t>
            </w:r>
            <w:r w:rsidR="00240D2E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</w:t>
            </w:r>
            <w:r w:rsidRPr="00FF5380">
              <w:rPr>
                <w:rFonts w:ascii="Arial" w:hAnsi="Arial" w:cs="Arial"/>
                <w:color w:val="000000"/>
                <w:sz w:val="20"/>
                <w:szCs w:val="20"/>
              </w:rPr>
              <w:t xml:space="preserve">variants in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complement pathway genes</w:t>
            </w:r>
            <w:r w:rsidR="00240D2E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established GWAS disease associations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473905">
              <w:rPr>
                <w:rFonts w:ascii="Arial" w:hAnsi="Arial" w:cs="Arial"/>
                <w:color w:val="000000"/>
                <w:sz w:val="20"/>
                <w:szCs w:val="20"/>
              </w:rPr>
              <w:t xml:space="preserve">done by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Columbia site, with input from other sites)</w:t>
            </w:r>
          </w:p>
          <w:p w14:paraId="181A454C" w14:textId="2447784E" w:rsidR="00E0007C" w:rsidRDefault="00E0007C" w:rsidP="00E000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07C">
              <w:rPr>
                <w:rFonts w:ascii="Arial" w:hAnsi="Arial" w:cs="Arial"/>
                <w:color w:val="000000"/>
                <w:sz w:val="20"/>
                <w:szCs w:val="20"/>
              </w:rPr>
              <w:t xml:space="preserve">EMERGE Network-wide PheWAS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these variants (Columbia site with input from the DCC and other EMERGE sites)</w:t>
            </w:r>
          </w:p>
          <w:p w14:paraId="3D6ED7E8" w14:textId="77777777" w:rsidR="00A0773B" w:rsidRPr="00E0007C" w:rsidRDefault="00A0773B" w:rsidP="00E000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07C"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</w:p>
          <w:p w14:paraId="68EBE43E" w14:textId="2464787B" w:rsidR="00E0007C" w:rsidRPr="00E0007C" w:rsidRDefault="00E0007C" w:rsidP="00E0007C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7BB" w:rsidRPr="005F7C97" w14:paraId="227265C1" w14:textId="77777777" w:rsidTr="003F2C4B">
        <w:trPr>
          <w:trHeight w:val="1169"/>
        </w:trPr>
        <w:tc>
          <w:tcPr>
            <w:tcW w:w="3078" w:type="dxa"/>
            <w:vAlign w:val="center"/>
          </w:tcPr>
          <w:p w14:paraId="65CA771C" w14:textId="42E13E7D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6B4ECFEF" w14:textId="77777777" w:rsidR="00E0007C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Variables </w:t>
            </w:r>
          </w:p>
          <w:p w14:paraId="234868CE" w14:textId="498BECA6" w:rsidR="000225D2" w:rsidRPr="00E0007C" w:rsidRDefault="000225D2" w:rsidP="00574935">
            <w:pPr>
              <w:rPr>
                <w:b/>
                <w:sz w:val="16"/>
                <w:szCs w:val="16"/>
              </w:rPr>
            </w:pPr>
            <w:r w:rsidRPr="00E0007C">
              <w:rPr>
                <w:b/>
                <w:sz w:val="16"/>
                <w:szCs w:val="16"/>
              </w:rPr>
              <w:t>(essential for analysis</w:t>
            </w:r>
          </w:p>
          <w:p w14:paraId="2BE97570" w14:textId="77777777" w:rsidR="000225D2" w:rsidRPr="005F7C97" w:rsidRDefault="000225D2" w:rsidP="00574935">
            <w:pPr>
              <w:rPr>
                <w:b/>
              </w:rPr>
            </w:pPr>
            <w:r w:rsidRPr="00E0007C">
              <w:rPr>
                <w:b/>
                <w:sz w:val="16"/>
                <w:szCs w:val="16"/>
              </w:rPr>
              <w:t>indicated by *)</w:t>
            </w:r>
          </w:p>
        </w:tc>
        <w:tc>
          <w:tcPr>
            <w:tcW w:w="6480" w:type="dxa"/>
          </w:tcPr>
          <w:p w14:paraId="50162E36" w14:textId="4915EDBC" w:rsidR="00123207" w:rsidRDefault="00E0007C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 involves PheWAS analysis of ICD and procedure codes for all EMERGE participants. The required variables include:</w:t>
            </w:r>
          </w:p>
          <w:p w14:paraId="74669AE2" w14:textId="2AB757E7" w:rsidR="00E0007C" w:rsidRPr="00E0007C" w:rsidRDefault="00E0007C" w:rsidP="00E000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ICD9/10 codes for PheWAS</w:t>
            </w:r>
            <w:r w:rsidR="0007655E">
              <w:rPr>
                <w:rFonts w:ascii="Arial" w:hAnsi="Arial" w:cs="Arial"/>
                <w:sz w:val="20"/>
                <w:szCs w:val="20"/>
              </w:rPr>
              <w:t xml:space="preserve"> network-wide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5B7ACF0" w14:textId="03B77FC3" w:rsidR="00A0773B" w:rsidRPr="00E0007C" w:rsidRDefault="00E0007C" w:rsidP="00E000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Age, sex, race/ethnicity, cohort/site*</w:t>
            </w:r>
          </w:p>
        </w:tc>
      </w:tr>
      <w:tr w:rsidR="00E337BB" w:rsidRPr="005F7C97" w14:paraId="4E01018A" w14:textId="77777777" w:rsidTr="003F2C4B">
        <w:trPr>
          <w:trHeight w:val="719"/>
        </w:trPr>
        <w:tc>
          <w:tcPr>
            <w:tcW w:w="3078" w:type="dxa"/>
            <w:vAlign w:val="center"/>
          </w:tcPr>
          <w:p w14:paraId="19B66C9D" w14:textId="05FE32AA" w:rsidR="00A9093D" w:rsidRPr="005F7C97" w:rsidRDefault="00E0007C" w:rsidP="00574935">
            <w:pPr>
              <w:rPr>
                <w:b/>
              </w:rPr>
            </w:pPr>
            <w:r>
              <w:rPr>
                <w:b/>
              </w:rPr>
              <w:t>Desired D</w:t>
            </w:r>
            <w:r w:rsidR="00A9093D">
              <w:rPr>
                <w:b/>
              </w:rPr>
              <w:t>ata</w:t>
            </w:r>
          </w:p>
        </w:tc>
        <w:tc>
          <w:tcPr>
            <w:tcW w:w="6480" w:type="dxa"/>
          </w:tcPr>
          <w:p w14:paraId="3F17A1FC" w14:textId="77777777" w:rsidR="00E0007C" w:rsidRPr="003F2C4B" w:rsidRDefault="00E0007C" w:rsidP="003F2C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F2C4B">
              <w:rPr>
                <w:rFonts w:ascii="Arial" w:hAnsi="Arial" w:cs="Arial"/>
                <w:sz w:val="20"/>
                <w:szCs w:val="20"/>
              </w:rPr>
              <w:t>Genotypes for selected variants (genotyped or imputed)*</w:t>
            </w:r>
          </w:p>
          <w:p w14:paraId="0671922A" w14:textId="62FE4604" w:rsidR="007F37B1" w:rsidRPr="00E0007C" w:rsidRDefault="009C517D" w:rsidP="00E000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Genetic ancestry information (for ancestry adjustment in PheWAS).</w:t>
            </w:r>
          </w:p>
        </w:tc>
      </w:tr>
      <w:tr w:rsidR="00E337BB" w:rsidRPr="005F7C97" w14:paraId="5C2A041B" w14:textId="77777777" w:rsidTr="00116A1F">
        <w:trPr>
          <w:trHeight w:val="800"/>
        </w:trPr>
        <w:tc>
          <w:tcPr>
            <w:tcW w:w="3078" w:type="dxa"/>
            <w:vAlign w:val="center"/>
          </w:tcPr>
          <w:p w14:paraId="17A4F263" w14:textId="606605A8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480" w:type="dxa"/>
          </w:tcPr>
          <w:p w14:paraId="24BCA859" w14:textId="77777777" w:rsidR="00A0773B" w:rsidRDefault="00A0773B" w:rsidP="00906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F063B" w14:textId="4E1CFBFB" w:rsidR="00A0773B" w:rsidRPr="00E1467B" w:rsidRDefault="0007655E" w:rsidP="00906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E1467B">
              <w:rPr>
                <w:rFonts w:ascii="Arial" w:hAnsi="Arial" w:cs="Arial"/>
                <w:sz w:val="20"/>
                <w:szCs w:val="20"/>
              </w:rPr>
              <w:t>will perform PheWAS</w:t>
            </w:r>
            <w:r w:rsidR="003F2C4B">
              <w:rPr>
                <w:rFonts w:ascii="Arial" w:hAnsi="Arial" w:cs="Arial"/>
                <w:sz w:val="20"/>
                <w:szCs w:val="20"/>
              </w:rPr>
              <w:t xml:space="preserve"> analysis for ~20 </w:t>
            </w:r>
            <w:r>
              <w:rPr>
                <w:rFonts w:ascii="Arial" w:hAnsi="Arial" w:cs="Arial"/>
                <w:sz w:val="20"/>
                <w:szCs w:val="20"/>
              </w:rPr>
              <w:t xml:space="preserve">variants in </w:t>
            </w:r>
            <w:r w:rsidR="00C600DF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complement genes, including </w:t>
            </w:r>
            <w:r w:rsidR="00C600DF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pre</w:t>
            </w:r>
            <w:r w:rsidR="00C600DF">
              <w:rPr>
                <w:rFonts w:ascii="Arial" w:hAnsi="Arial" w:cs="Arial"/>
                <w:sz w:val="20"/>
                <w:szCs w:val="20"/>
              </w:rPr>
              <w:t>viously described disease-assoc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0DF">
              <w:rPr>
                <w:rFonts w:ascii="Arial" w:hAnsi="Arial" w:cs="Arial"/>
                <w:sz w:val="20"/>
                <w:szCs w:val="20"/>
              </w:rPr>
              <w:t>a</w:t>
            </w:r>
            <w:r w:rsidR="00E1467B">
              <w:rPr>
                <w:rFonts w:ascii="Arial" w:hAnsi="Arial" w:cs="Arial"/>
                <w:sz w:val="20"/>
                <w:szCs w:val="20"/>
              </w:rPr>
              <w:t xml:space="preserve">ted variants in </w:t>
            </w:r>
            <w:r w:rsidRPr="00E1467B">
              <w:rPr>
                <w:rFonts w:ascii="Arial" w:hAnsi="Arial" w:cs="Arial"/>
                <w:i/>
                <w:sz w:val="20"/>
                <w:szCs w:val="20"/>
              </w:rPr>
              <w:t xml:space="preserve">CFH, CFHR1/3, </w:t>
            </w:r>
            <w:r w:rsidR="00C600DF" w:rsidRPr="00E1467B">
              <w:rPr>
                <w:rFonts w:ascii="Arial" w:hAnsi="Arial" w:cs="Arial"/>
                <w:i/>
                <w:sz w:val="20"/>
                <w:szCs w:val="20"/>
              </w:rPr>
              <w:t xml:space="preserve">CFB, C2, </w:t>
            </w:r>
            <w:r w:rsidRPr="00E1467B">
              <w:rPr>
                <w:rFonts w:ascii="Arial" w:hAnsi="Arial" w:cs="Arial"/>
                <w:i/>
                <w:sz w:val="20"/>
                <w:szCs w:val="20"/>
              </w:rPr>
              <w:t>C3, C4, C5,</w:t>
            </w:r>
            <w:r w:rsidR="00C600DF" w:rsidRPr="00E1467B">
              <w:rPr>
                <w:rFonts w:ascii="Arial" w:hAnsi="Arial" w:cs="Arial"/>
                <w:i/>
                <w:sz w:val="20"/>
                <w:szCs w:val="20"/>
              </w:rPr>
              <w:t xml:space="preserve"> C9,</w:t>
            </w:r>
            <w:r w:rsidRPr="00E1467B">
              <w:rPr>
                <w:rFonts w:ascii="Arial" w:hAnsi="Arial" w:cs="Arial"/>
                <w:i/>
                <w:sz w:val="20"/>
                <w:szCs w:val="20"/>
              </w:rPr>
              <w:t xml:space="preserve"> ITGAM, I</w:t>
            </w:r>
            <w:r w:rsidR="00C600DF" w:rsidRPr="00E1467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E1467B">
              <w:rPr>
                <w:rFonts w:ascii="Arial" w:hAnsi="Arial" w:cs="Arial"/>
                <w:i/>
                <w:sz w:val="20"/>
                <w:szCs w:val="20"/>
              </w:rPr>
              <w:t>GAX</w:t>
            </w:r>
            <w:r w:rsidR="00C600DF" w:rsidRPr="00E1467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146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1467B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744557">
              <w:rPr>
                <w:rFonts w:ascii="Arial" w:hAnsi="Arial" w:cs="Arial"/>
                <w:sz w:val="20"/>
                <w:szCs w:val="20"/>
              </w:rPr>
              <w:t xml:space="preserve">will (1) replicate known associations for these </w:t>
            </w:r>
            <w:r w:rsidR="0011220E">
              <w:rPr>
                <w:rFonts w:ascii="Arial" w:hAnsi="Arial" w:cs="Arial"/>
                <w:sz w:val="20"/>
                <w:szCs w:val="20"/>
              </w:rPr>
              <w:t>genes</w:t>
            </w:r>
            <w:r w:rsidR="00744557">
              <w:rPr>
                <w:rFonts w:ascii="Arial" w:hAnsi="Arial" w:cs="Arial"/>
                <w:sz w:val="20"/>
                <w:szCs w:val="20"/>
              </w:rPr>
              <w:t xml:space="preserve">, (2) discover </w:t>
            </w:r>
            <w:r w:rsidR="0011220E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744557">
              <w:rPr>
                <w:rFonts w:ascii="Arial" w:hAnsi="Arial" w:cs="Arial"/>
                <w:sz w:val="20"/>
                <w:szCs w:val="20"/>
              </w:rPr>
              <w:t xml:space="preserve">new pleiotropic effects, and (3) examine </w:t>
            </w:r>
            <w:r w:rsidR="00E1467B">
              <w:rPr>
                <w:rFonts w:ascii="Arial" w:hAnsi="Arial" w:cs="Arial"/>
                <w:sz w:val="20"/>
                <w:szCs w:val="20"/>
              </w:rPr>
              <w:t xml:space="preserve">shared phenotypic associations between these loci. </w:t>
            </w:r>
          </w:p>
          <w:p w14:paraId="52DF50C2" w14:textId="11E39715" w:rsidR="007F37B1" w:rsidRPr="00906C0B" w:rsidRDefault="007F37B1" w:rsidP="00906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3F176234" w14:textId="77777777" w:rsidTr="00116A1F">
        <w:trPr>
          <w:trHeight w:val="1268"/>
        </w:trPr>
        <w:tc>
          <w:tcPr>
            <w:tcW w:w="3078" w:type="dxa"/>
            <w:vAlign w:val="center"/>
          </w:tcPr>
          <w:p w14:paraId="52EC73A6" w14:textId="16C32534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480" w:type="dxa"/>
          </w:tcPr>
          <w:p w14:paraId="694EFF52" w14:textId="77777777" w:rsidR="00BE2E43" w:rsidRDefault="00BE2E43" w:rsidP="00633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5DA0A" w14:textId="0581E584" w:rsidR="00906C0B" w:rsidRDefault="00906C0B" w:rsidP="00633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EMR and genomic data will be stored at a secured location in the data storage system </w:t>
            </w:r>
            <w:r w:rsidR="00E1467B">
              <w:rPr>
                <w:rFonts w:ascii="Arial" w:hAnsi="Arial" w:cs="Arial"/>
                <w:sz w:val="20"/>
                <w:szCs w:val="20"/>
              </w:rPr>
              <w:t xml:space="preserve">at Columbia University. No data will be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>shared with unauthorized third parties. Patient identity will not be compromised by the proposed analysis. We will also abide by the EMERGE guidelines in this regard.</w:t>
            </w:r>
          </w:p>
          <w:p w14:paraId="09E20646" w14:textId="01797B63" w:rsidR="00BE2E43" w:rsidRPr="00171D96" w:rsidRDefault="00BE2E43" w:rsidP="00633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7E1D1F20" w14:textId="77777777" w:rsidTr="00116A1F">
        <w:trPr>
          <w:trHeight w:val="341"/>
        </w:trPr>
        <w:tc>
          <w:tcPr>
            <w:tcW w:w="3078" w:type="dxa"/>
            <w:vAlign w:val="center"/>
          </w:tcPr>
          <w:p w14:paraId="7F1F36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480" w:type="dxa"/>
          </w:tcPr>
          <w:p w14:paraId="73AA5EA9" w14:textId="77777777" w:rsidR="00BE2E43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7FF7" w14:textId="77777777" w:rsidR="005406AC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  <w:p w14:paraId="6B718C38" w14:textId="699EEC07" w:rsidR="00BE2E43" w:rsidRPr="00171D96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6CC41DE9" w14:textId="77777777" w:rsidTr="00116A1F">
        <w:tc>
          <w:tcPr>
            <w:tcW w:w="3078" w:type="dxa"/>
            <w:vAlign w:val="center"/>
          </w:tcPr>
          <w:p w14:paraId="3E40064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480" w:type="dxa"/>
          </w:tcPr>
          <w:p w14:paraId="295ED802" w14:textId="77777777" w:rsidR="007F37B1" w:rsidRDefault="007F37B1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73C8D" w14:textId="43357CD9" w:rsidR="0026747A" w:rsidRDefault="00E1467B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Duration of the study: 6 months</w:t>
            </w:r>
          </w:p>
          <w:p w14:paraId="79B00CCA" w14:textId="763B757E" w:rsidR="00906C0B" w:rsidRDefault="00906C0B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</w:t>
            </w:r>
            <w:r w:rsidR="00073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67B">
              <w:rPr>
                <w:rFonts w:ascii="Arial" w:hAnsi="Arial" w:cs="Arial"/>
                <w:sz w:val="20"/>
                <w:szCs w:val="20"/>
              </w:rPr>
              <w:t xml:space="preserve">PheWAS: </w:t>
            </w:r>
            <w:r w:rsidR="00D17DB0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E1467B">
              <w:rPr>
                <w:rFonts w:ascii="Arial" w:hAnsi="Arial" w:cs="Arial"/>
                <w:sz w:val="20"/>
                <w:szCs w:val="20"/>
              </w:rPr>
              <w:t>months</w:t>
            </w:r>
          </w:p>
          <w:p w14:paraId="393DFB82" w14:textId="5A40920C" w:rsidR="0076798A" w:rsidRPr="00171D96" w:rsidRDefault="00BE7966" w:rsidP="00574935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 xml:space="preserve">Draft of manuscript to authors: </w:t>
            </w:r>
            <w:r w:rsidR="00E1467B">
              <w:rPr>
                <w:rFonts w:ascii="Arial" w:hAnsi="Arial" w:cs="Arial"/>
                <w:sz w:val="20"/>
                <w:szCs w:val="20"/>
              </w:rPr>
              <w:t>November 2016</w:t>
            </w:r>
          </w:p>
          <w:p w14:paraId="36917EA6" w14:textId="13EEB609" w:rsidR="00A2505B" w:rsidRDefault="00BE7966" w:rsidP="00A0773B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First submission:</w:t>
            </w:r>
            <w:r w:rsidR="0029719F" w:rsidRPr="00171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67B">
              <w:rPr>
                <w:rFonts w:ascii="Arial" w:hAnsi="Arial" w:cs="Arial"/>
                <w:sz w:val="20"/>
                <w:szCs w:val="20"/>
              </w:rPr>
              <w:t>December 2016</w:t>
            </w:r>
          </w:p>
          <w:p w14:paraId="3809D884" w14:textId="325117E0" w:rsidR="007F37B1" w:rsidRPr="00171D96" w:rsidRDefault="007F37B1" w:rsidP="00A0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C6B4E" w14:textId="17419F76" w:rsidR="005E6E01" w:rsidRPr="00500AE5" w:rsidRDefault="005E6E01" w:rsidP="005E6E01">
      <w:pPr>
        <w:rPr>
          <w:sz w:val="18"/>
          <w:szCs w:val="18"/>
        </w:rPr>
      </w:pPr>
      <w:r w:rsidRPr="00500AE5">
        <w:rPr>
          <w:b/>
          <w:sz w:val="18"/>
          <w:szCs w:val="18"/>
        </w:rPr>
        <w:t>**</w:t>
      </w:r>
      <w:r w:rsidRPr="00500AE5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14:paraId="696D6C52" w14:textId="77777777" w:rsidR="00795FF3" w:rsidRDefault="00795FF3"/>
    <w:p w14:paraId="361799FF" w14:textId="77777777" w:rsidR="00363EBA" w:rsidRDefault="00363EBA" w:rsidP="00363EBA"/>
    <w:p w14:paraId="427B9CEF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572C9" w14:textId="77777777" w:rsidR="00C600DF" w:rsidRDefault="00C600DF">
      <w:r>
        <w:separator/>
      </w:r>
    </w:p>
  </w:endnote>
  <w:endnote w:type="continuationSeparator" w:id="0">
    <w:p w14:paraId="2E15C3DF" w14:textId="77777777" w:rsidR="00C600DF" w:rsidRDefault="00C6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7198" w14:textId="71360E39" w:rsidR="00C600DF" w:rsidRDefault="00C600D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617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3974" w14:textId="77777777" w:rsidR="00C600DF" w:rsidRDefault="00C600DF">
      <w:r>
        <w:separator/>
      </w:r>
    </w:p>
  </w:footnote>
  <w:footnote w:type="continuationSeparator" w:id="0">
    <w:p w14:paraId="75308A3C" w14:textId="77777777" w:rsidR="00C600DF" w:rsidRDefault="00C6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5B94"/>
    <w:multiLevelType w:val="hybridMultilevel"/>
    <w:tmpl w:val="B16CF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616441"/>
    <w:multiLevelType w:val="hybridMultilevel"/>
    <w:tmpl w:val="BEA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5"/>
  </w:num>
  <w:num w:numId="19">
    <w:abstractNumId w:val="23"/>
  </w:num>
  <w:num w:numId="20">
    <w:abstractNumId w:val="26"/>
  </w:num>
  <w:num w:numId="21">
    <w:abstractNumId w:val="30"/>
  </w:num>
  <w:num w:numId="22">
    <w:abstractNumId w:val="31"/>
  </w:num>
  <w:num w:numId="23">
    <w:abstractNumId w:val="1"/>
  </w:num>
  <w:num w:numId="24">
    <w:abstractNumId w:val="34"/>
  </w:num>
  <w:num w:numId="25">
    <w:abstractNumId w:val="16"/>
  </w:num>
  <w:num w:numId="26">
    <w:abstractNumId w:val="3"/>
  </w:num>
  <w:num w:numId="27">
    <w:abstractNumId w:val="37"/>
  </w:num>
  <w:num w:numId="28">
    <w:abstractNumId w:val="5"/>
  </w:num>
  <w:num w:numId="29">
    <w:abstractNumId w:val="7"/>
  </w:num>
  <w:num w:numId="30">
    <w:abstractNumId w:val="13"/>
  </w:num>
  <w:num w:numId="31">
    <w:abstractNumId w:val="20"/>
  </w:num>
  <w:num w:numId="32">
    <w:abstractNumId w:val="4"/>
  </w:num>
  <w:num w:numId="33">
    <w:abstractNumId w:val="28"/>
  </w:num>
  <w:num w:numId="34">
    <w:abstractNumId w:val="33"/>
  </w:num>
  <w:num w:numId="35">
    <w:abstractNumId w:val="12"/>
  </w:num>
  <w:num w:numId="36">
    <w:abstractNumId w:val="9"/>
  </w:num>
  <w:num w:numId="37">
    <w:abstractNumId w:val="29"/>
  </w:num>
  <w:num w:numId="38">
    <w:abstractNumId w:val="19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32"/>
    <w:rsid w:val="00006DAD"/>
    <w:rsid w:val="0001679F"/>
    <w:rsid w:val="00016DB5"/>
    <w:rsid w:val="000225D2"/>
    <w:rsid w:val="0002359B"/>
    <w:rsid w:val="0002559B"/>
    <w:rsid w:val="0005407A"/>
    <w:rsid w:val="000630A2"/>
    <w:rsid w:val="000632CA"/>
    <w:rsid w:val="00065E5A"/>
    <w:rsid w:val="00071154"/>
    <w:rsid w:val="00072691"/>
    <w:rsid w:val="0007303D"/>
    <w:rsid w:val="0007655E"/>
    <w:rsid w:val="00091D92"/>
    <w:rsid w:val="00093CEE"/>
    <w:rsid w:val="0009605E"/>
    <w:rsid w:val="000A39AF"/>
    <w:rsid w:val="000B1775"/>
    <w:rsid w:val="000B49F3"/>
    <w:rsid w:val="000C02E5"/>
    <w:rsid w:val="000E185E"/>
    <w:rsid w:val="0011220E"/>
    <w:rsid w:val="00116A1F"/>
    <w:rsid w:val="00123207"/>
    <w:rsid w:val="00124025"/>
    <w:rsid w:val="001330F2"/>
    <w:rsid w:val="0013456D"/>
    <w:rsid w:val="00144217"/>
    <w:rsid w:val="00146AD7"/>
    <w:rsid w:val="00162F6E"/>
    <w:rsid w:val="00171D96"/>
    <w:rsid w:val="001B18E7"/>
    <w:rsid w:val="001D19CA"/>
    <w:rsid w:val="001D5750"/>
    <w:rsid w:val="001E65CB"/>
    <w:rsid w:val="001E717E"/>
    <w:rsid w:val="001E71A2"/>
    <w:rsid w:val="001F41A9"/>
    <w:rsid w:val="001F719E"/>
    <w:rsid w:val="00213D65"/>
    <w:rsid w:val="00215E09"/>
    <w:rsid w:val="00224026"/>
    <w:rsid w:val="002252EC"/>
    <w:rsid w:val="00227478"/>
    <w:rsid w:val="00236727"/>
    <w:rsid w:val="00240D2E"/>
    <w:rsid w:val="0024117C"/>
    <w:rsid w:val="0025540D"/>
    <w:rsid w:val="0026747A"/>
    <w:rsid w:val="00274BFF"/>
    <w:rsid w:val="0028585D"/>
    <w:rsid w:val="0028652D"/>
    <w:rsid w:val="0029714D"/>
    <w:rsid w:val="0029719F"/>
    <w:rsid w:val="002B10D1"/>
    <w:rsid w:val="002B201E"/>
    <w:rsid w:val="002D1DC5"/>
    <w:rsid w:val="002F0061"/>
    <w:rsid w:val="00304533"/>
    <w:rsid w:val="00304D9E"/>
    <w:rsid w:val="00311688"/>
    <w:rsid w:val="00320759"/>
    <w:rsid w:val="00336927"/>
    <w:rsid w:val="003632C8"/>
    <w:rsid w:val="00363EBA"/>
    <w:rsid w:val="00367D0A"/>
    <w:rsid w:val="003706AE"/>
    <w:rsid w:val="00370A77"/>
    <w:rsid w:val="00395F93"/>
    <w:rsid w:val="003A423E"/>
    <w:rsid w:val="003B6296"/>
    <w:rsid w:val="003C0F21"/>
    <w:rsid w:val="003D3121"/>
    <w:rsid w:val="003E1C8B"/>
    <w:rsid w:val="003E485B"/>
    <w:rsid w:val="003F2C4B"/>
    <w:rsid w:val="003F2ED3"/>
    <w:rsid w:val="003F396F"/>
    <w:rsid w:val="003F637C"/>
    <w:rsid w:val="00407F88"/>
    <w:rsid w:val="004108D2"/>
    <w:rsid w:val="004126D8"/>
    <w:rsid w:val="00424C88"/>
    <w:rsid w:val="00473905"/>
    <w:rsid w:val="00473CCF"/>
    <w:rsid w:val="00490A32"/>
    <w:rsid w:val="00494C69"/>
    <w:rsid w:val="004966B5"/>
    <w:rsid w:val="00497F6E"/>
    <w:rsid w:val="004A32E0"/>
    <w:rsid w:val="004C33D9"/>
    <w:rsid w:val="004C4F6B"/>
    <w:rsid w:val="004C5E28"/>
    <w:rsid w:val="004D4488"/>
    <w:rsid w:val="00500AE5"/>
    <w:rsid w:val="00503614"/>
    <w:rsid w:val="00515EEA"/>
    <w:rsid w:val="0053704D"/>
    <w:rsid w:val="0053713C"/>
    <w:rsid w:val="005406AC"/>
    <w:rsid w:val="00574935"/>
    <w:rsid w:val="005905C4"/>
    <w:rsid w:val="005A053E"/>
    <w:rsid w:val="005A4C4A"/>
    <w:rsid w:val="005B15A1"/>
    <w:rsid w:val="005B230F"/>
    <w:rsid w:val="005B2357"/>
    <w:rsid w:val="005B2E72"/>
    <w:rsid w:val="005B5981"/>
    <w:rsid w:val="005D03B3"/>
    <w:rsid w:val="005D10EB"/>
    <w:rsid w:val="005E4ED6"/>
    <w:rsid w:val="005E6E01"/>
    <w:rsid w:val="005F63FC"/>
    <w:rsid w:val="00625483"/>
    <w:rsid w:val="00633982"/>
    <w:rsid w:val="006366EE"/>
    <w:rsid w:val="0064186D"/>
    <w:rsid w:val="00662C76"/>
    <w:rsid w:val="00684381"/>
    <w:rsid w:val="00684669"/>
    <w:rsid w:val="00690389"/>
    <w:rsid w:val="00694A3E"/>
    <w:rsid w:val="006A547E"/>
    <w:rsid w:val="006C506F"/>
    <w:rsid w:val="006D0178"/>
    <w:rsid w:val="006D2230"/>
    <w:rsid w:val="006D37AD"/>
    <w:rsid w:val="006D4DDC"/>
    <w:rsid w:val="006F2235"/>
    <w:rsid w:val="006F4653"/>
    <w:rsid w:val="007015CC"/>
    <w:rsid w:val="00724C57"/>
    <w:rsid w:val="00724CDA"/>
    <w:rsid w:val="00725ADE"/>
    <w:rsid w:val="00731007"/>
    <w:rsid w:val="00732208"/>
    <w:rsid w:val="00736BD1"/>
    <w:rsid w:val="00744557"/>
    <w:rsid w:val="007523EE"/>
    <w:rsid w:val="0076798A"/>
    <w:rsid w:val="007808C8"/>
    <w:rsid w:val="00795FF3"/>
    <w:rsid w:val="007A2366"/>
    <w:rsid w:val="007A50BB"/>
    <w:rsid w:val="007B1C63"/>
    <w:rsid w:val="007C5938"/>
    <w:rsid w:val="007D058F"/>
    <w:rsid w:val="007D4E0E"/>
    <w:rsid w:val="007F1FF8"/>
    <w:rsid w:val="007F37B1"/>
    <w:rsid w:val="0081115F"/>
    <w:rsid w:val="008128C8"/>
    <w:rsid w:val="00836192"/>
    <w:rsid w:val="00860F70"/>
    <w:rsid w:val="0087281A"/>
    <w:rsid w:val="00877225"/>
    <w:rsid w:val="0089069A"/>
    <w:rsid w:val="0089256E"/>
    <w:rsid w:val="00895904"/>
    <w:rsid w:val="008A62CC"/>
    <w:rsid w:val="008C4CEE"/>
    <w:rsid w:val="008C50C1"/>
    <w:rsid w:val="008D0908"/>
    <w:rsid w:val="008E01FA"/>
    <w:rsid w:val="008E3110"/>
    <w:rsid w:val="008E3C78"/>
    <w:rsid w:val="008F138E"/>
    <w:rsid w:val="00901835"/>
    <w:rsid w:val="00906C0B"/>
    <w:rsid w:val="0092039E"/>
    <w:rsid w:val="00925350"/>
    <w:rsid w:val="00934211"/>
    <w:rsid w:val="00944011"/>
    <w:rsid w:val="0094599C"/>
    <w:rsid w:val="00961709"/>
    <w:rsid w:val="009663B9"/>
    <w:rsid w:val="00967ED1"/>
    <w:rsid w:val="00971431"/>
    <w:rsid w:val="00971F6E"/>
    <w:rsid w:val="00987070"/>
    <w:rsid w:val="0099373B"/>
    <w:rsid w:val="009A48ED"/>
    <w:rsid w:val="009A59AB"/>
    <w:rsid w:val="009B32DD"/>
    <w:rsid w:val="009C517D"/>
    <w:rsid w:val="009C57EC"/>
    <w:rsid w:val="009D6059"/>
    <w:rsid w:val="009E008D"/>
    <w:rsid w:val="009E4992"/>
    <w:rsid w:val="009F3A21"/>
    <w:rsid w:val="009F6272"/>
    <w:rsid w:val="00A02B84"/>
    <w:rsid w:val="00A0773B"/>
    <w:rsid w:val="00A13CD1"/>
    <w:rsid w:val="00A2505B"/>
    <w:rsid w:val="00A32480"/>
    <w:rsid w:val="00A6545B"/>
    <w:rsid w:val="00A719D9"/>
    <w:rsid w:val="00A87788"/>
    <w:rsid w:val="00A9093D"/>
    <w:rsid w:val="00A90F4D"/>
    <w:rsid w:val="00AA3A30"/>
    <w:rsid w:val="00AB042A"/>
    <w:rsid w:val="00AB1EAE"/>
    <w:rsid w:val="00AC2CEB"/>
    <w:rsid w:val="00AC5816"/>
    <w:rsid w:val="00AF39F2"/>
    <w:rsid w:val="00AF6F00"/>
    <w:rsid w:val="00B0632F"/>
    <w:rsid w:val="00B10236"/>
    <w:rsid w:val="00B25E12"/>
    <w:rsid w:val="00B340D4"/>
    <w:rsid w:val="00B35AC4"/>
    <w:rsid w:val="00B36179"/>
    <w:rsid w:val="00B45093"/>
    <w:rsid w:val="00B51549"/>
    <w:rsid w:val="00B538FA"/>
    <w:rsid w:val="00B6047C"/>
    <w:rsid w:val="00B817B5"/>
    <w:rsid w:val="00B83400"/>
    <w:rsid w:val="00BA33E2"/>
    <w:rsid w:val="00BB7DF6"/>
    <w:rsid w:val="00BC3223"/>
    <w:rsid w:val="00BD36AD"/>
    <w:rsid w:val="00BE2E43"/>
    <w:rsid w:val="00BE65E4"/>
    <w:rsid w:val="00BE7966"/>
    <w:rsid w:val="00BF46E2"/>
    <w:rsid w:val="00BF50FC"/>
    <w:rsid w:val="00BF7923"/>
    <w:rsid w:val="00C00A03"/>
    <w:rsid w:val="00C00CCA"/>
    <w:rsid w:val="00C222AF"/>
    <w:rsid w:val="00C2615F"/>
    <w:rsid w:val="00C316EB"/>
    <w:rsid w:val="00C34ED4"/>
    <w:rsid w:val="00C4270C"/>
    <w:rsid w:val="00C600DF"/>
    <w:rsid w:val="00C74B66"/>
    <w:rsid w:val="00C7574C"/>
    <w:rsid w:val="00C9143F"/>
    <w:rsid w:val="00C9288F"/>
    <w:rsid w:val="00CA505B"/>
    <w:rsid w:val="00CA7088"/>
    <w:rsid w:val="00CA7A29"/>
    <w:rsid w:val="00CB5DAC"/>
    <w:rsid w:val="00CD6156"/>
    <w:rsid w:val="00CE3BBD"/>
    <w:rsid w:val="00CF0FFE"/>
    <w:rsid w:val="00D019D5"/>
    <w:rsid w:val="00D17DB0"/>
    <w:rsid w:val="00D32A7E"/>
    <w:rsid w:val="00D37C43"/>
    <w:rsid w:val="00D446C8"/>
    <w:rsid w:val="00D600A7"/>
    <w:rsid w:val="00D613CC"/>
    <w:rsid w:val="00D6567E"/>
    <w:rsid w:val="00D67D30"/>
    <w:rsid w:val="00D73ADD"/>
    <w:rsid w:val="00DA2017"/>
    <w:rsid w:val="00DA3F69"/>
    <w:rsid w:val="00DA62D2"/>
    <w:rsid w:val="00DA6686"/>
    <w:rsid w:val="00DB5317"/>
    <w:rsid w:val="00DD1B35"/>
    <w:rsid w:val="00DE08D9"/>
    <w:rsid w:val="00DE1B26"/>
    <w:rsid w:val="00DE2AD5"/>
    <w:rsid w:val="00DF17FC"/>
    <w:rsid w:val="00E0007C"/>
    <w:rsid w:val="00E1467B"/>
    <w:rsid w:val="00E155C1"/>
    <w:rsid w:val="00E337BB"/>
    <w:rsid w:val="00E50979"/>
    <w:rsid w:val="00E526D7"/>
    <w:rsid w:val="00E5585A"/>
    <w:rsid w:val="00E64AC6"/>
    <w:rsid w:val="00EA250A"/>
    <w:rsid w:val="00EC0682"/>
    <w:rsid w:val="00EC6FC1"/>
    <w:rsid w:val="00ED78AF"/>
    <w:rsid w:val="00EE2520"/>
    <w:rsid w:val="00EE533D"/>
    <w:rsid w:val="00EE5638"/>
    <w:rsid w:val="00F050A4"/>
    <w:rsid w:val="00F10770"/>
    <w:rsid w:val="00F23B67"/>
    <w:rsid w:val="00F34A8C"/>
    <w:rsid w:val="00F34EC1"/>
    <w:rsid w:val="00F4609E"/>
    <w:rsid w:val="00F473C8"/>
    <w:rsid w:val="00F52350"/>
    <w:rsid w:val="00F55221"/>
    <w:rsid w:val="00F66C59"/>
    <w:rsid w:val="00F711FA"/>
    <w:rsid w:val="00F84630"/>
    <w:rsid w:val="00F94172"/>
    <w:rsid w:val="00FB222F"/>
    <w:rsid w:val="00FC3994"/>
    <w:rsid w:val="00FD208E"/>
    <w:rsid w:val="00FD77C9"/>
    <w:rsid w:val="00FE2671"/>
    <w:rsid w:val="00FE7326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FAA07"/>
  <w15:docId w15:val="{E3A88F38-B0EB-4A3F-908D-39C8CE2C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B874CAA9-73EF-4CD6-973F-63CCD38E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dc:description/>
  <cp:lastModifiedBy>Derveloy, Brianne B</cp:lastModifiedBy>
  <cp:revision>111</cp:revision>
  <cp:lastPrinted>2008-11-03T13:46:00Z</cp:lastPrinted>
  <dcterms:created xsi:type="dcterms:W3CDTF">2015-12-29T14:44:00Z</dcterms:created>
  <dcterms:modified xsi:type="dcterms:W3CDTF">2016-07-12T14:43:00Z</dcterms:modified>
</cp:coreProperties>
</file>