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74EDA" w14:textId="77777777" w:rsidR="00795FF3" w:rsidRPr="0071601D" w:rsidRDefault="00795FF3" w:rsidP="009C57EC">
      <w:pPr>
        <w:pStyle w:val="NormalWeb"/>
        <w:jc w:val="center"/>
        <w:rPr>
          <w:b/>
          <w:sz w:val="28"/>
          <w:szCs w:val="28"/>
        </w:rPr>
      </w:pPr>
      <w:r w:rsidRPr="0071601D">
        <w:rPr>
          <w:b/>
          <w:sz w:val="28"/>
          <w:szCs w:val="28"/>
        </w:rPr>
        <w:t>eMERGE Network Proposal for Analysis</w:t>
      </w:r>
    </w:p>
    <w:p w14:paraId="3058E4A0" w14:textId="77777777" w:rsidR="000225D2" w:rsidRPr="0071601D" w:rsidRDefault="003D3121" w:rsidP="000225D2">
      <w:pPr>
        <w:tabs>
          <w:tab w:val="right" w:leader="underscore" w:pos="8640"/>
        </w:tabs>
        <w:spacing w:line="360" w:lineRule="auto"/>
        <w:jc w:val="center"/>
      </w:pPr>
      <w:r w:rsidRPr="0071601D">
        <w:rPr>
          <w:sz w:val="28"/>
          <w:szCs w:val="28"/>
        </w:rPr>
        <w:t>Project/</w:t>
      </w:r>
      <w:r w:rsidR="00795FF3" w:rsidRPr="0071601D">
        <w:rPr>
          <w:sz w:val="28"/>
          <w:szCs w:val="28"/>
        </w:rPr>
        <w:t>Manuscript Concept Sheet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110"/>
      </w:tblGrid>
      <w:tr w:rsidR="00E337BB" w:rsidRPr="0071601D" w14:paraId="4D9BA4BB" w14:textId="77777777" w:rsidTr="00BD7955">
        <w:tc>
          <w:tcPr>
            <w:tcW w:w="2448" w:type="dxa"/>
            <w:vAlign w:val="center"/>
          </w:tcPr>
          <w:p w14:paraId="5D47A963" w14:textId="77777777" w:rsidR="000225D2" w:rsidRPr="0071601D" w:rsidRDefault="000225D2" w:rsidP="00574935">
            <w:pPr>
              <w:rPr>
                <w:b/>
              </w:rPr>
            </w:pPr>
            <w:r w:rsidRPr="0071601D">
              <w:rPr>
                <w:b/>
              </w:rPr>
              <w:t>Submission Date</w:t>
            </w:r>
          </w:p>
        </w:tc>
        <w:tc>
          <w:tcPr>
            <w:tcW w:w="7110" w:type="dxa"/>
          </w:tcPr>
          <w:p w14:paraId="213A1DF3" w14:textId="231A165C" w:rsidR="000225D2" w:rsidRPr="0071601D" w:rsidRDefault="001F0DFB" w:rsidP="003F637C">
            <w:r>
              <w:t>12/05/16</w:t>
            </w:r>
            <w:bookmarkStart w:id="0" w:name="_GoBack"/>
            <w:bookmarkEnd w:id="0"/>
          </w:p>
        </w:tc>
      </w:tr>
      <w:tr w:rsidR="00E337BB" w:rsidRPr="0071601D" w14:paraId="1884CFE6" w14:textId="77777777" w:rsidTr="00BD7955">
        <w:trPr>
          <w:trHeight w:val="692"/>
        </w:trPr>
        <w:tc>
          <w:tcPr>
            <w:tcW w:w="2448" w:type="dxa"/>
            <w:vAlign w:val="center"/>
          </w:tcPr>
          <w:p w14:paraId="670B6F46" w14:textId="77777777" w:rsidR="000225D2" w:rsidRPr="0071601D" w:rsidRDefault="000225D2" w:rsidP="00574935">
            <w:pPr>
              <w:rPr>
                <w:b/>
              </w:rPr>
            </w:pPr>
            <w:r w:rsidRPr="0071601D">
              <w:rPr>
                <w:b/>
              </w:rPr>
              <w:t>Project Title</w:t>
            </w:r>
          </w:p>
        </w:tc>
        <w:tc>
          <w:tcPr>
            <w:tcW w:w="7110" w:type="dxa"/>
          </w:tcPr>
          <w:p w14:paraId="3CB8CC5D" w14:textId="607C4C18" w:rsidR="00961709" w:rsidRPr="0071601D" w:rsidRDefault="00E911C5" w:rsidP="00BE5A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Decentralized </w:t>
            </w:r>
            <w:r w:rsidR="00BF4054">
              <w:rPr>
                <w:rFonts w:ascii="Arial" w:hAnsi="Arial" w:cs="Arial"/>
                <w:b/>
                <w:sz w:val="20"/>
                <w:szCs w:val="20"/>
              </w:rPr>
              <w:t xml:space="preserve">and HIPPA Compliant Geocoding </w:t>
            </w:r>
            <w:r w:rsidR="00BE5AAB">
              <w:rPr>
                <w:rFonts w:ascii="Arial" w:hAnsi="Arial" w:cs="Arial"/>
                <w:b/>
                <w:sz w:val="20"/>
                <w:szCs w:val="20"/>
              </w:rPr>
              <w:t xml:space="preserve">to Characterize Community and </w:t>
            </w:r>
            <w:r w:rsidR="00BF4054">
              <w:rPr>
                <w:rFonts w:ascii="Arial" w:hAnsi="Arial" w:cs="Arial"/>
                <w:b/>
                <w:sz w:val="20"/>
                <w:szCs w:val="20"/>
              </w:rPr>
              <w:t xml:space="preserve">Environmental </w:t>
            </w:r>
            <w:r w:rsidR="00BE5AAB">
              <w:rPr>
                <w:rFonts w:ascii="Arial" w:hAnsi="Arial" w:cs="Arial"/>
                <w:b/>
                <w:sz w:val="20"/>
                <w:szCs w:val="20"/>
              </w:rPr>
              <w:t>Exposures</w:t>
            </w:r>
            <w:r w:rsidR="0081394F">
              <w:rPr>
                <w:rFonts w:ascii="Arial" w:hAnsi="Arial" w:cs="Arial"/>
                <w:b/>
                <w:sz w:val="20"/>
                <w:szCs w:val="20"/>
              </w:rPr>
              <w:t xml:space="preserve"> for Multi-Site Studies</w:t>
            </w:r>
          </w:p>
        </w:tc>
      </w:tr>
      <w:tr w:rsidR="00E337BB" w:rsidRPr="0071601D" w14:paraId="57EE3F43" w14:textId="77777777" w:rsidTr="00BD7955">
        <w:tc>
          <w:tcPr>
            <w:tcW w:w="2448" w:type="dxa"/>
            <w:vAlign w:val="center"/>
          </w:tcPr>
          <w:p w14:paraId="3A28624D" w14:textId="77777777" w:rsidR="000225D2" w:rsidRPr="0071601D" w:rsidRDefault="000225D2" w:rsidP="00574935">
            <w:pPr>
              <w:rPr>
                <w:b/>
              </w:rPr>
            </w:pPr>
            <w:r w:rsidRPr="0071601D">
              <w:rPr>
                <w:b/>
              </w:rPr>
              <w:t>Tentative Lead Investigator (first author)</w:t>
            </w:r>
          </w:p>
        </w:tc>
        <w:tc>
          <w:tcPr>
            <w:tcW w:w="7110" w:type="dxa"/>
          </w:tcPr>
          <w:p w14:paraId="1F032D51" w14:textId="64E8D65F" w:rsidR="00F54870" w:rsidRPr="0071601D" w:rsidRDefault="00E911C5" w:rsidP="007D4E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 Brokamp</w:t>
            </w:r>
          </w:p>
        </w:tc>
      </w:tr>
      <w:tr w:rsidR="00E337BB" w:rsidRPr="0071601D" w14:paraId="263BD1EF" w14:textId="77777777" w:rsidTr="00BD7955">
        <w:trPr>
          <w:trHeight w:val="467"/>
        </w:trPr>
        <w:tc>
          <w:tcPr>
            <w:tcW w:w="2448" w:type="dxa"/>
            <w:vAlign w:val="center"/>
          </w:tcPr>
          <w:p w14:paraId="69FDC813" w14:textId="77777777" w:rsidR="000225D2" w:rsidRPr="0071601D" w:rsidRDefault="000225D2" w:rsidP="00574935">
            <w:pPr>
              <w:rPr>
                <w:b/>
              </w:rPr>
            </w:pPr>
            <w:r w:rsidRPr="0071601D">
              <w:rPr>
                <w:b/>
              </w:rPr>
              <w:t>Tentative Senior Author (last author)</w:t>
            </w:r>
          </w:p>
        </w:tc>
        <w:tc>
          <w:tcPr>
            <w:tcW w:w="7110" w:type="dxa"/>
          </w:tcPr>
          <w:p w14:paraId="47F17FD5" w14:textId="77777777" w:rsidR="00961709" w:rsidRPr="0071601D" w:rsidRDefault="00961709" w:rsidP="000B49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C1DCAF" w14:textId="45C97DEF" w:rsidR="000225D2" w:rsidRPr="0071601D" w:rsidRDefault="00E911C5" w:rsidP="00116A1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Patrick Ryan</w:t>
            </w:r>
          </w:p>
        </w:tc>
      </w:tr>
      <w:tr w:rsidR="00E337BB" w:rsidRPr="0071601D" w14:paraId="1F4FDD98" w14:textId="77777777" w:rsidTr="00BD7955">
        <w:tc>
          <w:tcPr>
            <w:tcW w:w="2448" w:type="dxa"/>
            <w:vAlign w:val="center"/>
          </w:tcPr>
          <w:p w14:paraId="5FF185AE" w14:textId="77777777" w:rsidR="000225D2" w:rsidRPr="0071601D" w:rsidRDefault="000225D2" w:rsidP="00574935">
            <w:pPr>
              <w:rPr>
                <w:b/>
              </w:rPr>
            </w:pPr>
            <w:r w:rsidRPr="0071601D">
              <w:rPr>
                <w:b/>
              </w:rPr>
              <w:t xml:space="preserve">All other authors </w:t>
            </w:r>
          </w:p>
        </w:tc>
        <w:tc>
          <w:tcPr>
            <w:tcW w:w="7110" w:type="dxa"/>
          </w:tcPr>
          <w:p w14:paraId="4FA24578" w14:textId="5DD4323E" w:rsidR="00961709" w:rsidRPr="0071601D" w:rsidRDefault="00BE5AAB" w:rsidP="00E73D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TBD</w:t>
            </w:r>
          </w:p>
        </w:tc>
      </w:tr>
      <w:tr w:rsidR="00E337BB" w:rsidRPr="0071601D" w14:paraId="3582D2C7" w14:textId="77777777" w:rsidTr="00BD7955">
        <w:trPr>
          <w:trHeight w:val="512"/>
        </w:trPr>
        <w:tc>
          <w:tcPr>
            <w:tcW w:w="2448" w:type="dxa"/>
            <w:vAlign w:val="center"/>
          </w:tcPr>
          <w:p w14:paraId="55F4D141" w14:textId="77777777" w:rsidR="000225D2" w:rsidRPr="0071601D" w:rsidRDefault="000225D2" w:rsidP="00574935">
            <w:pPr>
              <w:rPr>
                <w:b/>
              </w:rPr>
            </w:pPr>
            <w:r w:rsidRPr="0071601D">
              <w:rPr>
                <w:b/>
              </w:rPr>
              <w:t>Sites Involved</w:t>
            </w:r>
          </w:p>
        </w:tc>
        <w:tc>
          <w:tcPr>
            <w:tcW w:w="7110" w:type="dxa"/>
          </w:tcPr>
          <w:p w14:paraId="2C0C9DEE" w14:textId="77777777" w:rsidR="00320759" w:rsidRPr="0071601D" w:rsidRDefault="00320759" w:rsidP="005749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137BD7" w14:textId="7B7246AA" w:rsidR="00123207" w:rsidRPr="0071601D" w:rsidRDefault="006C0212" w:rsidP="00952C18">
            <w:pPr>
              <w:rPr>
                <w:rFonts w:ascii="Arial" w:hAnsi="Arial" w:cs="Arial"/>
                <w:sz w:val="20"/>
                <w:szCs w:val="20"/>
              </w:rPr>
            </w:pPr>
            <w:r w:rsidRPr="0071601D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Pr="0071601D">
              <w:rPr>
                <w:rFonts w:ascii="Arial" w:hAnsi="Arial" w:cs="Arial"/>
                <w:sz w:val="20"/>
                <w:szCs w:val="20"/>
              </w:rPr>
              <w:t xml:space="preserve"> (eMERGEIII </w:t>
            </w:r>
            <w:r w:rsidR="00952C18">
              <w:rPr>
                <w:rFonts w:ascii="Arial" w:hAnsi="Arial" w:cs="Arial"/>
                <w:sz w:val="20"/>
                <w:szCs w:val="20"/>
              </w:rPr>
              <w:t>Geocoding Supplement</w:t>
            </w:r>
            <w:r w:rsidRPr="0071601D">
              <w:rPr>
                <w:rFonts w:ascii="Arial" w:hAnsi="Arial" w:cs="Arial"/>
                <w:sz w:val="20"/>
                <w:szCs w:val="20"/>
              </w:rPr>
              <w:t xml:space="preserve"> Working Group)</w:t>
            </w:r>
          </w:p>
        </w:tc>
      </w:tr>
      <w:tr w:rsidR="00E337BB" w:rsidRPr="0071601D" w14:paraId="67270A79" w14:textId="77777777" w:rsidTr="00BD7955">
        <w:trPr>
          <w:trHeight w:val="864"/>
        </w:trPr>
        <w:tc>
          <w:tcPr>
            <w:tcW w:w="2448" w:type="dxa"/>
            <w:vAlign w:val="center"/>
          </w:tcPr>
          <w:p w14:paraId="76DCF6E1" w14:textId="77777777" w:rsidR="000225D2" w:rsidRPr="0071601D" w:rsidRDefault="000225D2" w:rsidP="00574935">
            <w:pPr>
              <w:rPr>
                <w:b/>
              </w:rPr>
            </w:pPr>
            <w:r w:rsidRPr="0071601D">
              <w:rPr>
                <w:b/>
              </w:rPr>
              <w:t>Background / Significance</w:t>
            </w:r>
          </w:p>
        </w:tc>
        <w:tc>
          <w:tcPr>
            <w:tcW w:w="7110" w:type="dxa"/>
          </w:tcPr>
          <w:p w14:paraId="7950F377" w14:textId="481F7899" w:rsidR="00A2505B" w:rsidRDefault="00BE5AAB" w:rsidP="00BE5A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Geocoding (assigning latitude and longitude coordinates to postal addresses) is a necessary first step to characterize study participants’ community and environmental characteristics in the vicinity of their residence, schools, etc</w:t>
            </w:r>
          </w:p>
          <w:p w14:paraId="58D66C3A" w14:textId="77777777" w:rsidR="00BE5AAB" w:rsidRDefault="00BE5AAB" w:rsidP="00BE5A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53B38C" w14:textId="77777777" w:rsidR="00BE5AAB" w:rsidRDefault="00BE5AAB" w:rsidP="00BE5A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Geocoding involves the use of identifying information (addresses) and therefore must be conducted in a HIPPA and IRB compliant manner</w:t>
            </w:r>
          </w:p>
          <w:p w14:paraId="6A24040C" w14:textId="77777777" w:rsidR="00BE5AAB" w:rsidRDefault="00BE5AAB" w:rsidP="00BE5A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781E82" w14:textId="77777777" w:rsidR="0081394F" w:rsidRDefault="00BE5AAB" w:rsidP="00BE5A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Geocoding and assigning environmental / community characteristics for participants in multi-site studies governed by multiple IRBs presents logistical challenges and, typically, requires</w:t>
            </w:r>
            <w:r w:rsidR="0081394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7493704" w14:textId="4AA8C180" w:rsidR="0081394F" w:rsidRDefault="0081394F" w:rsidP="0081394F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1394F">
              <w:rPr>
                <w:rFonts w:ascii="Arial" w:hAnsi="Arial" w:cs="Arial"/>
                <w:sz w:val="20"/>
                <w:szCs w:val="20"/>
              </w:rPr>
              <w:t xml:space="preserve">pecific IRB approval for a central site to conduct the </w:t>
            </w:r>
            <w:r>
              <w:rPr>
                <w:rFonts w:ascii="Arial" w:hAnsi="Arial" w:cs="Arial"/>
                <w:sz w:val="20"/>
                <w:szCs w:val="20"/>
              </w:rPr>
              <w:t xml:space="preserve">geocoding / analyses OR </w:t>
            </w:r>
          </w:p>
          <w:p w14:paraId="212B0446" w14:textId="77777777" w:rsidR="00BE5AAB" w:rsidRDefault="0081394F" w:rsidP="0081394F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decentralized approach whereby each site conducts geocoding independently, links geocoded locations to the desired geographic data, and then separate the geographic data from the addresses to create a de-identified dataset for analyses.</w:t>
            </w:r>
          </w:p>
          <w:p w14:paraId="1F5A8BD4" w14:textId="77777777" w:rsidR="0081394F" w:rsidRDefault="0081394F" w:rsidP="0081394F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Approaches (1) and (2) have significant limitations including IRB approvals, inconsistent geocoding results, expertise available at each study site, and others</w:t>
            </w:r>
          </w:p>
          <w:p w14:paraId="03E71B47" w14:textId="77777777" w:rsidR="0081394F" w:rsidRDefault="0081394F" w:rsidP="008139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F806BC" w14:textId="63A4373C" w:rsidR="0081394F" w:rsidRPr="0081394F" w:rsidRDefault="0081394F" w:rsidP="00971A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Therefore, we propose a novel, decentralized approach whereby one site (Cincinnati) develops standalone geocoding software capable of producing geocodes and deriving community and environmental exposures.  This software</w:t>
            </w:r>
            <w:r w:rsidR="00971AA8">
              <w:rPr>
                <w:rFonts w:ascii="Arial" w:hAnsi="Arial" w:cs="Arial"/>
                <w:sz w:val="20"/>
                <w:szCs w:val="20"/>
              </w:rPr>
              <w:t xml:space="preserve"> will allow</w:t>
            </w:r>
            <w:r>
              <w:rPr>
                <w:rFonts w:ascii="Arial" w:hAnsi="Arial" w:cs="Arial"/>
                <w:sz w:val="20"/>
                <w:szCs w:val="20"/>
              </w:rPr>
              <w:t xml:space="preserve"> each </w:t>
            </w:r>
            <w:r w:rsidR="00971AA8">
              <w:rPr>
                <w:rFonts w:ascii="Arial" w:hAnsi="Arial" w:cs="Arial"/>
                <w:sz w:val="20"/>
                <w:szCs w:val="20"/>
              </w:rPr>
              <w:t xml:space="preserve">study </w:t>
            </w:r>
            <w:r>
              <w:rPr>
                <w:rFonts w:ascii="Arial" w:hAnsi="Arial" w:cs="Arial"/>
                <w:sz w:val="20"/>
                <w:szCs w:val="20"/>
              </w:rPr>
              <w:t>site to independently geocode</w:t>
            </w:r>
            <w:r w:rsidR="00971AA8">
              <w:rPr>
                <w:rFonts w:ascii="Arial" w:hAnsi="Arial" w:cs="Arial"/>
                <w:sz w:val="20"/>
                <w:szCs w:val="20"/>
              </w:rPr>
              <w:t xml:space="preserve"> their sites addresses and link community / environmental exposures to these.  Removal of the addresses from this dataset at each site will produce a non-identifiable (and therefore IRB compliant) dataset of community and environmental exposures to be merged by the eMERGE coordinating center.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337BB" w:rsidRPr="0071601D" w14:paraId="58644F0B" w14:textId="77777777" w:rsidTr="00BD7955">
        <w:trPr>
          <w:trHeight w:val="4292"/>
        </w:trPr>
        <w:tc>
          <w:tcPr>
            <w:tcW w:w="2448" w:type="dxa"/>
            <w:vAlign w:val="center"/>
          </w:tcPr>
          <w:p w14:paraId="5FC9BC4A" w14:textId="6FB2FB3C" w:rsidR="000225D2" w:rsidRPr="0071601D" w:rsidRDefault="000225D2" w:rsidP="00574935">
            <w:pPr>
              <w:rPr>
                <w:b/>
              </w:rPr>
            </w:pPr>
            <w:r w:rsidRPr="0071601D">
              <w:rPr>
                <w:b/>
              </w:rPr>
              <w:lastRenderedPageBreak/>
              <w:t>Outline of Project</w:t>
            </w:r>
          </w:p>
        </w:tc>
        <w:tc>
          <w:tcPr>
            <w:tcW w:w="7110" w:type="dxa"/>
          </w:tcPr>
          <w:p w14:paraId="0BDB7596" w14:textId="7D3AB751" w:rsidR="008824E3" w:rsidRDefault="008824E3" w:rsidP="008824E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Execute a decentralized approach to extract census block FIPS identifier and </w:t>
            </w:r>
            <w:r w:rsidR="00852259">
              <w:rPr>
                <w:rFonts w:ascii="Arial" w:hAnsi="Arial" w:cs="Arial"/>
                <w:sz w:val="20"/>
                <w:szCs w:val="20"/>
              </w:rPr>
              <w:t>amount of nearby greenspace by the following process:</w:t>
            </w:r>
          </w:p>
          <w:p w14:paraId="76691FC2" w14:textId="77777777" w:rsidR="00852259" w:rsidRDefault="00852259" w:rsidP="00852259">
            <w:pPr>
              <w:pStyle w:val="ListParagraph"/>
              <w:numPr>
                <w:ilvl w:val="1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Specialize our standalone geocoding software to produce census block FIPS and a satellite based greenspace measure within a 400 meter radius</w:t>
            </w:r>
          </w:p>
          <w:p w14:paraId="6C99309D" w14:textId="412431A3" w:rsidR="00852259" w:rsidRDefault="00852259" w:rsidP="00852259">
            <w:pPr>
              <w:pStyle w:val="ListParagraph"/>
              <w:numPr>
                <w:ilvl w:val="1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Supply the software to participating eMERGE sites and have them locally analyze their cohorts and strip PHI</w:t>
            </w:r>
          </w:p>
          <w:p w14:paraId="0F8ED752" w14:textId="77777777" w:rsidR="00852259" w:rsidRDefault="00852259" w:rsidP="00852259">
            <w:pPr>
              <w:pStyle w:val="ListParagraph"/>
              <w:numPr>
                <w:ilvl w:val="1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site will then provide us with the patient IDs, FIPS identifier, and greenspace estimate as well as the confidence score and geocoding method details</w:t>
            </w:r>
          </w:p>
          <w:p w14:paraId="249119E6" w14:textId="7D71E556" w:rsidR="00852259" w:rsidRDefault="00852259" w:rsidP="00852259">
            <w:pPr>
              <w:pStyle w:val="ListParagraph"/>
              <w:numPr>
                <w:ilvl w:val="1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 that each site will not share any PHI and the software will be run locally without any connection to the internet</w:t>
            </w:r>
          </w:p>
          <w:p w14:paraId="4614B5D5" w14:textId="77777777" w:rsidR="000F4E67" w:rsidRDefault="00852259" w:rsidP="008824E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Summarize these geocoding and exposure estimate results</w:t>
            </w:r>
          </w:p>
          <w:p w14:paraId="7DF919EB" w14:textId="78B97830" w:rsidR="00852259" w:rsidRPr="0071601D" w:rsidRDefault="00852259" w:rsidP="008824E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Obtain feedback from individual sites on how usable they found the software</w:t>
            </w:r>
          </w:p>
        </w:tc>
      </w:tr>
      <w:tr w:rsidR="00E337BB" w:rsidRPr="0071601D" w14:paraId="179983EA" w14:textId="77777777" w:rsidTr="00BD7955">
        <w:trPr>
          <w:trHeight w:val="1250"/>
        </w:trPr>
        <w:tc>
          <w:tcPr>
            <w:tcW w:w="2448" w:type="dxa"/>
            <w:vAlign w:val="center"/>
          </w:tcPr>
          <w:p w14:paraId="1B3950CF" w14:textId="23907A88" w:rsidR="000225D2" w:rsidRPr="0071601D" w:rsidRDefault="000225D2" w:rsidP="00574935">
            <w:pPr>
              <w:rPr>
                <w:b/>
              </w:rPr>
            </w:pPr>
            <w:r w:rsidRPr="0071601D">
              <w:rPr>
                <w:b/>
              </w:rPr>
              <w:t>Desired</w:t>
            </w:r>
          </w:p>
          <w:p w14:paraId="00DDD9B0" w14:textId="77777777" w:rsidR="00E0007C" w:rsidRPr="0071601D" w:rsidRDefault="000225D2" w:rsidP="00574935">
            <w:pPr>
              <w:rPr>
                <w:b/>
              </w:rPr>
            </w:pPr>
            <w:r w:rsidRPr="0071601D">
              <w:rPr>
                <w:b/>
              </w:rPr>
              <w:t xml:space="preserve">Variables </w:t>
            </w:r>
          </w:p>
          <w:p w14:paraId="59F4E929" w14:textId="77777777" w:rsidR="000225D2" w:rsidRPr="0071601D" w:rsidRDefault="000225D2" w:rsidP="00574935">
            <w:pPr>
              <w:rPr>
                <w:b/>
                <w:sz w:val="16"/>
                <w:szCs w:val="16"/>
              </w:rPr>
            </w:pPr>
            <w:r w:rsidRPr="0071601D">
              <w:rPr>
                <w:b/>
                <w:sz w:val="16"/>
                <w:szCs w:val="16"/>
              </w:rPr>
              <w:t>(essential for analysis</w:t>
            </w:r>
          </w:p>
          <w:p w14:paraId="23A1BAE4" w14:textId="77777777" w:rsidR="000225D2" w:rsidRPr="0071601D" w:rsidRDefault="000225D2" w:rsidP="00574935">
            <w:pPr>
              <w:rPr>
                <w:b/>
              </w:rPr>
            </w:pPr>
            <w:r w:rsidRPr="0071601D">
              <w:rPr>
                <w:b/>
                <w:sz w:val="16"/>
                <w:szCs w:val="16"/>
              </w:rPr>
              <w:t>indicated by *)</w:t>
            </w:r>
          </w:p>
        </w:tc>
        <w:tc>
          <w:tcPr>
            <w:tcW w:w="7110" w:type="dxa"/>
          </w:tcPr>
          <w:p w14:paraId="0E8B7879" w14:textId="77777777" w:rsidR="00A0773B" w:rsidRPr="0071601D" w:rsidRDefault="004E3A5F" w:rsidP="004E3A5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1601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E337BB" w:rsidRPr="0071601D" w14:paraId="6D9613AC" w14:textId="77777777" w:rsidTr="00BD7955">
        <w:trPr>
          <w:trHeight w:val="719"/>
        </w:trPr>
        <w:tc>
          <w:tcPr>
            <w:tcW w:w="2448" w:type="dxa"/>
            <w:vAlign w:val="center"/>
          </w:tcPr>
          <w:p w14:paraId="77666632" w14:textId="77777777" w:rsidR="00A9093D" w:rsidRPr="0071601D" w:rsidRDefault="00E0007C" w:rsidP="00574935">
            <w:pPr>
              <w:rPr>
                <w:b/>
              </w:rPr>
            </w:pPr>
            <w:r w:rsidRPr="0071601D">
              <w:rPr>
                <w:b/>
              </w:rPr>
              <w:t>Desired D</w:t>
            </w:r>
            <w:r w:rsidR="00A9093D" w:rsidRPr="0071601D">
              <w:rPr>
                <w:b/>
              </w:rPr>
              <w:t>ata</w:t>
            </w:r>
          </w:p>
        </w:tc>
        <w:tc>
          <w:tcPr>
            <w:tcW w:w="7110" w:type="dxa"/>
          </w:tcPr>
          <w:p w14:paraId="2E6B833A" w14:textId="68520CCC" w:rsidR="007F37B1" w:rsidRPr="0071601D" w:rsidRDefault="00852259" w:rsidP="004E3A5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site will locally apply our geocoding software and return only non PHI data, which will include the patient ID and environmental exposure estimates generated by our software</w:t>
            </w:r>
          </w:p>
        </w:tc>
      </w:tr>
      <w:tr w:rsidR="00E337BB" w:rsidRPr="0071601D" w14:paraId="1DCAE4D0" w14:textId="77777777" w:rsidTr="00BD7955">
        <w:trPr>
          <w:trHeight w:val="800"/>
        </w:trPr>
        <w:tc>
          <w:tcPr>
            <w:tcW w:w="2448" w:type="dxa"/>
            <w:vAlign w:val="center"/>
          </w:tcPr>
          <w:p w14:paraId="317D91E4" w14:textId="77777777" w:rsidR="000225D2" w:rsidRPr="0071601D" w:rsidRDefault="000225D2" w:rsidP="00574935">
            <w:pPr>
              <w:rPr>
                <w:b/>
              </w:rPr>
            </w:pPr>
            <w:r w:rsidRPr="0071601D">
              <w:rPr>
                <w:b/>
              </w:rPr>
              <w:t>Planned Statistical Analyses</w:t>
            </w:r>
          </w:p>
        </w:tc>
        <w:tc>
          <w:tcPr>
            <w:tcW w:w="7110" w:type="dxa"/>
          </w:tcPr>
          <w:p w14:paraId="39529A97" w14:textId="77777777" w:rsidR="00A0773B" w:rsidRPr="0071601D" w:rsidRDefault="00A0773B" w:rsidP="00906C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0166A0" w14:textId="4448E6AC" w:rsidR="007F37B1" w:rsidRPr="0071601D" w:rsidRDefault="00852259" w:rsidP="007313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Summarize precision of geocoding results and how successful the decentralized approach is.</w:t>
            </w:r>
          </w:p>
        </w:tc>
      </w:tr>
      <w:tr w:rsidR="00E337BB" w:rsidRPr="0071601D" w14:paraId="7221225F" w14:textId="77777777" w:rsidTr="00BD7955">
        <w:trPr>
          <w:trHeight w:val="1268"/>
        </w:trPr>
        <w:tc>
          <w:tcPr>
            <w:tcW w:w="2448" w:type="dxa"/>
            <w:vAlign w:val="center"/>
          </w:tcPr>
          <w:p w14:paraId="0BB8CD7E" w14:textId="77777777" w:rsidR="000225D2" w:rsidRPr="0071601D" w:rsidRDefault="000225D2" w:rsidP="00574935">
            <w:pPr>
              <w:rPr>
                <w:b/>
              </w:rPr>
            </w:pPr>
            <w:r w:rsidRPr="0071601D">
              <w:rPr>
                <w:b/>
              </w:rPr>
              <w:t>Ethical considerations</w:t>
            </w:r>
          </w:p>
        </w:tc>
        <w:tc>
          <w:tcPr>
            <w:tcW w:w="7110" w:type="dxa"/>
          </w:tcPr>
          <w:p w14:paraId="4BB00AA7" w14:textId="77777777" w:rsidR="00BE2E43" w:rsidRPr="0071601D" w:rsidRDefault="00BE2E43" w:rsidP="006339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958521" w14:textId="77777777" w:rsidR="00BE2E43" w:rsidRPr="0071601D" w:rsidRDefault="004E3A5F" w:rsidP="0073138F">
            <w:pPr>
              <w:rPr>
                <w:rFonts w:ascii="Arial" w:hAnsi="Arial" w:cs="Arial"/>
                <w:sz w:val="20"/>
                <w:szCs w:val="20"/>
              </w:rPr>
            </w:pPr>
            <w:r w:rsidRPr="0071601D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E337BB" w:rsidRPr="0071601D" w14:paraId="6EF744F3" w14:textId="77777777" w:rsidTr="00BD7955">
        <w:trPr>
          <w:trHeight w:val="341"/>
        </w:trPr>
        <w:tc>
          <w:tcPr>
            <w:tcW w:w="2448" w:type="dxa"/>
            <w:vAlign w:val="center"/>
          </w:tcPr>
          <w:p w14:paraId="7C30791D" w14:textId="77777777" w:rsidR="000225D2" w:rsidRPr="0071601D" w:rsidRDefault="000225D2" w:rsidP="00574935">
            <w:pPr>
              <w:rPr>
                <w:b/>
              </w:rPr>
            </w:pPr>
            <w:r w:rsidRPr="0071601D">
              <w:rPr>
                <w:b/>
              </w:rPr>
              <w:t>Target Journal</w:t>
            </w:r>
          </w:p>
        </w:tc>
        <w:tc>
          <w:tcPr>
            <w:tcW w:w="7110" w:type="dxa"/>
          </w:tcPr>
          <w:p w14:paraId="6AA34F3C" w14:textId="294ABA86" w:rsidR="00BE2E43" w:rsidRPr="0071601D" w:rsidRDefault="00CE42BD" w:rsidP="00CF0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Journal of Exposure Science and Environmental Epidemiology</w:t>
            </w:r>
          </w:p>
          <w:p w14:paraId="16239AD3" w14:textId="77777777" w:rsidR="00BE2E43" w:rsidRPr="0071601D" w:rsidRDefault="00BE2E43" w:rsidP="007313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7BB" w:rsidRPr="0071601D" w14:paraId="1897AE83" w14:textId="77777777" w:rsidTr="00BD7955">
        <w:tc>
          <w:tcPr>
            <w:tcW w:w="2448" w:type="dxa"/>
            <w:vAlign w:val="center"/>
          </w:tcPr>
          <w:p w14:paraId="1F1D163D" w14:textId="77777777" w:rsidR="000225D2" w:rsidRPr="0071601D" w:rsidRDefault="000225D2" w:rsidP="00574935">
            <w:pPr>
              <w:rPr>
                <w:b/>
              </w:rPr>
            </w:pPr>
            <w:r w:rsidRPr="0071601D">
              <w:rPr>
                <w:b/>
              </w:rPr>
              <w:t>Milestones</w:t>
            </w:r>
            <w:r w:rsidR="005E6E01" w:rsidRPr="0071601D">
              <w:rPr>
                <w:b/>
              </w:rPr>
              <w:t>**</w:t>
            </w:r>
          </w:p>
        </w:tc>
        <w:tc>
          <w:tcPr>
            <w:tcW w:w="7110" w:type="dxa"/>
          </w:tcPr>
          <w:p w14:paraId="39EAF4A8" w14:textId="2513AD3B" w:rsidR="007F37B1" w:rsidRPr="00251A19" w:rsidRDefault="00251A19" w:rsidP="00574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Gain Project Approval and Identify Participating Sites: </w:t>
            </w:r>
            <w:r>
              <w:rPr>
                <w:rFonts w:ascii="Arial" w:hAnsi="Arial" w:cs="Arial"/>
                <w:sz w:val="20"/>
                <w:szCs w:val="20"/>
              </w:rPr>
              <w:t>February 2017</w:t>
            </w:r>
          </w:p>
          <w:p w14:paraId="227A0CBC" w14:textId="444D943E" w:rsidR="004E3A5F" w:rsidRDefault="00CE42BD" w:rsidP="004E3A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Complete Specialized Software: </w:t>
            </w:r>
            <w:r w:rsidR="005A2EB5">
              <w:rPr>
                <w:rFonts w:ascii="Arial" w:hAnsi="Arial" w:cs="Arial"/>
                <w:sz w:val="20"/>
                <w:szCs w:val="20"/>
              </w:rPr>
              <w:t>April</w:t>
            </w:r>
            <w:r>
              <w:rPr>
                <w:rFonts w:ascii="Arial" w:hAnsi="Arial" w:cs="Arial"/>
                <w:sz w:val="20"/>
                <w:szCs w:val="20"/>
              </w:rPr>
              <w:t xml:space="preserve"> 2017</w:t>
            </w:r>
          </w:p>
          <w:p w14:paraId="47989977" w14:textId="25E380CD" w:rsidR="00CE42BD" w:rsidRDefault="00251A19" w:rsidP="004E3A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Participating Sites Apply Software to Cohorts: </w:t>
            </w:r>
            <w:r w:rsidR="005A2EB5">
              <w:rPr>
                <w:rFonts w:ascii="Arial" w:hAnsi="Arial" w:cs="Arial"/>
                <w:sz w:val="20"/>
                <w:szCs w:val="20"/>
              </w:rPr>
              <w:t>May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5A2EB5">
              <w:rPr>
                <w:rFonts w:ascii="Arial" w:hAnsi="Arial" w:cs="Arial"/>
                <w:sz w:val="20"/>
                <w:szCs w:val="20"/>
              </w:rPr>
              <w:t>June</w:t>
            </w:r>
            <w:r>
              <w:rPr>
                <w:rFonts w:ascii="Arial" w:hAnsi="Arial" w:cs="Arial"/>
                <w:sz w:val="20"/>
                <w:szCs w:val="20"/>
              </w:rPr>
              <w:t xml:space="preserve"> 2017</w:t>
            </w:r>
          </w:p>
          <w:p w14:paraId="77136B67" w14:textId="0B94562E" w:rsidR="00251A19" w:rsidRDefault="00251A19" w:rsidP="004E3A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Summarize Results</w:t>
            </w:r>
            <w:r w:rsidR="005A2EB5">
              <w:rPr>
                <w:rFonts w:ascii="Arial" w:hAnsi="Arial" w:cs="Arial"/>
                <w:b/>
                <w:sz w:val="20"/>
                <w:szCs w:val="20"/>
              </w:rPr>
              <w:t xml:space="preserve"> and Prepare First Draft of Paper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2EB5">
              <w:rPr>
                <w:rFonts w:ascii="Arial" w:hAnsi="Arial" w:cs="Arial"/>
                <w:sz w:val="20"/>
                <w:szCs w:val="20"/>
              </w:rPr>
              <w:t xml:space="preserve">July </w:t>
            </w: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  <w:p w14:paraId="1F4441A9" w14:textId="004B1938" w:rsidR="00251A19" w:rsidRPr="00251A19" w:rsidRDefault="005A2EB5" w:rsidP="005A2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Complete Second Draft of Paper and </w:t>
            </w:r>
            <w:r w:rsidR="00251A19">
              <w:rPr>
                <w:rFonts w:ascii="Arial" w:hAnsi="Arial" w:cs="Arial"/>
                <w:b/>
                <w:sz w:val="20"/>
                <w:szCs w:val="20"/>
              </w:rPr>
              <w:t xml:space="preserve">Submission to Journal: </w:t>
            </w:r>
            <w:r w:rsidR="00251A19">
              <w:rPr>
                <w:rFonts w:ascii="Arial" w:hAnsi="Arial" w:cs="Arial"/>
                <w:sz w:val="20"/>
                <w:szCs w:val="20"/>
              </w:rPr>
              <w:t>June 2017</w:t>
            </w:r>
          </w:p>
        </w:tc>
      </w:tr>
    </w:tbl>
    <w:p w14:paraId="0E0EA153" w14:textId="3F0C4C26" w:rsidR="005E6E01" w:rsidRPr="0071601D" w:rsidRDefault="005E6E01" w:rsidP="005E6E01">
      <w:pPr>
        <w:rPr>
          <w:sz w:val="18"/>
          <w:szCs w:val="18"/>
        </w:rPr>
      </w:pPr>
      <w:r w:rsidRPr="0071601D">
        <w:rPr>
          <w:b/>
          <w:sz w:val="18"/>
          <w:szCs w:val="18"/>
        </w:rPr>
        <w:t>**</w:t>
      </w:r>
      <w:r w:rsidRPr="0071601D">
        <w:rPr>
          <w:sz w:val="18"/>
          <w:szCs w:val="18"/>
        </w:rPr>
        <w:t xml:space="preserve"> This section should include:  Timeline for completion of project, including approval, project duration, first and second draft of the paper and submission. </w:t>
      </w:r>
    </w:p>
    <w:p w14:paraId="624F9670" w14:textId="77777777" w:rsidR="00795FF3" w:rsidRPr="0071601D" w:rsidRDefault="00795FF3"/>
    <w:p w14:paraId="224B23C0" w14:textId="77777777" w:rsidR="00363EBA" w:rsidRPr="0071601D" w:rsidRDefault="00363EBA" w:rsidP="00363EBA"/>
    <w:p w14:paraId="37A74728" w14:textId="77777777" w:rsidR="0076798A" w:rsidRPr="0071601D" w:rsidRDefault="0076798A" w:rsidP="0076798A"/>
    <w:sectPr w:rsidR="0076798A" w:rsidRPr="0071601D" w:rsidSect="00CD615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07617" w14:textId="77777777" w:rsidR="00B56FB4" w:rsidRDefault="00B56FB4">
      <w:r>
        <w:separator/>
      </w:r>
    </w:p>
  </w:endnote>
  <w:endnote w:type="continuationSeparator" w:id="0">
    <w:p w14:paraId="553D6347" w14:textId="77777777" w:rsidR="00B56FB4" w:rsidRDefault="00B5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C91D8" w14:textId="4DB3C6DC" w:rsidR="0052151A" w:rsidRDefault="0052151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F0DF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A3611" w14:textId="77777777" w:rsidR="00B56FB4" w:rsidRDefault="00B56FB4">
      <w:r>
        <w:separator/>
      </w:r>
    </w:p>
  </w:footnote>
  <w:footnote w:type="continuationSeparator" w:id="0">
    <w:p w14:paraId="440B83DB" w14:textId="77777777" w:rsidR="00B56FB4" w:rsidRDefault="00B56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D5B"/>
    <w:multiLevelType w:val="hybridMultilevel"/>
    <w:tmpl w:val="F6DC16D2"/>
    <w:lvl w:ilvl="0" w:tplc="FF585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0AD1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06E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6E0F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8FF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7477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00F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8A0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7E3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15F16"/>
    <w:multiLevelType w:val="hybridMultilevel"/>
    <w:tmpl w:val="9F561A5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C05BD"/>
    <w:multiLevelType w:val="hybridMultilevel"/>
    <w:tmpl w:val="B1AA5190"/>
    <w:lvl w:ilvl="0" w:tplc="47DAF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005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64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68B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84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C1A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2E1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8AE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7AC6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7709D"/>
    <w:multiLevelType w:val="hybridMultilevel"/>
    <w:tmpl w:val="1B365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97F02"/>
    <w:multiLevelType w:val="hybridMultilevel"/>
    <w:tmpl w:val="6E96F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8490A"/>
    <w:multiLevelType w:val="hybridMultilevel"/>
    <w:tmpl w:val="DA86D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F03C7"/>
    <w:multiLevelType w:val="hybridMultilevel"/>
    <w:tmpl w:val="73E20E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E17F95"/>
    <w:multiLevelType w:val="hybridMultilevel"/>
    <w:tmpl w:val="FBA81F86"/>
    <w:lvl w:ilvl="0" w:tplc="D42ACCC4">
      <w:start w:val="1"/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8" w15:restartNumberingAfterBreak="0">
    <w:nsid w:val="19881A36"/>
    <w:multiLevelType w:val="hybridMultilevel"/>
    <w:tmpl w:val="70084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51147"/>
    <w:multiLevelType w:val="hybridMultilevel"/>
    <w:tmpl w:val="C66CA04E"/>
    <w:lvl w:ilvl="0" w:tplc="4E2075F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220F585D"/>
    <w:multiLevelType w:val="hybridMultilevel"/>
    <w:tmpl w:val="371ED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3209A"/>
    <w:multiLevelType w:val="hybridMultilevel"/>
    <w:tmpl w:val="F78EA378"/>
    <w:lvl w:ilvl="0" w:tplc="32566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70F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3233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82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843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387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4C3D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C57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A23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80557"/>
    <w:multiLevelType w:val="hybridMultilevel"/>
    <w:tmpl w:val="534C0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918C7"/>
    <w:multiLevelType w:val="hybridMultilevel"/>
    <w:tmpl w:val="904C1B70"/>
    <w:lvl w:ilvl="0" w:tplc="DBCCB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BCC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EAC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E20D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27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4D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B849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81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6AA0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200C05"/>
    <w:multiLevelType w:val="hybridMultilevel"/>
    <w:tmpl w:val="B6125068"/>
    <w:lvl w:ilvl="0" w:tplc="D71AB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24D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DECC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6D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A1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5877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7439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E8C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7694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01A1E"/>
    <w:multiLevelType w:val="hybridMultilevel"/>
    <w:tmpl w:val="C9FE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C3A8D"/>
    <w:multiLevelType w:val="hybridMultilevel"/>
    <w:tmpl w:val="4964F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9351F"/>
    <w:multiLevelType w:val="hybridMultilevel"/>
    <w:tmpl w:val="4B7E70E0"/>
    <w:lvl w:ilvl="0" w:tplc="196C9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3230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7470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2CE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A24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9E89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5428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E2B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A044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CE4D24"/>
    <w:multiLevelType w:val="hybridMultilevel"/>
    <w:tmpl w:val="3B768E10"/>
    <w:lvl w:ilvl="0" w:tplc="7BF85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6ABD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849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698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6FB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9495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5038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CE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C2CA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775129"/>
    <w:multiLevelType w:val="hybridMultilevel"/>
    <w:tmpl w:val="B82C1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375D6"/>
    <w:multiLevelType w:val="hybridMultilevel"/>
    <w:tmpl w:val="DDB28C7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2D59B9"/>
    <w:multiLevelType w:val="hybridMultilevel"/>
    <w:tmpl w:val="917A5D42"/>
    <w:lvl w:ilvl="0" w:tplc="18F6F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862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C91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A2CF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0D4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90BD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7A9B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8F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E15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B33349"/>
    <w:multiLevelType w:val="hybridMultilevel"/>
    <w:tmpl w:val="53C288B2"/>
    <w:lvl w:ilvl="0" w:tplc="47AE5D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35CEF"/>
    <w:multiLevelType w:val="hybridMultilevel"/>
    <w:tmpl w:val="E4867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B5B94"/>
    <w:multiLevelType w:val="hybridMultilevel"/>
    <w:tmpl w:val="B16CF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704DD"/>
    <w:multiLevelType w:val="hybridMultilevel"/>
    <w:tmpl w:val="664AAEE0"/>
    <w:lvl w:ilvl="0" w:tplc="E7741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6A23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78EF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7878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210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1CB7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1A0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49C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CD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9830AF"/>
    <w:multiLevelType w:val="hybridMultilevel"/>
    <w:tmpl w:val="E592950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0616441"/>
    <w:multiLevelType w:val="hybridMultilevel"/>
    <w:tmpl w:val="BEA45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185EA7"/>
    <w:multiLevelType w:val="hybridMultilevel"/>
    <w:tmpl w:val="D9368A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742D85"/>
    <w:multiLevelType w:val="hybridMultilevel"/>
    <w:tmpl w:val="F86A84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307E7"/>
    <w:multiLevelType w:val="hybridMultilevel"/>
    <w:tmpl w:val="C05E8BCE"/>
    <w:lvl w:ilvl="0" w:tplc="02387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A66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288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0C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A24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4DE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287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4F0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8626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EC3FD3"/>
    <w:multiLevelType w:val="hybridMultilevel"/>
    <w:tmpl w:val="A1B4FC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0A3770"/>
    <w:multiLevelType w:val="hybridMultilevel"/>
    <w:tmpl w:val="182E1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A0894"/>
    <w:multiLevelType w:val="multilevel"/>
    <w:tmpl w:val="5F6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C819BA"/>
    <w:multiLevelType w:val="hybridMultilevel"/>
    <w:tmpl w:val="5F603C00"/>
    <w:lvl w:ilvl="0" w:tplc="DDE09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F6AC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A34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5881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4D3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6A49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5AE4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0A05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325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75725C"/>
    <w:multiLevelType w:val="hybridMultilevel"/>
    <w:tmpl w:val="2B549F78"/>
    <w:lvl w:ilvl="0" w:tplc="6E344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000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1EF7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07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621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F2E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26B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03F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2E5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3B03BD"/>
    <w:multiLevelType w:val="hybridMultilevel"/>
    <w:tmpl w:val="4D76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875017"/>
    <w:multiLevelType w:val="hybridMultilevel"/>
    <w:tmpl w:val="279E615C"/>
    <w:lvl w:ilvl="0" w:tplc="620C0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C4856C">
      <w:start w:val="15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8CC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2C5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E23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7ED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DE4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44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0BC291B"/>
    <w:multiLevelType w:val="hybridMultilevel"/>
    <w:tmpl w:val="36EA2CB0"/>
    <w:lvl w:ilvl="0" w:tplc="8070E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96B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2EF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D85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668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AE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24A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4C9E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E0DD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855B4F"/>
    <w:multiLevelType w:val="hybridMultilevel"/>
    <w:tmpl w:val="5EEE4F4C"/>
    <w:lvl w:ilvl="0" w:tplc="DF16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800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EC15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9E77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A7D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4228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88B3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CB7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9A3E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DE6814"/>
    <w:multiLevelType w:val="hybridMultilevel"/>
    <w:tmpl w:val="E390B584"/>
    <w:lvl w:ilvl="0" w:tplc="3F7E31B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0"/>
  </w:num>
  <w:num w:numId="18">
    <w:abstractNumId w:val="28"/>
  </w:num>
  <w:num w:numId="19">
    <w:abstractNumId w:val="26"/>
  </w:num>
  <w:num w:numId="20">
    <w:abstractNumId w:val="29"/>
  </w:num>
  <w:num w:numId="21">
    <w:abstractNumId w:val="33"/>
  </w:num>
  <w:num w:numId="22">
    <w:abstractNumId w:val="34"/>
  </w:num>
  <w:num w:numId="23">
    <w:abstractNumId w:val="1"/>
  </w:num>
  <w:num w:numId="24">
    <w:abstractNumId w:val="37"/>
  </w:num>
  <w:num w:numId="25">
    <w:abstractNumId w:val="19"/>
  </w:num>
  <w:num w:numId="26">
    <w:abstractNumId w:val="3"/>
  </w:num>
  <w:num w:numId="27">
    <w:abstractNumId w:val="40"/>
  </w:num>
  <w:num w:numId="28">
    <w:abstractNumId w:val="5"/>
  </w:num>
  <w:num w:numId="29">
    <w:abstractNumId w:val="10"/>
  </w:num>
  <w:num w:numId="30">
    <w:abstractNumId w:val="16"/>
  </w:num>
  <w:num w:numId="31">
    <w:abstractNumId w:val="23"/>
  </w:num>
  <w:num w:numId="32">
    <w:abstractNumId w:val="4"/>
  </w:num>
  <w:num w:numId="33">
    <w:abstractNumId w:val="31"/>
  </w:num>
  <w:num w:numId="34">
    <w:abstractNumId w:val="36"/>
  </w:num>
  <w:num w:numId="35">
    <w:abstractNumId w:val="15"/>
  </w:num>
  <w:num w:numId="36">
    <w:abstractNumId w:val="12"/>
  </w:num>
  <w:num w:numId="37">
    <w:abstractNumId w:val="32"/>
  </w:num>
  <w:num w:numId="38">
    <w:abstractNumId w:val="22"/>
  </w:num>
  <w:num w:numId="39">
    <w:abstractNumId w:val="24"/>
  </w:num>
  <w:num w:numId="40">
    <w:abstractNumId w:val="27"/>
  </w:num>
  <w:num w:numId="41">
    <w:abstractNumId w:val="8"/>
  </w:num>
  <w:num w:numId="42">
    <w:abstractNumId w:val="9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32"/>
    <w:rsid w:val="00006DAD"/>
    <w:rsid w:val="0001679F"/>
    <w:rsid w:val="00016DB5"/>
    <w:rsid w:val="000225D2"/>
    <w:rsid w:val="0002359B"/>
    <w:rsid w:val="0002559B"/>
    <w:rsid w:val="00051884"/>
    <w:rsid w:val="0005407A"/>
    <w:rsid w:val="000630A2"/>
    <w:rsid w:val="000632CA"/>
    <w:rsid w:val="00065E5A"/>
    <w:rsid w:val="00071154"/>
    <w:rsid w:val="00072691"/>
    <w:rsid w:val="0007303D"/>
    <w:rsid w:val="0007655E"/>
    <w:rsid w:val="00091D92"/>
    <w:rsid w:val="00093CEE"/>
    <w:rsid w:val="0009605E"/>
    <w:rsid w:val="000A39AF"/>
    <w:rsid w:val="000B1775"/>
    <w:rsid w:val="000B49F3"/>
    <w:rsid w:val="000B5C17"/>
    <w:rsid w:val="000C02E5"/>
    <w:rsid w:val="000E185E"/>
    <w:rsid w:val="000E2D8A"/>
    <w:rsid w:val="000F4E67"/>
    <w:rsid w:val="0011220E"/>
    <w:rsid w:val="00116A1F"/>
    <w:rsid w:val="00123207"/>
    <w:rsid w:val="00124025"/>
    <w:rsid w:val="001330F2"/>
    <w:rsid w:val="0013456D"/>
    <w:rsid w:val="00144217"/>
    <w:rsid w:val="00146AD7"/>
    <w:rsid w:val="00162F6E"/>
    <w:rsid w:val="00171D96"/>
    <w:rsid w:val="001B18E7"/>
    <w:rsid w:val="001D19CA"/>
    <w:rsid w:val="001D5750"/>
    <w:rsid w:val="001E5417"/>
    <w:rsid w:val="001E65CB"/>
    <w:rsid w:val="001E717E"/>
    <w:rsid w:val="001E71A2"/>
    <w:rsid w:val="001F0DFB"/>
    <w:rsid w:val="001F41A9"/>
    <w:rsid w:val="001F719E"/>
    <w:rsid w:val="00213D65"/>
    <w:rsid w:val="00215E09"/>
    <w:rsid w:val="00224026"/>
    <w:rsid w:val="002252EC"/>
    <w:rsid w:val="00227478"/>
    <w:rsid w:val="00236727"/>
    <w:rsid w:val="00240D2E"/>
    <w:rsid w:val="0024117C"/>
    <w:rsid w:val="00251A19"/>
    <w:rsid w:val="00254D3F"/>
    <w:rsid w:val="0025540D"/>
    <w:rsid w:val="0026747A"/>
    <w:rsid w:val="00274BFF"/>
    <w:rsid w:val="0028585D"/>
    <w:rsid w:val="0028652D"/>
    <w:rsid w:val="00286C07"/>
    <w:rsid w:val="0029714D"/>
    <w:rsid w:val="0029719F"/>
    <w:rsid w:val="002A0062"/>
    <w:rsid w:val="002B10D1"/>
    <w:rsid w:val="002B201E"/>
    <w:rsid w:val="002D1DC5"/>
    <w:rsid w:val="002F0061"/>
    <w:rsid w:val="00304533"/>
    <w:rsid w:val="00304D9E"/>
    <w:rsid w:val="00311688"/>
    <w:rsid w:val="00320759"/>
    <w:rsid w:val="00336927"/>
    <w:rsid w:val="0035381B"/>
    <w:rsid w:val="003632C8"/>
    <w:rsid w:val="00363EBA"/>
    <w:rsid w:val="00367D0A"/>
    <w:rsid w:val="003706AE"/>
    <w:rsid w:val="00370A77"/>
    <w:rsid w:val="00371EFC"/>
    <w:rsid w:val="00395F93"/>
    <w:rsid w:val="003A423E"/>
    <w:rsid w:val="003B6296"/>
    <w:rsid w:val="003C0F21"/>
    <w:rsid w:val="003D3121"/>
    <w:rsid w:val="003E1C8B"/>
    <w:rsid w:val="003E485B"/>
    <w:rsid w:val="003F2C4B"/>
    <w:rsid w:val="003F2ED3"/>
    <w:rsid w:val="003F396F"/>
    <w:rsid w:val="003F637C"/>
    <w:rsid w:val="0040412D"/>
    <w:rsid w:val="00407F88"/>
    <w:rsid w:val="004108D2"/>
    <w:rsid w:val="004126D8"/>
    <w:rsid w:val="00424C88"/>
    <w:rsid w:val="00473905"/>
    <w:rsid w:val="00473CCF"/>
    <w:rsid w:val="00490A32"/>
    <w:rsid w:val="00494C69"/>
    <w:rsid w:val="004966B5"/>
    <w:rsid w:val="00497F6E"/>
    <w:rsid w:val="004A32E0"/>
    <w:rsid w:val="004C1A6A"/>
    <w:rsid w:val="004C33D9"/>
    <w:rsid w:val="004C4F6B"/>
    <w:rsid w:val="004C5E28"/>
    <w:rsid w:val="004D4488"/>
    <w:rsid w:val="004E3A5F"/>
    <w:rsid w:val="00500AE5"/>
    <w:rsid w:val="00503614"/>
    <w:rsid w:val="00515EEA"/>
    <w:rsid w:val="0052151A"/>
    <w:rsid w:val="0053704D"/>
    <w:rsid w:val="0053713C"/>
    <w:rsid w:val="005406AC"/>
    <w:rsid w:val="00543550"/>
    <w:rsid w:val="00574935"/>
    <w:rsid w:val="005905C4"/>
    <w:rsid w:val="0059410E"/>
    <w:rsid w:val="005A053E"/>
    <w:rsid w:val="005A2EB5"/>
    <w:rsid w:val="005A4C4A"/>
    <w:rsid w:val="005B15A1"/>
    <w:rsid w:val="005B230F"/>
    <w:rsid w:val="005B2357"/>
    <w:rsid w:val="005B2E72"/>
    <w:rsid w:val="005B5981"/>
    <w:rsid w:val="005C50DC"/>
    <w:rsid w:val="005C7908"/>
    <w:rsid w:val="005D03B3"/>
    <w:rsid w:val="005D10EB"/>
    <w:rsid w:val="005E4ED6"/>
    <w:rsid w:val="005E6E01"/>
    <w:rsid w:val="005F63FC"/>
    <w:rsid w:val="00604560"/>
    <w:rsid w:val="006146A3"/>
    <w:rsid w:val="00625483"/>
    <w:rsid w:val="00633982"/>
    <w:rsid w:val="006366EE"/>
    <w:rsid w:val="0064186D"/>
    <w:rsid w:val="00662C76"/>
    <w:rsid w:val="00684381"/>
    <w:rsid w:val="00684669"/>
    <w:rsid w:val="00690389"/>
    <w:rsid w:val="00694A3E"/>
    <w:rsid w:val="006A547E"/>
    <w:rsid w:val="006C0212"/>
    <w:rsid w:val="006C506F"/>
    <w:rsid w:val="006D0178"/>
    <w:rsid w:val="006D2230"/>
    <w:rsid w:val="006D37AD"/>
    <w:rsid w:val="006D4DDC"/>
    <w:rsid w:val="006F2235"/>
    <w:rsid w:val="006F4653"/>
    <w:rsid w:val="007015CC"/>
    <w:rsid w:val="0071601D"/>
    <w:rsid w:val="00724C57"/>
    <w:rsid w:val="00724CDA"/>
    <w:rsid w:val="00725ADE"/>
    <w:rsid w:val="00731007"/>
    <w:rsid w:val="0073138F"/>
    <w:rsid w:val="00732208"/>
    <w:rsid w:val="00736BD1"/>
    <w:rsid w:val="00740ED3"/>
    <w:rsid w:val="00744557"/>
    <w:rsid w:val="00751C58"/>
    <w:rsid w:val="007523EE"/>
    <w:rsid w:val="0076798A"/>
    <w:rsid w:val="007808C8"/>
    <w:rsid w:val="00795FF3"/>
    <w:rsid w:val="007A2366"/>
    <w:rsid w:val="007A50BB"/>
    <w:rsid w:val="007B1C63"/>
    <w:rsid w:val="007B738A"/>
    <w:rsid w:val="007C5938"/>
    <w:rsid w:val="007D058F"/>
    <w:rsid w:val="007D308B"/>
    <w:rsid w:val="007D4E0E"/>
    <w:rsid w:val="007F1FF8"/>
    <w:rsid w:val="007F37B1"/>
    <w:rsid w:val="0081115F"/>
    <w:rsid w:val="008128C8"/>
    <w:rsid w:val="0081394F"/>
    <w:rsid w:val="0083085A"/>
    <w:rsid w:val="00836192"/>
    <w:rsid w:val="00852259"/>
    <w:rsid w:val="00860F70"/>
    <w:rsid w:val="0087281A"/>
    <w:rsid w:val="0087630A"/>
    <w:rsid w:val="00877225"/>
    <w:rsid w:val="008824E3"/>
    <w:rsid w:val="0089069A"/>
    <w:rsid w:val="0089256E"/>
    <w:rsid w:val="00895904"/>
    <w:rsid w:val="008A62CC"/>
    <w:rsid w:val="008C4CEE"/>
    <w:rsid w:val="008C50C1"/>
    <w:rsid w:val="008D0908"/>
    <w:rsid w:val="008E01FA"/>
    <w:rsid w:val="008E3110"/>
    <w:rsid w:val="008E3C78"/>
    <w:rsid w:val="008F138E"/>
    <w:rsid w:val="00901835"/>
    <w:rsid w:val="00906C0B"/>
    <w:rsid w:val="0092039E"/>
    <w:rsid w:val="00925350"/>
    <w:rsid w:val="00926E60"/>
    <w:rsid w:val="00934211"/>
    <w:rsid w:val="00944011"/>
    <w:rsid w:val="0094599C"/>
    <w:rsid w:val="00952C18"/>
    <w:rsid w:val="00961709"/>
    <w:rsid w:val="009633CC"/>
    <w:rsid w:val="009663B9"/>
    <w:rsid w:val="00967ED1"/>
    <w:rsid w:val="00971431"/>
    <w:rsid w:val="00971AA8"/>
    <w:rsid w:val="00971F6E"/>
    <w:rsid w:val="00987070"/>
    <w:rsid w:val="0099373B"/>
    <w:rsid w:val="009A48ED"/>
    <w:rsid w:val="009A59AB"/>
    <w:rsid w:val="009B13A8"/>
    <w:rsid w:val="009B32DD"/>
    <w:rsid w:val="009B6E70"/>
    <w:rsid w:val="009C517D"/>
    <w:rsid w:val="009C57EC"/>
    <w:rsid w:val="009D6059"/>
    <w:rsid w:val="009E008D"/>
    <w:rsid w:val="009E4992"/>
    <w:rsid w:val="009F3A21"/>
    <w:rsid w:val="009F6272"/>
    <w:rsid w:val="00A02B84"/>
    <w:rsid w:val="00A0773B"/>
    <w:rsid w:val="00A13CD1"/>
    <w:rsid w:val="00A202E4"/>
    <w:rsid w:val="00A2505B"/>
    <w:rsid w:val="00A32480"/>
    <w:rsid w:val="00A6545B"/>
    <w:rsid w:val="00A719D9"/>
    <w:rsid w:val="00A87788"/>
    <w:rsid w:val="00A9093D"/>
    <w:rsid w:val="00A90F4D"/>
    <w:rsid w:val="00AA3A30"/>
    <w:rsid w:val="00AB042A"/>
    <w:rsid w:val="00AB1EAE"/>
    <w:rsid w:val="00AC2CEB"/>
    <w:rsid w:val="00AC5816"/>
    <w:rsid w:val="00AD7CE9"/>
    <w:rsid w:val="00AF39F2"/>
    <w:rsid w:val="00AF6F00"/>
    <w:rsid w:val="00B0632F"/>
    <w:rsid w:val="00B10236"/>
    <w:rsid w:val="00B25E12"/>
    <w:rsid w:val="00B340D4"/>
    <w:rsid w:val="00B35AC4"/>
    <w:rsid w:val="00B36179"/>
    <w:rsid w:val="00B45093"/>
    <w:rsid w:val="00B51549"/>
    <w:rsid w:val="00B538FA"/>
    <w:rsid w:val="00B56FB4"/>
    <w:rsid w:val="00B6047C"/>
    <w:rsid w:val="00B817B5"/>
    <w:rsid w:val="00B83400"/>
    <w:rsid w:val="00BA0ED1"/>
    <w:rsid w:val="00BA33E2"/>
    <w:rsid w:val="00BB7DF6"/>
    <w:rsid w:val="00BC3223"/>
    <w:rsid w:val="00BD36AD"/>
    <w:rsid w:val="00BD7955"/>
    <w:rsid w:val="00BE2E43"/>
    <w:rsid w:val="00BE5AAB"/>
    <w:rsid w:val="00BE65E4"/>
    <w:rsid w:val="00BE7966"/>
    <w:rsid w:val="00BF4054"/>
    <w:rsid w:val="00BF46E2"/>
    <w:rsid w:val="00BF50FC"/>
    <w:rsid w:val="00BF7923"/>
    <w:rsid w:val="00C00A03"/>
    <w:rsid w:val="00C00CCA"/>
    <w:rsid w:val="00C222AF"/>
    <w:rsid w:val="00C2615F"/>
    <w:rsid w:val="00C316EB"/>
    <w:rsid w:val="00C34ED4"/>
    <w:rsid w:val="00C4270C"/>
    <w:rsid w:val="00C5487B"/>
    <w:rsid w:val="00C600DF"/>
    <w:rsid w:val="00C74B66"/>
    <w:rsid w:val="00C7574C"/>
    <w:rsid w:val="00C83298"/>
    <w:rsid w:val="00C9143F"/>
    <w:rsid w:val="00C9288F"/>
    <w:rsid w:val="00CA505B"/>
    <w:rsid w:val="00CA7088"/>
    <w:rsid w:val="00CA7A29"/>
    <w:rsid w:val="00CB5DAC"/>
    <w:rsid w:val="00CD6156"/>
    <w:rsid w:val="00CE3BBD"/>
    <w:rsid w:val="00CE42BD"/>
    <w:rsid w:val="00CF0FFE"/>
    <w:rsid w:val="00D019D5"/>
    <w:rsid w:val="00D17DB0"/>
    <w:rsid w:val="00D20071"/>
    <w:rsid w:val="00D32A7E"/>
    <w:rsid w:val="00D37C43"/>
    <w:rsid w:val="00D446C8"/>
    <w:rsid w:val="00D600A7"/>
    <w:rsid w:val="00D613CC"/>
    <w:rsid w:val="00D6567E"/>
    <w:rsid w:val="00D67D30"/>
    <w:rsid w:val="00D73ADD"/>
    <w:rsid w:val="00DA2017"/>
    <w:rsid w:val="00DA3F69"/>
    <w:rsid w:val="00DA62D2"/>
    <w:rsid w:val="00DA6686"/>
    <w:rsid w:val="00DB3893"/>
    <w:rsid w:val="00DB5317"/>
    <w:rsid w:val="00DD1B35"/>
    <w:rsid w:val="00DE08D9"/>
    <w:rsid w:val="00DE1B26"/>
    <w:rsid w:val="00DE2AD5"/>
    <w:rsid w:val="00DF17FC"/>
    <w:rsid w:val="00E0007C"/>
    <w:rsid w:val="00E07B09"/>
    <w:rsid w:val="00E1467B"/>
    <w:rsid w:val="00E155C1"/>
    <w:rsid w:val="00E337BB"/>
    <w:rsid w:val="00E50979"/>
    <w:rsid w:val="00E526D7"/>
    <w:rsid w:val="00E5585A"/>
    <w:rsid w:val="00E64AC6"/>
    <w:rsid w:val="00E73DFB"/>
    <w:rsid w:val="00E911C5"/>
    <w:rsid w:val="00EA250A"/>
    <w:rsid w:val="00EC0682"/>
    <w:rsid w:val="00EC6FC1"/>
    <w:rsid w:val="00ED78AF"/>
    <w:rsid w:val="00EE2520"/>
    <w:rsid w:val="00EE533D"/>
    <w:rsid w:val="00EE5638"/>
    <w:rsid w:val="00F050A4"/>
    <w:rsid w:val="00F10770"/>
    <w:rsid w:val="00F10D58"/>
    <w:rsid w:val="00F147BF"/>
    <w:rsid w:val="00F23B67"/>
    <w:rsid w:val="00F34A8C"/>
    <w:rsid w:val="00F34EC1"/>
    <w:rsid w:val="00F4609E"/>
    <w:rsid w:val="00F473C8"/>
    <w:rsid w:val="00F52350"/>
    <w:rsid w:val="00F54870"/>
    <w:rsid w:val="00F55221"/>
    <w:rsid w:val="00F66C59"/>
    <w:rsid w:val="00F711FA"/>
    <w:rsid w:val="00F84630"/>
    <w:rsid w:val="00F94172"/>
    <w:rsid w:val="00FB222F"/>
    <w:rsid w:val="00FB6A23"/>
    <w:rsid w:val="00FC0916"/>
    <w:rsid w:val="00FC3994"/>
    <w:rsid w:val="00FD208E"/>
    <w:rsid w:val="00FD77C9"/>
    <w:rsid w:val="00FE2671"/>
    <w:rsid w:val="00FE7326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CEBD72"/>
  <w15:docId w15:val="{924AEB53-6AB6-4C77-B6F9-76ADF539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8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893"/>
    <w:pPr>
      <w:keepNext/>
      <w:jc w:val="center"/>
      <w:outlineLvl w:val="0"/>
    </w:pPr>
    <w:rPr>
      <w:b/>
      <w:bCs/>
      <w:sz w:val="27"/>
      <w:szCs w:val="27"/>
    </w:rPr>
  </w:style>
  <w:style w:type="paragraph" w:styleId="Heading8">
    <w:name w:val="heading 8"/>
    <w:basedOn w:val="Normal"/>
    <w:next w:val="Normal"/>
    <w:qFormat/>
    <w:rsid w:val="00DB3893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3893"/>
    <w:rPr>
      <w:color w:val="0000FF"/>
      <w:u w:val="single"/>
    </w:rPr>
  </w:style>
  <w:style w:type="paragraph" w:styleId="NormalWeb">
    <w:name w:val="Normal (Web)"/>
    <w:basedOn w:val="Normal"/>
    <w:rsid w:val="00DB3893"/>
    <w:pPr>
      <w:spacing w:before="100" w:beforeAutospacing="1" w:after="100" w:afterAutospacing="1"/>
    </w:pPr>
  </w:style>
  <w:style w:type="paragraph" w:styleId="BodyText">
    <w:name w:val="Body Text"/>
    <w:basedOn w:val="Normal"/>
    <w:rsid w:val="00DB3893"/>
    <w:rPr>
      <w:b/>
      <w:bCs/>
      <w:u w:val="single"/>
    </w:rPr>
  </w:style>
  <w:style w:type="paragraph" w:styleId="PlainText">
    <w:name w:val="Plain Text"/>
    <w:basedOn w:val="Normal"/>
    <w:rsid w:val="00DB3893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DB3893"/>
    <w:pPr>
      <w:tabs>
        <w:tab w:val="center" w:pos="4320"/>
        <w:tab w:val="right" w:pos="8640"/>
      </w:tabs>
    </w:pPr>
    <w:rPr>
      <w:rFonts w:ascii="Baskerville Old Face" w:hAnsi="Baskerville Old Face"/>
    </w:rPr>
  </w:style>
  <w:style w:type="character" w:styleId="CommentReference">
    <w:name w:val="annotation reference"/>
    <w:uiPriority w:val="99"/>
    <w:rsid w:val="00DB3893"/>
    <w:rPr>
      <w:sz w:val="18"/>
    </w:rPr>
  </w:style>
  <w:style w:type="paragraph" w:styleId="CommentText">
    <w:name w:val="annotation text"/>
    <w:basedOn w:val="Normal"/>
    <w:link w:val="CommentTextChar"/>
    <w:uiPriority w:val="99"/>
    <w:rsid w:val="00DB3893"/>
    <w:rPr>
      <w:rFonts w:ascii="Baskerville Old Face" w:hAnsi="Baskerville Old Face"/>
    </w:rPr>
  </w:style>
  <w:style w:type="paragraph" w:styleId="BalloonText">
    <w:name w:val="Balloon Text"/>
    <w:basedOn w:val="Normal"/>
    <w:semiHidden/>
    <w:rsid w:val="00DB389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DB3893"/>
    <w:rPr>
      <w:rFonts w:ascii="Times New Roman" w:hAnsi="Times New Roman"/>
      <w:b/>
      <w:bCs/>
      <w:sz w:val="20"/>
      <w:szCs w:val="20"/>
    </w:rPr>
  </w:style>
  <w:style w:type="paragraph" w:styleId="Footer">
    <w:name w:val="footer"/>
    <w:basedOn w:val="Normal"/>
    <w:rsid w:val="00DB3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3893"/>
  </w:style>
  <w:style w:type="character" w:customStyle="1" w:styleId="CommentTextChar">
    <w:name w:val="Comment Text Char"/>
    <w:link w:val="CommentText"/>
    <w:uiPriority w:val="99"/>
    <w:rsid w:val="00D67D30"/>
    <w:rPr>
      <w:rFonts w:ascii="Baskerville Old Face" w:hAnsi="Baskerville Old Face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76798A"/>
  </w:style>
  <w:style w:type="paragraph" w:customStyle="1" w:styleId="Default">
    <w:name w:val="Default"/>
    <w:rsid w:val="007D4E0E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character" w:customStyle="1" w:styleId="A6">
    <w:name w:val="A6"/>
    <w:uiPriority w:val="99"/>
    <w:rsid w:val="007D4E0E"/>
    <w:rPr>
      <w:rFonts w:cs="Minion Pro"/>
      <w:b/>
      <w:bCs/>
      <w:color w:val="221E1F"/>
      <w:sz w:val="16"/>
      <w:szCs w:val="16"/>
    </w:rPr>
  </w:style>
  <w:style w:type="character" w:customStyle="1" w:styleId="Heading1Char">
    <w:name w:val="Heading 1 Char"/>
    <w:link w:val="Heading1"/>
    <w:uiPriority w:val="9"/>
    <w:rsid w:val="00363EBA"/>
    <w:rPr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123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7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Jos13</b:Tag>
    <b:SourceType>JournalArticle</b:SourceType>
    <b:Guid>{E2AFA733-0630-4DF0-9FBD-6632B70C0C3D}</b:Guid>
    <b:Author>
      <b:Author>
        <b:NameList>
          <b:Person>
            <b:Last>Denny</b:Last>
            <b:First>Joshua</b:First>
            <b:Middle>C</b:Middle>
          </b:Person>
        </b:NameList>
      </b:Author>
    </b:Author>
    <b:Title>Systematic comparison of phenome-wide association study of electronic medical record data and genome-wide association study data</b:Title>
    <b:JournalName>Nature Biotechnology</b:JournalName>
    <b:Year>December 2013</b:Year>
    <b:Pages>1102-1113</b:Pages>
    <b:RefOrder>1</b:RefOrder>
  </b:Source>
</b:Sources>
</file>

<file path=customXml/itemProps1.xml><?xml version="1.0" encoding="utf-8"?>
<ds:datastoreItem xmlns:ds="http://schemas.openxmlformats.org/officeDocument/2006/customXml" ds:itemID="{85E23AE5-1CB4-462F-8404-C28012170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HEIRS Study</vt:lpstr>
    </vt:vector>
  </TitlesOfParts>
  <Company>VUMC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HEIRS Study</dc:title>
  <dc:creator>Melissa Basford</dc:creator>
  <cp:lastModifiedBy>Derveloy, Brianne B</cp:lastModifiedBy>
  <cp:revision>2</cp:revision>
  <cp:lastPrinted>2008-11-03T13:46:00Z</cp:lastPrinted>
  <dcterms:created xsi:type="dcterms:W3CDTF">2016-12-05T20:56:00Z</dcterms:created>
  <dcterms:modified xsi:type="dcterms:W3CDTF">2016-12-05T20:56:00Z</dcterms:modified>
</cp:coreProperties>
</file>