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1F1D3" w14:textId="77777777" w:rsidR="00795FF3" w:rsidRPr="00DA5730" w:rsidRDefault="00795FF3" w:rsidP="009C57EC">
      <w:pPr>
        <w:pStyle w:val="NormalWeb"/>
        <w:jc w:val="center"/>
        <w:rPr>
          <w:b/>
          <w:sz w:val="22"/>
          <w:szCs w:val="22"/>
        </w:rPr>
      </w:pPr>
      <w:proofErr w:type="gramStart"/>
      <w:r w:rsidRPr="00DA5730">
        <w:rPr>
          <w:b/>
          <w:sz w:val="22"/>
          <w:szCs w:val="22"/>
        </w:rPr>
        <w:t>eMERGE</w:t>
      </w:r>
      <w:proofErr w:type="gramEnd"/>
      <w:r w:rsidRPr="00DA5730">
        <w:rPr>
          <w:b/>
          <w:sz w:val="22"/>
          <w:szCs w:val="22"/>
        </w:rPr>
        <w:t xml:space="preserve"> Network Proposal for Analysis</w:t>
      </w:r>
    </w:p>
    <w:p w14:paraId="2386E1C1" w14:textId="77777777" w:rsidR="000225D2" w:rsidRPr="00DA5730" w:rsidRDefault="003D3121" w:rsidP="000225D2">
      <w:pPr>
        <w:tabs>
          <w:tab w:val="right" w:leader="underscore" w:pos="8640"/>
        </w:tabs>
        <w:spacing w:line="360" w:lineRule="auto"/>
        <w:jc w:val="center"/>
        <w:rPr>
          <w:sz w:val="22"/>
          <w:szCs w:val="22"/>
        </w:rPr>
      </w:pPr>
      <w:r w:rsidRPr="00DA5730">
        <w:rPr>
          <w:sz w:val="22"/>
          <w:szCs w:val="22"/>
        </w:rPr>
        <w:t>Project/</w:t>
      </w:r>
      <w:r w:rsidR="00795FF3" w:rsidRPr="00DA5730">
        <w:rPr>
          <w:sz w:val="22"/>
          <w:szCs w:val="22"/>
        </w:rPr>
        <w:t>Manuscript Concept Sheet</w:t>
      </w:r>
    </w:p>
    <w:tbl>
      <w:tblPr>
        <w:tblW w:w="944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7141"/>
      </w:tblGrid>
      <w:tr w:rsidR="000225D2" w:rsidRPr="00DA5730" w14:paraId="4DC35657" w14:textId="77777777" w:rsidTr="00F81723">
        <w:tc>
          <w:tcPr>
            <w:tcW w:w="2304" w:type="dxa"/>
            <w:vAlign w:val="center"/>
          </w:tcPr>
          <w:p w14:paraId="088F6223" w14:textId="77777777" w:rsidR="000225D2" w:rsidRPr="00DA5730" w:rsidRDefault="000225D2" w:rsidP="00574935">
            <w:pPr>
              <w:rPr>
                <w:b/>
                <w:sz w:val="22"/>
                <w:szCs w:val="22"/>
              </w:rPr>
            </w:pPr>
            <w:r w:rsidRPr="00DA5730">
              <w:rPr>
                <w:b/>
                <w:sz w:val="22"/>
                <w:szCs w:val="22"/>
              </w:rPr>
              <w:t>Submission Date</w:t>
            </w:r>
          </w:p>
        </w:tc>
        <w:tc>
          <w:tcPr>
            <w:tcW w:w="7141" w:type="dxa"/>
          </w:tcPr>
          <w:p w14:paraId="7FB494F4" w14:textId="06FA5414" w:rsidR="000225D2" w:rsidRPr="00DA5730" w:rsidRDefault="00124A67" w:rsidP="008323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</w:t>
            </w:r>
            <w:r w:rsidR="008323B9">
              <w:rPr>
                <w:sz w:val="22"/>
                <w:szCs w:val="22"/>
              </w:rPr>
              <w:t xml:space="preserve"> 18, </w:t>
            </w:r>
            <w:r>
              <w:rPr>
                <w:sz w:val="22"/>
                <w:szCs w:val="22"/>
              </w:rPr>
              <w:t>2017</w:t>
            </w:r>
          </w:p>
        </w:tc>
      </w:tr>
      <w:tr w:rsidR="008323B9" w:rsidRPr="00DA5730" w14:paraId="33737052" w14:textId="77777777" w:rsidTr="00F81723">
        <w:tc>
          <w:tcPr>
            <w:tcW w:w="2304" w:type="dxa"/>
            <w:vAlign w:val="center"/>
          </w:tcPr>
          <w:p w14:paraId="41134E0E" w14:textId="59B0F69A" w:rsidR="008323B9" w:rsidRPr="00DA5730" w:rsidRDefault="008323B9" w:rsidP="005749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Reference Number</w:t>
            </w:r>
          </w:p>
        </w:tc>
        <w:tc>
          <w:tcPr>
            <w:tcW w:w="7141" w:type="dxa"/>
          </w:tcPr>
          <w:p w14:paraId="1CA650B8" w14:textId="797C17D6" w:rsidR="008323B9" w:rsidRDefault="008323B9" w:rsidP="00B231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NT206</w:t>
            </w:r>
          </w:p>
        </w:tc>
      </w:tr>
      <w:tr w:rsidR="000225D2" w:rsidRPr="00DA5730" w14:paraId="338B51C4" w14:textId="77777777" w:rsidTr="00F81723">
        <w:trPr>
          <w:trHeight w:val="720"/>
        </w:trPr>
        <w:tc>
          <w:tcPr>
            <w:tcW w:w="2304" w:type="dxa"/>
            <w:vAlign w:val="center"/>
          </w:tcPr>
          <w:p w14:paraId="59D431A1" w14:textId="77777777" w:rsidR="000225D2" w:rsidRPr="00DA5730" w:rsidRDefault="000225D2" w:rsidP="00574935">
            <w:pPr>
              <w:rPr>
                <w:b/>
                <w:sz w:val="22"/>
                <w:szCs w:val="22"/>
              </w:rPr>
            </w:pPr>
            <w:r w:rsidRPr="00DA5730">
              <w:rPr>
                <w:b/>
                <w:sz w:val="22"/>
                <w:szCs w:val="22"/>
              </w:rPr>
              <w:t>Project Title</w:t>
            </w:r>
          </w:p>
        </w:tc>
        <w:tc>
          <w:tcPr>
            <w:tcW w:w="7141" w:type="dxa"/>
          </w:tcPr>
          <w:p w14:paraId="3C80C827" w14:textId="127FDE57" w:rsidR="000225D2" w:rsidRPr="00DA5730" w:rsidRDefault="00B2314F" w:rsidP="00B2314F">
            <w:pPr>
              <w:rPr>
                <w:sz w:val="22"/>
                <w:szCs w:val="22"/>
              </w:rPr>
            </w:pPr>
            <w:bookmarkStart w:id="0" w:name="_GoBack"/>
            <w:r w:rsidRPr="00B2314F">
              <w:rPr>
                <w:sz w:val="22"/>
                <w:szCs w:val="22"/>
              </w:rPr>
              <w:t>Outcomes in Asthma Patients Treated in Accordance with NHLBI Guidelines</w:t>
            </w:r>
            <w:bookmarkEnd w:id="0"/>
          </w:p>
        </w:tc>
      </w:tr>
      <w:tr w:rsidR="000225D2" w:rsidRPr="00DA5730" w14:paraId="13131757" w14:textId="77777777" w:rsidTr="00F81723">
        <w:tc>
          <w:tcPr>
            <w:tcW w:w="2304" w:type="dxa"/>
            <w:vAlign w:val="center"/>
          </w:tcPr>
          <w:p w14:paraId="02CC9EA1" w14:textId="77777777" w:rsidR="000225D2" w:rsidRPr="00DA5730" w:rsidRDefault="000225D2" w:rsidP="00574935">
            <w:pPr>
              <w:rPr>
                <w:b/>
                <w:sz w:val="22"/>
                <w:szCs w:val="22"/>
              </w:rPr>
            </w:pPr>
            <w:r w:rsidRPr="00DA5730">
              <w:rPr>
                <w:b/>
                <w:sz w:val="22"/>
                <w:szCs w:val="22"/>
              </w:rPr>
              <w:t>Tentative Lead Investigator (first author)</w:t>
            </w:r>
          </w:p>
        </w:tc>
        <w:tc>
          <w:tcPr>
            <w:tcW w:w="7141" w:type="dxa"/>
          </w:tcPr>
          <w:p w14:paraId="7EEE3278" w14:textId="01E9B91E" w:rsidR="000225D2" w:rsidRPr="00DA5730" w:rsidRDefault="00B2314F" w:rsidP="006904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Nikita Sood</w:t>
            </w:r>
          </w:p>
        </w:tc>
      </w:tr>
      <w:tr w:rsidR="000225D2" w:rsidRPr="00DA5730" w14:paraId="126747C7" w14:textId="77777777" w:rsidTr="00F81723">
        <w:tc>
          <w:tcPr>
            <w:tcW w:w="2304" w:type="dxa"/>
            <w:vAlign w:val="center"/>
          </w:tcPr>
          <w:p w14:paraId="5E7324D1" w14:textId="77777777" w:rsidR="000225D2" w:rsidRPr="00DA5730" w:rsidRDefault="000225D2" w:rsidP="00574935">
            <w:pPr>
              <w:rPr>
                <w:b/>
                <w:sz w:val="22"/>
                <w:szCs w:val="22"/>
              </w:rPr>
            </w:pPr>
            <w:r w:rsidRPr="00DA5730">
              <w:rPr>
                <w:b/>
                <w:sz w:val="22"/>
                <w:szCs w:val="22"/>
              </w:rPr>
              <w:t>Tentative Senior Author (last author)</w:t>
            </w:r>
          </w:p>
        </w:tc>
        <w:tc>
          <w:tcPr>
            <w:tcW w:w="7141" w:type="dxa"/>
          </w:tcPr>
          <w:p w14:paraId="02585952" w14:textId="26E825EC" w:rsidR="000225D2" w:rsidRPr="00DA5730" w:rsidRDefault="00404579" w:rsidP="0017171E">
            <w:pPr>
              <w:rPr>
                <w:sz w:val="22"/>
                <w:szCs w:val="22"/>
              </w:rPr>
            </w:pPr>
            <w:r w:rsidRPr="00DA5730">
              <w:rPr>
                <w:sz w:val="22"/>
                <w:szCs w:val="22"/>
              </w:rPr>
              <w:t xml:space="preserve">H </w:t>
            </w:r>
            <w:r w:rsidR="0017171E" w:rsidRPr="00DA5730">
              <w:rPr>
                <w:sz w:val="22"/>
                <w:szCs w:val="22"/>
              </w:rPr>
              <w:t>Hakonarson</w:t>
            </w:r>
          </w:p>
        </w:tc>
      </w:tr>
      <w:tr w:rsidR="000225D2" w:rsidRPr="00DA5730" w14:paraId="21C30911" w14:textId="77777777" w:rsidTr="00F81723">
        <w:tc>
          <w:tcPr>
            <w:tcW w:w="2304" w:type="dxa"/>
            <w:vAlign w:val="center"/>
          </w:tcPr>
          <w:p w14:paraId="1F395E7C" w14:textId="77777777" w:rsidR="000225D2" w:rsidRPr="00DA5730" w:rsidRDefault="000225D2" w:rsidP="00574935">
            <w:pPr>
              <w:rPr>
                <w:b/>
                <w:sz w:val="22"/>
                <w:szCs w:val="22"/>
              </w:rPr>
            </w:pPr>
            <w:r w:rsidRPr="00DA5730">
              <w:rPr>
                <w:b/>
                <w:sz w:val="22"/>
                <w:szCs w:val="22"/>
              </w:rPr>
              <w:t xml:space="preserve">All other authors </w:t>
            </w:r>
          </w:p>
        </w:tc>
        <w:tc>
          <w:tcPr>
            <w:tcW w:w="7141" w:type="dxa"/>
          </w:tcPr>
          <w:p w14:paraId="1E3992D7" w14:textId="5B988C3A" w:rsidR="005406AC" w:rsidRPr="00DA5730" w:rsidRDefault="00B2314F" w:rsidP="002C11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Erik Hysinger, Patrick Sleiman, Frank Mentch, Lyam Vazquez,</w:t>
            </w:r>
            <w:r w:rsidR="008D4FDE" w:rsidRPr="00DA5730">
              <w:rPr>
                <w:sz w:val="22"/>
                <w:szCs w:val="22"/>
              </w:rPr>
              <w:t xml:space="preserve"> John Connolly, Berta Almoguera, members of the </w:t>
            </w:r>
            <w:r>
              <w:rPr>
                <w:sz w:val="22"/>
                <w:szCs w:val="22"/>
              </w:rPr>
              <w:t>Outcomes</w:t>
            </w:r>
            <w:r w:rsidR="008D4FDE" w:rsidRPr="00DA5730">
              <w:rPr>
                <w:sz w:val="22"/>
                <w:szCs w:val="22"/>
              </w:rPr>
              <w:t xml:space="preserve"> WG</w:t>
            </w:r>
            <w:r w:rsidR="002C115B">
              <w:rPr>
                <w:sz w:val="22"/>
                <w:szCs w:val="22"/>
              </w:rPr>
              <w:t xml:space="preserve"> and </w:t>
            </w:r>
            <w:r w:rsidR="008D4FDE" w:rsidRPr="00DA5730">
              <w:rPr>
                <w:sz w:val="22"/>
                <w:szCs w:val="22"/>
              </w:rPr>
              <w:t xml:space="preserve">other interested members of eMERGE </w:t>
            </w:r>
          </w:p>
        </w:tc>
      </w:tr>
      <w:tr w:rsidR="000225D2" w:rsidRPr="00DA5730" w14:paraId="51C87C48" w14:textId="77777777" w:rsidTr="00F81723">
        <w:trPr>
          <w:trHeight w:val="512"/>
        </w:trPr>
        <w:tc>
          <w:tcPr>
            <w:tcW w:w="2304" w:type="dxa"/>
            <w:vAlign w:val="center"/>
          </w:tcPr>
          <w:p w14:paraId="523F852D" w14:textId="77777777" w:rsidR="000225D2" w:rsidRPr="00DA5730" w:rsidRDefault="000225D2" w:rsidP="00574935">
            <w:pPr>
              <w:rPr>
                <w:b/>
                <w:sz w:val="22"/>
                <w:szCs w:val="22"/>
              </w:rPr>
            </w:pPr>
            <w:r w:rsidRPr="00DA5730">
              <w:rPr>
                <w:b/>
                <w:sz w:val="22"/>
                <w:szCs w:val="22"/>
              </w:rPr>
              <w:t>Sites Involved</w:t>
            </w:r>
          </w:p>
        </w:tc>
        <w:tc>
          <w:tcPr>
            <w:tcW w:w="7141" w:type="dxa"/>
          </w:tcPr>
          <w:p w14:paraId="69E4EB6F" w14:textId="708FDCEA" w:rsidR="000225D2" w:rsidRPr="00DA5730" w:rsidRDefault="00E95B89" w:rsidP="00574935">
            <w:pPr>
              <w:rPr>
                <w:sz w:val="22"/>
                <w:szCs w:val="22"/>
              </w:rPr>
            </w:pPr>
            <w:r w:rsidRPr="00DA5730">
              <w:rPr>
                <w:sz w:val="22"/>
                <w:szCs w:val="22"/>
              </w:rPr>
              <w:t>All</w:t>
            </w:r>
            <w:r w:rsidR="00B2314F">
              <w:rPr>
                <w:sz w:val="22"/>
                <w:szCs w:val="22"/>
              </w:rPr>
              <w:t xml:space="preserve"> interested sites</w:t>
            </w:r>
          </w:p>
          <w:p w14:paraId="0E28E43C" w14:textId="77777777" w:rsidR="005406AC" w:rsidRPr="00DA5730" w:rsidRDefault="005406AC" w:rsidP="00574935">
            <w:pPr>
              <w:rPr>
                <w:sz w:val="22"/>
                <w:szCs w:val="22"/>
              </w:rPr>
            </w:pPr>
          </w:p>
        </w:tc>
      </w:tr>
      <w:tr w:rsidR="000225D2" w:rsidRPr="00DA5730" w14:paraId="2C22EDA3" w14:textId="77777777" w:rsidTr="00F81723">
        <w:trPr>
          <w:trHeight w:val="260"/>
        </w:trPr>
        <w:tc>
          <w:tcPr>
            <w:tcW w:w="2304" w:type="dxa"/>
            <w:vAlign w:val="center"/>
          </w:tcPr>
          <w:p w14:paraId="1354AFA0" w14:textId="77777777" w:rsidR="000225D2" w:rsidRPr="00DA5730" w:rsidRDefault="000225D2" w:rsidP="00574935">
            <w:pPr>
              <w:rPr>
                <w:b/>
                <w:sz w:val="22"/>
                <w:szCs w:val="22"/>
              </w:rPr>
            </w:pPr>
            <w:r w:rsidRPr="00DA5730">
              <w:rPr>
                <w:b/>
                <w:sz w:val="22"/>
                <w:szCs w:val="22"/>
              </w:rPr>
              <w:t>Background / Significance</w:t>
            </w:r>
          </w:p>
        </w:tc>
        <w:tc>
          <w:tcPr>
            <w:tcW w:w="7141" w:type="dxa"/>
          </w:tcPr>
          <w:p w14:paraId="32E23BF5" w14:textId="06487C45" w:rsidR="00C21379" w:rsidRPr="00DA5730" w:rsidRDefault="00D34CEE" w:rsidP="006660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Beta2-a</w:t>
            </w:r>
            <w:r w:rsidRPr="00D34CEE">
              <w:rPr>
                <w:color w:val="000000"/>
                <w:sz w:val="22"/>
                <w:szCs w:val="22"/>
              </w:rPr>
              <w:t xml:space="preserve">gonist medications, such as albuterol and salmeterol, are </w:t>
            </w:r>
            <w:r>
              <w:rPr>
                <w:color w:val="000000"/>
                <w:sz w:val="22"/>
                <w:szCs w:val="22"/>
              </w:rPr>
              <w:t>commonly</w:t>
            </w:r>
            <w:r w:rsidRPr="00D34CEE">
              <w:rPr>
                <w:color w:val="000000"/>
                <w:sz w:val="22"/>
                <w:szCs w:val="22"/>
              </w:rPr>
              <w:t xml:space="preserve"> used to treat asthma</w:t>
            </w:r>
            <w:r w:rsidR="00B52860">
              <w:rPr>
                <w:color w:val="000000"/>
                <w:sz w:val="22"/>
                <w:szCs w:val="22"/>
              </w:rPr>
              <w:t>, but are</w:t>
            </w:r>
            <w:r>
              <w:rPr>
                <w:color w:val="000000"/>
                <w:sz w:val="22"/>
                <w:szCs w:val="22"/>
              </w:rPr>
              <w:t xml:space="preserve"> not effective in all patients</w:t>
            </w:r>
            <w:r w:rsidRPr="00D34CEE">
              <w:rPr>
                <w:color w:val="000000"/>
                <w:sz w:val="22"/>
                <w:szCs w:val="22"/>
              </w:rPr>
              <w:t>. Poor response may present as decreased lung function</w:t>
            </w:r>
            <w:r>
              <w:rPr>
                <w:color w:val="000000"/>
                <w:sz w:val="22"/>
                <w:szCs w:val="22"/>
              </w:rPr>
              <w:t xml:space="preserve"> and increase in </w:t>
            </w:r>
            <w:r w:rsidR="002C115B">
              <w:rPr>
                <w:color w:val="000000"/>
                <w:sz w:val="22"/>
                <w:szCs w:val="22"/>
              </w:rPr>
              <w:t xml:space="preserve">pulmonary </w:t>
            </w:r>
            <w:r>
              <w:rPr>
                <w:color w:val="000000"/>
                <w:sz w:val="22"/>
                <w:szCs w:val="22"/>
              </w:rPr>
              <w:t>exacerbations</w:t>
            </w:r>
            <w:r w:rsidRPr="00D34CEE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Several</w:t>
            </w:r>
            <w:r w:rsidRPr="00D34CEE">
              <w:rPr>
                <w:color w:val="000000"/>
                <w:sz w:val="22"/>
                <w:szCs w:val="22"/>
              </w:rPr>
              <w:t xml:space="preserve"> single nucleotide polymorphism (SNP</w:t>
            </w:r>
            <w:r>
              <w:rPr>
                <w:color w:val="000000"/>
                <w:sz w:val="22"/>
                <w:szCs w:val="22"/>
              </w:rPr>
              <w:t>s</w:t>
            </w:r>
            <w:r w:rsidRPr="00D34CEE">
              <w:rPr>
                <w:color w:val="000000"/>
                <w:sz w:val="22"/>
                <w:szCs w:val="22"/>
              </w:rPr>
              <w:t xml:space="preserve">) </w:t>
            </w:r>
            <w:r>
              <w:rPr>
                <w:color w:val="000000"/>
                <w:sz w:val="22"/>
                <w:szCs w:val="22"/>
              </w:rPr>
              <w:t>have been correlated with drug-respons</w:t>
            </w:r>
            <w:r w:rsidR="00B52860">
              <w:rPr>
                <w:color w:val="000000"/>
                <w:sz w:val="22"/>
                <w:szCs w:val="22"/>
              </w:rPr>
              <w:t>iveness</w:t>
            </w:r>
            <w:r>
              <w:rPr>
                <w:color w:val="000000"/>
                <w:sz w:val="22"/>
                <w:szCs w:val="22"/>
              </w:rPr>
              <w:t xml:space="preserve">, including </w:t>
            </w:r>
            <w:r w:rsidRPr="00D34CEE">
              <w:rPr>
                <w:color w:val="000000"/>
                <w:sz w:val="22"/>
                <w:szCs w:val="22"/>
              </w:rPr>
              <w:t>rs1042713 and rs1042714</w:t>
            </w:r>
            <w:r w:rsidR="00B52860">
              <w:rPr>
                <w:color w:val="000000"/>
                <w:sz w:val="22"/>
                <w:szCs w:val="22"/>
              </w:rPr>
              <w:t xml:space="preserve"> (both </w:t>
            </w:r>
            <w:r w:rsidR="00B52860" w:rsidRPr="00B52860">
              <w:rPr>
                <w:i/>
                <w:color w:val="000000"/>
                <w:sz w:val="22"/>
                <w:szCs w:val="22"/>
              </w:rPr>
              <w:t>ADRB2</w:t>
            </w:r>
            <w:r w:rsidR="00B52860">
              <w:rPr>
                <w:color w:val="000000"/>
                <w:sz w:val="22"/>
                <w:szCs w:val="22"/>
              </w:rPr>
              <w:t>), rs730012 (</w:t>
            </w:r>
            <w:r w:rsidRPr="00B52860">
              <w:rPr>
                <w:i/>
                <w:color w:val="000000"/>
                <w:sz w:val="22"/>
                <w:szCs w:val="22"/>
              </w:rPr>
              <w:t>LTC4S</w:t>
            </w:r>
            <w:r w:rsidRPr="00D34CEE">
              <w:rPr>
                <w:color w:val="000000"/>
                <w:sz w:val="22"/>
                <w:szCs w:val="22"/>
              </w:rPr>
              <w:t>)</w:t>
            </w:r>
            <w:r w:rsidR="00B52860">
              <w:rPr>
                <w:color w:val="000000"/>
                <w:sz w:val="22"/>
                <w:szCs w:val="22"/>
              </w:rPr>
              <w:t>,</w:t>
            </w:r>
            <w:r w:rsidRPr="00D34CEE">
              <w:rPr>
                <w:color w:val="000000"/>
                <w:sz w:val="22"/>
                <w:szCs w:val="22"/>
              </w:rPr>
              <w:t xml:space="preserve"> and rs37972 </w:t>
            </w:r>
            <w:r w:rsidRPr="00B52860">
              <w:rPr>
                <w:i/>
                <w:color w:val="000000"/>
                <w:sz w:val="22"/>
                <w:szCs w:val="22"/>
              </w:rPr>
              <w:t>GLCCI1</w:t>
            </w:r>
            <w:r w:rsidR="00B52860">
              <w:rPr>
                <w:color w:val="000000"/>
                <w:sz w:val="22"/>
                <w:szCs w:val="22"/>
              </w:rPr>
              <w:t xml:space="preserve">). We propose to study asthma outcome, as evidenced by exacerbation frequency, in patients </w:t>
            </w:r>
            <w:r w:rsidR="002C115B">
              <w:rPr>
                <w:color w:val="000000"/>
                <w:sz w:val="22"/>
                <w:szCs w:val="22"/>
              </w:rPr>
              <w:t xml:space="preserve">requiring </w:t>
            </w:r>
            <w:r w:rsidR="00B52860">
              <w:rPr>
                <w:color w:val="000000"/>
                <w:sz w:val="22"/>
                <w:szCs w:val="22"/>
              </w:rPr>
              <w:t>beta2-a</w:t>
            </w:r>
            <w:r w:rsidR="00B52860" w:rsidRPr="00D34CEE">
              <w:rPr>
                <w:color w:val="000000"/>
                <w:sz w:val="22"/>
                <w:szCs w:val="22"/>
              </w:rPr>
              <w:t xml:space="preserve">gonist </w:t>
            </w:r>
            <w:r w:rsidR="00B52860">
              <w:rPr>
                <w:color w:val="000000"/>
                <w:sz w:val="22"/>
                <w:szCs w:val="22"/>
              </w:rPr>
              <w:t xml:space="preserve">and other asthma medications. Patients will be stratified by genotype, severity and adherence to NHLBI asthma treatment guidelines. Preliminary data from CHOP, presented to the Outcomes WG in November 2016, </w:t>
            </w:r>
            <w:r w:rsidR="00B52860" w:rsidRPr="00B52860">
              <w:rPr>
                <w:color w:val="000000"/>
                <w:sz w:val="22"/>
                <w:szCs w:val="22"/>
              </w:rPr>
              <w:t>found that exacerbation frequency was significantly different between subjects who adhered to asthma therapy guidelines</w:t>
            </w:r>
            <w:r w:rsidR="00B52860">
              <w:rPr>
                <w:color w:val="000000"/>
                <w:sz w:val="22"/>
                <w:szCs w:val="22"/>
              </w:rPr>
              <w:t xml:space="preserve"> vs. not</w:t>
            </w:r>
            <w:r w:rsidR="0066603F">
              <w:rPr>
                <w:color w:val="000000"/>
                <w:sz w:val="22"/>
                <w:szCs w:val="22"/>
              </w:rPr>
              <w:t xml:space="preserve">, </w:t>
            </w:r>
            <w:r w:rsidR="00B52860">
              <w:rPr>
                <w:color w:val="000000"/>
                <w:sz w:val="22"/>
                <w:szCs w:val="22"/>
              </w:rPr>
              <w:t>and that t</w:t>
            </w:r>
            <w:r w:rsidR="00B52860" w:rsidRPr="00B52860">
              <w:rPr>
                <w:color w:val="000000"/>
                <w:sz w:val="22"/>
                <w:szCs w:val="22"/>
              </w:rPr>
              <w:t xml:space="preserve">wo SNPs (rs1042713 and rs1042714) showed association with reduced response in subjects who adhered to guidelines (2 copies of respective </w:t>
            </w:r>
            <w:r w:rsidR="002C115B">
              <w:rPr>
                <w:color w:val="000000"/>
                <w:sz w:val="22"/>
                <w:szCs w:val="22"/>
              </w:rPr>
              <w:t xml:space="preserve">risk </w:t>
            </w:r>
            <w:r w:rsidR="00B52860" w:rsidRPr="00B52860">
              <w:rPr>
                <w:color w:val="000000"/>
                <w:sz w:val="22"/>
                <w:szCs w:val="22"/>
              </w:rPr>
              <w:t>alleles had most exacerbations</w:t>
            </w:r>
            <w:r w:rsidR="00B52860">
              <w:rPr>
                <w:color w:val="000000"/>
                <w:sz w:val="22"/>
                <w:szCs w:val="22"/>
              </w:rPr>
              <w:t xml:space="preserve">. Ultimately, an exploration of </w:t>
            </w:r>
            <w:r w:rsidR="00B52860" w:rsidRPr="00B52860">
              <w:rPr>
                <w:color w:val="000000"/>
                <w:sz w:val="22"/>
                <w:szCs w:val="22"/>
              </w:rPr>
              <w:t>pharmacogenetic relationship</w:t>
            </w:r>
            <w:r w:rsidR="00B52860">
              <w:rPr>
                <w:color w:val="000000"/>
                <w:sz w:val="22"/>
                <w:szCs w:val="22"/>
              </w:rPr>
              <w:t xml:space="preserve">s underling asthma response may lead to improved treatment guidelines.  </w:t>
            </w:r>
          </w:p>
        </w:tc>
      </w:tr>
      <w:tr w:rsidR="000225D2" w:rsidRPr="00DA5730" w14:paraId="6854D98B" w14:textId="77777777" w:rsidTr="00F81723">
        <w:trPr>
          <w:trHeight w:val="864"/>
        </w:trPr>
        <w:tc>
          <w:tcPr>
            <w:tcW w:w="2304" w:type="dxa"/>
            <w:vAlign w:val="center"/>
          </w:tcPr>
          <w:p w14:paraId="53035291" w14:textId="27589696" w:rsidR="000225D2" w:rsidRPr="00DA5730" w:rsidRDefault="000225D2" w:rsidP="00574935">
            <w:pPr>
              <w:rPr>
                <w:b/>
                <w:sz w:val="22"/>
                <w:szCs w:val="22"/>
              </w:rPr>
            </w:pPr>
            <w:r w:rsidRPr="00DA5730">
              <w:rPr>
                <w:b/>
                <w:sz w:val="22"/>
                <w:szCs w:val="22"/>
              </w:rPr>
              <w:t>Outline of Project</w:t>
            </w:r>
          </w:p>
        </w:tc>
        <w:tc>
          <w:tcPr>
            <w:tcW w:w="7141" w:type="dxa"/>
          </w:tcPr>
          <w:p w14:paraId="41836209" w14:textId="51E241A7" w:rsidR="00777D85" w:rsidRPr="00DA5730" w:rsidRDefault="00910AA8" w:rsidP="00910AA8">
            <w:pPr>
              <w:rPr>
                <w:sz w:val="22"/>
                <w:szCs w:val="22"/>
              </w:rPr>
            </w:pPr>
            <w:r w:rsidRPr="00B2314F">
              <w:rPr>
                <w:color w:val="000000"/>
                <w:sz w:val="22"/>
                <w:szCs w:val="22"/>
              </w:rPr>
              <w:t xml:space="preserve">This project plans to investigate the inconsistent outcomes and varying approaches to care in asthma patients, as well as the potential for a genetic component in determining patient outcomes regardless of guideline adherence. The study had two main aims: (1) to investigate whether stricter adherence to the 2007 NHLBI guidelines was correlated with better patient outcomes and (2) to investigate whether cases with good guideline adherence but </w:t>
            </w:r>
            <w:r w:rsidR="002C115B">
              <w:rPr>
                <w:color w:val="000000"/>
                <w:sz w:val="22"/>
                <w:szCs w:val="22"/>
              </w:rPr>
              <w:t xml:space="preserve">worse </w:t>
            </w:r>
            <w:r w:rsidRPr="00B2314F">
              <w:rPr>
                <w:color w:val="000000"/>
                <w:sz w:val="22"/>
                <w:szCs w:val="22"/>
              </w:rPr>
              <w:t>outcomes could be explained by genetic factor</w:t>
            </w:r>
            <w:r w:rsidR="002C115B">
              <w:rPr>
                <w:color w:val="000000"/>
                <w:sz w:val="22"/>
                <w:szCs w:val="22"/>
              </w:rPr>
              <w:t>s</w:t>
            </w:r>
            <w:r w:rsidRPr="00B2314F">
              <w:rPr>
                <w:color w:val="000000"/>
                <w:sz w:val="22"/>
                <w:szCs w:val="22"/>
              </w:rPr>
              <w:t>.</w:t>
            </w:r>
          </w:p>
        </w:tc>
      </w:tr>
      <w:tr w:rsidR="000225D2" w:rsidRPr="00DA5730" w14:paraId="31DB8A23" w14:textId="77777777" w:rsidTr="00F81723">
        <w:trPr>
          <w:trHeight w:val="854"/>
        </w:trPr>
        <w:tc>
          <w:tcPr>
            <w:tcW w:w="2304" w:type="dxa"/>
            <w:vAlign w:val="center"/>
          </w:tcPr>
          <w:p w14:paraId="1A2AA761" w14:textId="77777777" w:rsidR="000225D2" w:rsidRPr="00DA5730" w:rsidRDefault="000225D2" w:rsidP="00574935">
            <w:pPr>
              <w:rPr>
                <w:b/>
                <w:sz w:val="22"/>
                <w:szCs w:val="22"/>
              </w:rPr>
            </w:pPr>
            <w:r w:rsidRPr="00DA5730">
              <w:rPr>
                <w:b/>
                <w:sz w:val="22"/>
                <w:szCs w:val="22"/>
              </w:rPr>
              <w:t>Desired</w:t>
            </w:r>
          </w:p>
          <w:p w14:paraId="7163EDB5" w14:textId="77777777" w:rsidR="000225D2" w:rsidRPr="00DA5730" w:rsidRDefault="000225D2" w:rsidP="00574935">
            <w:pPr>
              <w:rPr>
                <w:b/>
                <w:sz w:val="22"/>
                <w:szCs w:val="22"/>
              </w:rPr>
            </w:pPr>
            <w:r w:rsidRPr="00DA5730">
              <w:rPr>
                <w:b/>
                <w:sz w:val="22"/>
                <w:szCs w:val="22"/>
              </w:rPr>
              <w:t>Variables (essential for analysis</w:t>
            </w:r>
          </w:p>
          <w:p w14:paraId="21A31ECF" w14:textId="77777777" w:rsidR="000225D2" w:rsidRPr="00DA5730" w:rsidRDefault="000225D2" w:rsidP="00574935">
            <w:pPr>
              <w:rPr>
                <w:b/>
                <w:sz w:val="22"/>
                <w:szCs w:val="22"/>
              </w:rPr>
            </w:pPr>
            <w:r w:rsidRPr="00DA5730">
              <w:rPr>
                <w:b/>
                <w:sz w:val="22"/>
                <w:szCs w:val="22"/>
              </w:rPr>
              <w:t>indicated by *)</w:t>
            </w:r>
          </w:p>
        </w:tc>
        <w:tc>
          <w:tcPr>
            <w:tcW w:w="7141" w:type="dxa"/>
          </w:tcPr>
          <w:p w14:paraId="1F8FBF38" w14:textId="1CF2D6EE" w:rsidR="00B2314F" w:rsidRDefault="00B2314F" w:rsidP="00B2314F">
            <w:pPr>
              <w:rPr>
                <w:sz w:val="22"/>
                <w:szCs w:val="22"/>
              </w:rPr>
            </w:pPr>
            <w:r w:rsidRPr="00DA5730">
              <w:rPr>
                <w:sz w:val="22"/>
                <w:szCs w:val="22"/>
              </w:rPr>
              <w:t xml:space="preserve">eMERGE 1,2,3  </w:t>
            </w:r>
            <w:r>
              <w:rPr>
                <w:sz w:val="22"/>
                <w:szCs w:val="22"/>
              </w:rPr>
              <w:t xml:space="preserve">genotypes and </w:t>
            </w:r>
            <w:r w:rsidRPr="00DA5730">
              <w:rPr>
                <w:sz w:val="22"/>
                <w:szCs w:val="22"/>
              </w:rPr>
              <w:t xml:space="preserve">phenotype data </w:t>
            </w:r>
            <w:r>
              <w:rPr>
                <w:sz w:val="22"/>
                <w:szCs w:val="22"/>
              </w:rPr>
              <w:t xml:space="preserve">based on the CHOP asthma algorithm, updated with ICD-10 codes: </w:t>
            </w:r>
          </w:p>
          <w:p w14:paraId="72593ED7" w14:textId="77777777" w:rsidR="00B2314F" w:rsidRDefault="00B2314F" w:rsidP="00B231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Cases of asthma a</w:t>
            </w:r>
            <w:r w:rsidRPr="00B2314F">
              <w:rPr>
                <w:color w:val="000000"/>
                <w:sz w:val="22"/>
                <w:szCs w:val="22"/>
              </w:rPr>
              <w:t xml:space="preserve">re defined as </w:t>
            </w:r>
            <w:r>
              <w:rPr>
                <w:color w:val="000000"/>
                <w:sz w:val="22"/>
                <w:szCs w:val="22"/>
              </w:rPr>
              <w:t>age</w:t>
            </w:r>
            <w:r w:rsidRPr="00B2314F">
              <w:rPr>
                <w:color w:val="000000"/>
                <w:sz w:val="22"/>
                <w:szCs w:val="22"/>
              </w:rPr>
              <w:t xml:space="preserve"> greater tha</w:t>
            </w:r>
            <w:r>
              <w:rPr>
                <w:color w:val="000000"/>
                <w:sz w:val="22"/>
                <w:szCs w:val="22"/>
              </w:rPr>
              <w:t>n 4 years, a primary ICD</w:t>
            </w:r>
            <w:r w:rsidRPr="00B2314F">
              <w:rPr>
                <w:color w:val="000000"/>
                <w:sz w:val="22"/>
                <w:szCs w:val="22"/>
              </w:rPr>
              <w:t xml:space="preserve"> code for asthma</w:t>
            </w:r>
            <w:r>
              <w:rPr>
                <w:color w:val="000000"/>
                <w:sz w:val="22"/>
                <w:szCs w:val="22"/>
              </w:rPr>
              <w:t xml:space="preserve"> on</w:t>
            </w:r>
            <w:r w:rsidRPr="00B2314F">
              <w:rPr>
                <w:color w:val="000000"/>
                <w:sz w:val="22"/>
                <w:szCs w:val="22"/>
              </w:rPr>
              <w:t xml:space="preserve"> at least two separate calendar days</w:t>
            </w:r>
            <w:r>
              <w:rPr>
                <w:color w:val="000000"/>
                <w:sz w:val="22"/>
                <w:szCs w:val="22"/>
              </w:rPr>
              <w:t>,</w:t>
            </w:r>
            <w:r w:rsidRPr="00B2314F">
              <w:rPr>
                <w:color w:val="000000"/>
                <w:sz w:val="22"/>
                <w:szCs w:val="22"/>
              </w:rPr>
              <w:t xml:space="preserve"> as well as documented prescriptions for asthma-related medication. </w:t>
            </w:r>
          </w:p>
          <w:p w14:paraId="09E1ADF7" w14:textId="5760D34A" w:rsidR="00F81723" w:rsidRPr="00DA5730" w:rsidRDefault="00F81723" w:rsidP="00F81723">
            <w:pPr>
              <w:rPr>
                <w:sz w:val="22"/>
                <w:szCs w:val="22"/>
              </w:rPr>
            </w:pPr>
          </w:p>
        </w:tc>
      </w:tr>
      <w:tr w:rsidR="00A9093D" w:rsidRPr="00DA5730" w14:paraId="24AA1437" w14:textId="77777777" w:rsidTr="00F81723">
        <w:trPr>
          <w:trHeight w:val="935"/>
        </w:trPr>
        <w:tc>
          <w:tcPr>
            <w:tcW w:w="2304" w:type="dxa"/>
            <w:vAlign w:val="center"/>
          </w:tcPr>
          <w:p w14:paraId="4E4F3D67" w14:textId="3C65C42D" w:rsidR="00A9093D" w:rsidRPr="00DA5730" w:rsidRDefault="00A9093D" w:rsidP="00574935">
            <w:pPr>
              <w:rPr>
                <w:b/>
                <w:sz w:val="22"/>
                <w:szCs w:val="22"/>
              </w:rPr>
            </w:pPr>
            <w:r w:rsidRPr="00DA5730">
              <w:rPr>
                <w:b/>
                <w:sz w:val="22"/>
                <w:szCs w:val="22"/>
              </w:rPr>
              <w:t>Desired data</w:t>
            </w:r>
          </w:p>
        </w:tc>
        <w:tc>
          <w:tcPr>
            <w:tcW w:w="7141" w:type="dxa"/>
          </w:tcPr>
          <w:p w14:paraId="154D7BB4" w14:textId="6FFD8FF0" w:rsidR="00B2314F" w:rsidRDefault="00B2314F" w:rsidP="00B231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Outcomes data</w:t>
            </w:r>
            <w:r w:rsidR="00910AA8">
              <w:rPr>
                <w:color w:val="000000"/>
                <w:sz w:val="22"/>
                <w:szCs w:val="22"/>
              </w:rPr>
              <w:t xml:space="preserve">: </w:t>
            </w:r>
            <w:r w:rsidR="00910AA8" w:rsidRPr="00B2314F">
              <w:rPr>
                <w:color w:val="000000"/>
                <w:sz w:val="22"/>
                <w:szCs w:val="22"/>
              </w:rPr>
              <w:t xml:space="preserve">(1) results of asthma control tests, (2) results of spirometry tests, (3) asthma-related ER visit frequency, (4) asthma-related ICU visit frequency, (5) asthma-related observation visit frequency, (6) asthma-related </w:t>
            </w:r>
            <w:r w:rsidR="00910AA8" w:rsidRPr="00B2314F">
              <w:rPr>
                <w:color w:val="000000"/>
                <w:sz w:val="22"/>
                <w:szCs w:val="22"/>
              </w:rPr>
              <w:lastRenderedPageBreak/>
              <w:t xml:space="preserve">inpatient </w:t>
            </w:r>
            <w:r w:rsidR="002C115B">
              <w:rPr>
                <w:color w:val="000000"/>
                <w:sz w:val="22"/>
                <w:szCs w:val="22"/>
              </w:rPr>
              <w:t>hospitalization</w:t>
            </w:r>
            <w:r w:rsidR="00910AA8" w:rsidRPr="00B2314F">
              <w:rPr>
                <w:color w:val="000000"/>
                <w:sz w:val="22"/>
                <w:szCs w:val="22"/>
              </w:rPr>
              <w:t xml:space="preserve"> frequency, and (7) asthma-related exacerbation frequency</w:t>
            </w:r>
          </w:p>
          <w:p w14:paraId="3B5EDB2B" w14:textId="4C02EE04" w:rsidR="00910AA8" w:rsidRPr="00B2314F" w:rsidRDefault="00910AA8" w:rsidP="00B231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NHLBI guideline data: (1) patient p</w:t>
            </w:r>
            <w:r w:rsidRPr="00B2314F">
              <w:rPr>
                <w:color w:val="000000"/>
                <w:sz w:val="22"/>
                <w:szCs w:val="22"/>
              </w:rPr>
              <w:t xml:space="preserve">rovided </w:t>
            </w:r>
            <w:r>
              <w:rPr>
                <w:color w:val="000000"/>
                <w:sz w:val="22"/>
                <w:szCs w:val="22"/>
              </w:rPr>
              <w:t xml:space="preserve">with </w:t>
            </w:r>
            <w:r w:rsidRPr="00B2314F">
              <w:rPr>
                <w:color w:val="000000"/>
                <w:sz w:val="22"/>
                <w:szCs w:val="22"/>
              </w:rPr>
              <w:t xml:space="preserve">an asthma care plan, (2) </w:t>
            </w:r>
            <w:r>
              <w:rPr>
                <w:color w:val="000000"/>
                <w:sz w:val="22"/>
                <w:szCs w:val="22"/>
              </w:rPr>
              <w:t xml:space="preserve">patient given </w:t>
            </w:r>
            <w:r w:rsidRPr="00B2314F">
              <w:rPr>
                <w:color w:val="000000"/>
                <w:sz w:val="22"/>
                <w:szCs w:val="22"/>
              </w:rPr>
              <w:t>an asthma control test, (3)</w:t>
            </w:r>
            <w:r>
              <w:rPr>
                <w:color w:val="000000"/>
                <w:sz w:val="22"/>
                <w:szCs w:val="22"/>
              </w:rPr>
              <w:t xml:space="preserve"> patient</w:t>
            </w:r>
            <w:r w:rsidRPr="00B2314F">
              <w:rPr>
                <w:color w:val="000000"/>
                <w:sz w:val="22"/>
                <w:szCs w:val="22"/>
              </w:rPr>
              <w:t xml:space="preserve"> had spirometry tests, and (4) </w:t>
            </w:r>
            <w:r>
              <w:rPr>
                <w:color w:val="000000"/>
                <w:sz w:val="22"/>
                <w:szCs w:val="22"/>
              </w:rPr>
              <w:t xml:space="preserve">patient visited </w:t>
            </w:r>
            <w:r w:rsidRPr="00B2314F">
              <w:rPr>
                <w:color w:val="000000"/>
                <w:sz w:val="22"/>
                <w:szCs w:val="22"/>
              </w:rPr>
              <w:t>at least every 200 days.</w:t>
            </w:r>
          </w:p>
          <w:p w14:paraId="7897874E" w14:textId="56D584FD" w:rsidR="00910AA8" w:rsidRDefault="00910AA8" w:rsidP="00B231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Patient compliance data: </w:t>
            </w:r>
            <w:r w:rsidR="00CE7A5A">
              <w:rPr>
                <w:color w:val="000000"/>
                <w:sz w:val="22"/>
                <w:szCs w:val="22"/>
              </w:rPr>
              <w:t>if compliance was commented on within provider notes, patients were given a compliance score based on percentage of notes that commenting good compliance (1 for 0-20% good compliance, 2 for 20-40% good compliance, 3 for 40-60% good compliance, 4 for 60-80% good compliance, and 5 for 80-100% good compliance).</w:t>
            </w:r>
          </w:p>
          <w:p w14:paraId="50F36658" w14:textId="0F2CD30D" w:rsidR="00AD7CC5" w:rsidRPr="00DA5730" w:rsidRDefault="00B2314F" w:rsidP="0053545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Data from </w:t>
            </w:r>
            <w:r w:rsidR="002C115B">
              <w:rPr>
                <w:color w:val="000000"/>
                <w:sz w:val="22"/>
                <w:szCs w:val="22"/>
              </w:rPr>
              <w:t xml:space="preserve">3 </w:t>
            </w:r>
            <w:proofErr w:type="spellStart"/>
            <w:r w:rsidR="002C115B">
              <w:rPr>
                <w:color w:val="000000"/>
                <w:sz w:val="22"/>
                <w:szCs w:val="22"/>
              </w:rPr>
              <w:t>genotyped</w:t>
            </w:r>
            <w:r>
              <w:rPr>
                <w:color w:val="000000"/>
                <w:sz w:val="22"/>
                <w:szCs w:val="22"/>
              </w:rPr>
              <w:t>SNPs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: rs1042713, </w:t>
            </w:r>
            <w:r w:rsidRPr="00B2314F">
              <w:rPr>
                <w:color w:val="000000"/>
                <w:sz w:val="22"/>
                <w:szCs w:val="22"/>
              </w:rPr>
              <w:t>rs1042714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B2314F">
              <w:rPr>
                <w:color w:val="000000"/>
                <w:sz w:val="22"/>
                <w:szCs w:val="22"/>
              </w:rPr>
              <w:t>and rs37972</w:t>
            </w:r>
          </w:p>
        </w:tc>
      </w:tr>
      <w:tr w:rsidR="000225D2" w:rsidRPr="00DA5730" w14:paraId="62D57821" w14:textId="77777777" w:rsidTr="00F81723">
        <w:trPr>
          <w:trHeight w:val="440"/>
        </w:trPr>
        <w:tc>
          <w:tcPr>
            <w:tcW w:w="2304" w:type="dxa"/>
            <w:vAlign w:val="center"/>
          </w:tcPr>
          <w:p w14:paraId="2BD63815" w14:textId="410AE2A1" w:rsidR="000225D2" w:rsidRPr="00DA5730" w:rsidRDefault="000225D2" w:rsidP="00574935">
            <w:pPr>
              <w:rPr>
                <w:b/>
                <w:sz w:val="22"/>
                <w:szCs w:val="22"/>
              </w:rPr>
            </w:pPr>
            <w:r w:rsidRPr="00DA5730">
              <w:rPr>
                <w:b/>
                <w:sz w:val="22"/>
                <w:szCs w:val="22"/>
              </w:rPr>
              <w:lastRenderedPageBreak/>
              <w:t>Planned Statistical Analyses</w:t>
            </w:r>
          </w:p>
        </w:tc>
        <w:tc>
          <w:tcPr>
            <w:tcW w:w="7141" w:type="dxa"/>
          </w:tcPr>
          <w:p w14:paraId="58B068FC" w14:textId="0AF4C875" w:rsidR="00910AA8" w:rsidRDefault="00910AA8" w:rsidP="00910AA8">
            <w:pPr>
              <w:rPr>
                <w:color w:val="000000"/>
                <w:sz w:val="22"/>
                <w:szCs w:val="22"/>
              </w:rPr>
            </w:pPr>
            <w:r w:rsidRPr="00B2314F">
              <w:rPr>
                <w:color w:val="000000"/>
                <w:sz w:val="22"/>
                <w:szCs w:val="22"/>
              </w:rPr>
              <w:t xml:space="preserve">Covariates </w:t>
            </w:r>
            <w:r>
              <w:rPr>
                <w:color w:val="000000"/>
                <w:sz w:val="22"/>
                <w:szCs w:val="22"/>
              </w:rPr>
              <w:t>are</w:t>
            </w:r>
            <w:r w:rsidRPr="00B2314F">
              <w:rPr>
                <w:color w:val="000000"/>
                <w:sz w:val="22"/>
                <w:szCs w:val="22"/>
              </w:rPr>
              <w:t xml:space="preserve"> asthma severity, </w:t>
            </w:r>
            <w:r w:rsidR="002C115B">
              <w:rPr>
                <w:color w:val="000000"/>
                <w:sz w:val="22"/>
                <w:szCs w:val="22"/>
              </w:rPr>
              <w:t xml:space="preserve">sex, </w:t>
            </w:r>
            <w:r w:rsidRPr="00B2314F">
              <w:rPr>
                <w:color w:val="000000"/>
                <w:sz w:val="22"/>
                <w:szCs w:val="22"/>
              </w:rPr>
              <w:t>race, and patient compliance.</w:t>
            </w:r>
          </w:p>
          <w:p w14:paraId="09FDA5FC" w14:textId="7CC8878D" w:rsidR="005406AC" w:rsidRPr="00DA5730" w:rsidRDefault="005406AC" w:rsidP="00910AA8">
            <w:pPr>
              <w:rPr>
                <w:sz w:val="22"/>
                <w:szCs w:val="22"/>
              </w:rPr>
            </w:pPr>
          </w:p>
        </w:tc>
      </w:tr>
      <w:tr w:rsidR="000225D2" w:rsidRPr="00DA5730" w14:paraId="523D85EE" w14:textId="77777777" w:rsidTr="00F81723">
        <w:trPr>
          <w:trHeight w:val="864"/>
        </w:trPr>
        <w:tc>
          <w:tcPr>
            <w:tcW w:w="2304" w:type="dxa"/>
            <w:vAlign w:val="center"/>
          </w:tcPr>
          <w:p w14:paraId="326E840C" w14:textId="77777777" w:rsidR="000225D2" w:rsidRPr="00DA5730" w:rsidRDefault="000225D2" w:rsidP="00574935">
            <w:pPr>
              <w:rPr>
                <w:b/>
                <w:sz w:val="22"/>
                <w:szCs w:val="22"/>
              </w:rPr>
            </w:pPr>
            <w:r w:rsidRPr="00DA5730">
              <w:rPr>
                <w:b/>
                <w:sz w:val="22"/>
                <w:szCs w:val="22"/>
              </w:rPr>
              <w:t>Ethical considerations</w:t>
            </w:r>
          </w:p>
        </w:tc>
        <w:tc>
          <w:tcPr>
            <w:tcW w:w="7141" w:type="dxa"/>
          </w:tcPr>
          <w:p w14:paraId="54CC9614" w14:textId="44172055" w:rsidR="000225D2" w:rsidRPr="00DA5730" w:rsidRDefault="00535455" w:rsidP="00574935">
            <w:pPr>
              <w:rPr>
                <w:sz w:val="22"/>
                <w:szCs w:val="22"/>
              </w:rPr>
            </w:pPr>
            <w:r w:rsidRPr="00DA5730">
              <w:rPr>
                <w:sz w:val="22"/>
                <w:szCs w:val="22"/>
              </w:rPr>
              <w:t>None</w:t>
            </w:r>
          </w:p>
          <w:p w14:paraId="47A64F50" w14:textId="77777777" w:rsidR="005406AC" w:rsidRPr="00DA5730" w:rsidRDefault="005406AC" w:rsidP="00574935">
            <w:pPr>
              <w:rPr>
                <w:sz w:val="22"/>
                <w:szCs w:val="22"/>
              </w:rPr>
            </w:pPr>
          </w:p>
        </w:tc>
      </w:tr>
      <w:tr w:rsidR="000225D2" w:rsidRPr="00DA5730" w14:paraId="00213EBC" w14:textId="77777777" w:rsidTr="00F81723">
        <w:tc>
          <w:tcPr>
            <w:tcW w:w="2304" w:type="dxa"/>
            <w:vAlign w:val="center"/>
          </w:tcPr>
          <w:p w14:paraId="1D47DB72" w14:textId="77777777" w:rsidR="000225D2" w:rsidRPr="00DA5730" w:rsidRDefault="000225D2" w:rsidP="00574935">
            <w:pPr>
              <w:rPr>
                <w:b/>
                <w:sz w:val="22"/>
                <w:szCs w:val="22"/>
              </w:rPr>
            </w:pPr>
            <w:r w:rsidRPr="00DA5730">
              <w:rPr>
                <w:b/>
                <w:sz w:val="22"/>
                <w:szCs w:val="22"/>
              </w:rPr>
              <w:t>Target Journal</w:t>
            </w:r>
          </w:p>
        </w:tc>
        <w:tc>
          <w:tcPr>
            <w:tcW w:w="7141" w:type="dxa"/>
          </w:tcPr>
          <w:p w14:paraId="53B5CA5D" w14:textId="4F4D6178" w:rsidR="005406AC" w:rsidRPr="00DA5730" w:rsidRDefault="00B2314F" w:rsidP="00B231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American Journal of Respiratory and Critical Care Medicine</w:t>
            </w:r>
          </w:p>
        </w:tc>
      </w:tr>
      <w:tr w:rsidR="000225D2" w:rsidRPr="00DA5730" w14:paraId="7CB2A7BD" w14:textId="77777777" w:rsidTr="00F81723">
        <w:tc>
          <w:tcPr>
            <w:tcW w:w="2304" w:type="dxa"/>
            <w:vAlign w:val="center"/>
          </w:tcPr>
          <w:p w14:paraId="167069D2" w14:textId="77777777" w:rsidR="000225D2" w:rsidRPr="00DA5730" w:rsidRDefault="000225D2" w:rsidP="00574935">
            <w:pPr>
              <w:rPr>
                <w:b/>
                <w:sz w:val="22"/>
                <w:szCs w:val="22"/>
              </w:rPr>
            </w:pPr>
            <w:r w:rsidRPr="00DA5730">
              <w:rPr>
                <w:b/>
                <w:sz w:val="22"/>
                <w:szCs w:val="22"/>
              </w:rPr>
              <w:t>Milestones</w:t>
            </w:r>
            <w:r w:rsidR="005E6E01" w:rsidRPr="00DA5730">
              <w:rPr>
                <w:b/>
                <w:sz w:val="22"/>
                <w:szCs w:val="22"/>
              </w:rPr>
              <w:t>**</w:t>
            </w:r>
          </w:p>
        </w:tc>
        <w:tc>
          <w:tcPr>
            <w:tcW w:w="7141" w:type="dxa"/>
          </w:tcPr>
          <w:p w14:paraId="7198679E" w14:textId="45A95118" w:rsidR="0076798A" w:rsidRPr="00DA5730" w:rsidRDefault="00B2314F" w:rsidP="00574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Re-development of</w:t>
            </w:r>
            <w:r w:rsidR="00535455" w:rsidRPr="00DA5730">
              <w:rPr>
                <w:sz w:val="22"/>
                <w:szCs w:val="22"/>
              </w:rPr>
              <w:t xml:space="preserve"> phenotype algorithm</w:t>
            </w:r>
            <w:r>
              <w:rPr>
                <w:sz w:val="22"/>
                <w:szCs w:val="22"/>
              </w:rPr>
              <w:t>, with ICD-10 codes</w:t>
            </w:r>
            <w:r w:rsidR="00535455" w:rsidRPr="00DA5730">
              <w:rPr>
                <w:sz w:val="22"/>
                <w:szCs w:val="22"/>
              </w:rPr>
              <w:t xml:space="preserve">: </w:t>
            </w:r>
            <w:r w:rsidR="002C115B">
              <w:rPr>
                <w:sz w:val="22"/>
                <w:szCs w:val="22"/>
              </w:rPr>
              <w:t>2</w:t>
            </w:r>
            <w:r w:rsidR="00535455" w:rsidRPr="00DA5730">
              <w:rPr>
                <w:sz w:val="22"/>
                <w:szCs w:val="22"/>
              </w:rPr>
              <w:t>/31/17</w:t>
            </w:r>
          </w:p>
          <w:p w14:paraId="45F825DD" w14:textId="0B98E87A" w:rsidR="00535455" w:rsidRPr="00DA5730" w:rsidRDefault="00B2314F" w:rsidP="005354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Internal v</w:t>
            </w:r>
            <w:r w:rsidR="00535455" w:rsidRPr="00DA5730">
              <w:rPr>
                <w:sz w:val="22"/>
                <w:szCs w:val="22"/>
              </w:rPr>
              <w:t>alidat</w:t>
            </w:r>
            <w:r>
              <w:rPr>
                <w:sz w:val="22"/>
                <w:szCs w:val="22"/>
              </w:rPr>
              <w:t xml:space="preserve">ion of phenotype algorithm: </w:t>
            </w:r>
            <w:r w:rsidR="002C115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/14</w:t>
            </w:r>
            <w:r w:rsidR="00535455" w:rsidRPr="00DA5730">
              <w:rPr>
                <w:sz w:val="22"/>
                <w:szCs w:val="22"/>
              </w:rPr>
              <w:t>/17</w:t>
            </w:r>
          </w:p>
          <w:p w14:paraId="7EA1D39C" w14:textId="041B533C" w:rsidR="00535455" w:rsidRPr="00DA5730" w:rsidRDefault="00535455" w:rsidP="00574935">
            <w:pPr>
              <w:rPr>
                <w:sz w:val="22"/>
                <w:szCs w:val="22"/>
              </w:rPr>
            </w:pPr>
            <w:r w:rsidRPr="00DA5730">
              <w:rPr>
                <w:sz w:val="22"/>
                <w:szCs w:val="22"/>
              </w:rPr>
              <w:t xml:space="preserve">Implementation of phenotype algorithm: </w:t>
            </w:r>
            <w:r w:rsidR="002C115B">
              <w:rPr>
                <w:sz w:val="22"/>
                <w:szCs w:val="22"/>
              </w:rPr>
              <w:t>4</w:t>
            </w:r>
            <w:r w:rsidRPr="00DA5730">
              <w:rPr>
                <w:sz w:val="22"/>
                <w:szCs w:val="22"/>
              </w:rPr>
              <w:t>/3</w:t>
            </w:r>
            <w:r w:rsidR="00B2314F">
              <w:rPr>
                <w:sz w:val="22"/>
                <w:szCs w:val="22"/>
              </w:rPr>
              <w:t>1</w:t>
            </w:r>
            <w:r w:rsidRPr="00DA5730">
              <w:rPr>
                <w:sz w:val="22"/>
                <w:szCs w:val="22"/>
              </w:rPr>
              <w:t>/17</w:t>
            </w:r>
          </w:p>
          <w:p w14:paraId="0D4730B6" w14:textId="2754E024" w:rsidR="00631826" w:rsidRPr="00DA5730" w:rsidRDefault="00631826" w:rsidP="00574935">
            <w:pPr>
              <w:rPr>
                <w:sz w:val="22"/>
                <w:szCs w:val="22"/>
              </w:rPr>
            </w:pPr>
            <w:r w:rsidRPr="00DA5730">
              <w:rPr>
                <w:sz w:val="22"/>
                <w:szCs w:val="22"/>
              </w:rPr>
              <w:t xml:space="preserve">Analyses of </w:t>
            </w:r>
            <w:r w:rsidR="00535455" w:rsidRPr="00DA5730">
              <w:rPr>
                <w:sz w:val="22"/>
                <w:szCs w:val="22"/>
              </w:rPr>
              <w:t>a</w:t>
            </w:r>
            <w:r w:rsidRPr="00DA5730">
              <w:rPr>
                <w:sz w:val="22"/>
                <w:szCs w:val="22"/>
              </w:rPr>
              <w:t xml:space="preserve">rray data: </w:t>
            </w:r>
            <w:r w:rsidR="002C115B">
              <w:rPr>
                <w:sz w:val="22"/>
                <w:szCs w:val="22"/>
              </w:rPr>
              <w:t>5</w:t>
            </w:r>
            <w:r w:rsidRPr="00DA5730">
              <w:rPr>
                <w:sz w:val="22"/>
                <w:szCs w:val="22"/>
              </w:rPr>
              <w:t>/3</w:t>
            </w:r>
            <w:r w:rsidR="00535455" w:rsidRPr="00DA5730">
              <w:rPr>
                <w:sz w:val="22"/>
                <w:szCs w:val="22"/>
              </w:rPr>
              <w:t>0</w:t>
            </w:r>
            <w:r w:rsidRPr="00DA5730">
              <w:rPr>
                <w:sz w:val="22"/>
                <w:szCs w:val="22"/>
              </w:rPr>
              <w:t>/17</w:t>
            </w:r>
          </w:p>
          <w:p w14:paraId="34A56E61" w14:textId="7E279985" w:rsidR="00631826" w:rsidRPr="00DA5730" w:rsidRDefault="00631826" w:rsidP="00574935">
            <w:pPr>
              <w:rPr>
                <w:sz w:val="22"/>
                <w:szCs w:val="22"/>
              </w:rPr>
            </w:pPr>
            <w:r w:rsidRPr="00DA5730">
              <w:rPr>
                <w:sz w:val="22"/>
                <w:szCs w:val="22"/>
              </w:rPr>
              <w:t xml:space="preserve">Submission of manuscript: </w:t>
            </w:r>
            <w:r w:rsidR="002C115B">
              <w:rPr>
                <w:sz w:val="22"/>
                <w:szCs w:val="22"/>
              </w:rPr>
              <w:t>8</w:t>
            </w:r>
            <w:r w:rsidRPr="00DA5730">
              <w:rPr>
                <w:sz w:val="22"/>
                <w:szCs w:val="22"/>
              </w:rPr>
              <w:t>/31/17</w:t>
            </w:r>
          </w:p>
          <w:p w14:paraId="13D20FBE" w14:textId="77777777" w:rsidR="005406AC" w:rsidRPr="00DA5730" w:rsidRDefault="005406AC" w:rsidP="00574935">
            <w:pPr>
              <w:rPr>
                <w:sz w:val="22"/>
                <w:szCs w:val="22"/>
              </w:rPr>
            </w:pPr>
          </w:p>
        </w:tc>
      </w:tr>
    </w:tbl>
    <w:p w14:paraId="0A00394C" w14:textId="213FFAEA" w:rsidR="0017171E" w:rsidRPr="00DA5730" w:rsidRDefault="0017171E" w:rsidP="0017171E">
      <w:pPr>
        <w:rPr>
          <w:sz w:val="22"/>
          <w:szCs w:val="22"/>
        </w:rPr>
      </w:pPr>
    </w:p>
    <w:sectPr w:rsidR="0017171E" w:rsidRPr="00DA5730" w:rsidSect="00CD615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D50B7" w14:textId="77777777" w:rsidR="004E7252" w:rsidRDefault="004E7252">
      <w:r>
        <w:separator/>
      </w:r>
    </w:p>
  </w:endnote>
  <w:endnote w:type="continuationSeparator" w:id="0">
    <w:p w14:paraId="3B416F5C" w14:textId="77777777" w:rsidR="004E7252" w:rsidRDefault="004E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DEAC9" w14:textId="6A576834" w:rsidR="00A32480" w:rsidRDefault="00A3248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323B9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E9F08" w14:textId="77777777" w:rsidR="004E7252" w:rsidRDefault="004E7252">
      <w:r>
        <w:separator/>
      </w:r>
    </w:p>
  </w:footnote>
  <w:footnote w:type="continuationSeparator" w:id="0">
    <w:p w14:paraId="257F0CDB" w14:textId="77777777" w:rsidR="004E7252" w:rsidRDefault="004E7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D5B"/>
    <w:multiLevelType w:val="hybridMultilevel"/>
    <w:tmpl w:val="F6DC16D2"/>
    <w:lvl w:ilvl="0" w:tplc="FF585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0AD1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06E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6E0F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8FF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7477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00F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8A0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7E3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15F16"/>
    <w:multiLevelType w:val="hybridMultilevel"/>
    <w:tmpl w:val="9F561A5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C05BD"/>
    <w:multiLevelType w:val="hybridMultilevel"/>
    <w:tmpl w:val="B1AA5190"/>
    <w:lvl w:ilvl="0" w:tplc="47DAF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005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64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68B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84D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C1A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2E15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8AE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7AC6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7709D"/>
    <w:multiLevelType w:val="hybridMultilevel"/>
    <w:tmpl w:val="1B365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8490A"/>
    <w:multiLevelType w:val="hybridMultilevel"/>
    <w:tmpl w:val="DA86D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F03C7"/>
    <w:multiLevelType w:val="hybridMultilevel"/>
    <w:tmpl w:val="73E20E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83209A"/>
    <w:multiLevelType w:val="hybridMultilevel"/>
    <w:tmpl w:val="F78EA378"/>
    <w:lvl w:ilvl="0" w:tplc="32566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70F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3233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824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6843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387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4C3D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C57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A23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7918C7"/>
    <w:multiLevelType w:val="hybridMultilevel"/>
    <w:tmpl w:val="904C1B70"/>
    <w:lvl w:ilvl="0" w:tplc="DBCCB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BCC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EACE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E20D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127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44DF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B849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813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6AA0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200C05"/>
    <w:multiLevelType w:val="hybridMultilevel"/>
    <w:tmpl w:val="B6125068"/>
    <w:lvl w:ilvl="0" w:tplc="D71AB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24D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DECC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56D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3A1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5877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7439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CE8C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7694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99351F"/>
    <w:multiLevelType w:val="hybridMultilevel"/>
    <w:tmpl w:val="4B7E70E0"/>
    <w:lvl w:ilvl="0" w:tplc="196C9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3230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7470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2CE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A24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9E89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5428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E2B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A044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CE4D24"/>
    <w:multiLevelType w:val="hybridMultilevel"/>
    <w:tmpl w:val="3B768E10"/>
    <w:lvl w:ilvl="0" w:tplc="7BF85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6ABD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849B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9698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6FB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9495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5038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CEE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C2CA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75129"/>
    <w:multiLevelType w:val="hybridMultilevel"/>
    <w:tmpl w:val="B82C1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375D6"/>
    <w:multiLevelType w:val="hybridMultilevel"/>
    <w:tmpl w:val="DDB28C7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2D59B9"/>
    <w:multiLevelType w:val="hybridMultilevel"/>
    <w:tmpl w:val="917A5D42"/>
    <w:lvl w:ilvl="0" w:tplc="18F6F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8628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AC91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A2CF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0D4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90BD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7A9B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8F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E15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9704DD"/>
    <w:multiLevelType w:val="hybridMultilevel"/>
    <w:tmpl w:val="664AAEE0"/>
    <w:lvl w:ilvl="0" w:tplc="E7741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6A23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78EF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7878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210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1CB7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1A01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49C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CD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9830AF"/>
    <w:multiLevelType w:val="hybridMultilevel"/>
    <w:tmpl w:val="E592950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8185EA7"/>
    <w:multiLevelType w:val="hybridMultilevel"/>
    <w:tmpl w:val="D9368A8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742D85"/>
    <w:multiLevelType w:val="hybridMultilevel"/>
    <w:tmpl w:val="F86A84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307E7"/>
    <w:multiLevelType w:val="hybridMultilevel"/>
    <w:tmpl w:val="C05E8BCE"/>
    <w:lvl w:ilvl="0" w:tplc="02387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A66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288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0C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A24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4DE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287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4F0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8626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1A0894"/>
    <w:multiLevelType w:val="multilevel"/>
    <w:tmpl w:val="5F6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C819BA"/>
    <w:multiLevelType w:val="hybridMultilevel"/>
    <w:tmpl w:val="5F603C00"/>
    <w:lvl w:ilvl="0" w:tplc="DDE09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F6AC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A34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5881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4D3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6A49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5AE4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0A05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325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75725C"/>
    <w:multiLevelType w:val="hybridMultilevel"/>
    <w:tmpl w:val="2B549F78"/>
    <w:lvl w:ilvl="0" w:tplc="6E344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000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1EF7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076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621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F2E8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26B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03F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2E5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875017"/>
    <w:multiLevelType w:val="hybridMultilevel"/>
    <w:tmpl w:val="279E615C"/>
    <w:lvl w:ilvl="0" w:tplc="620C0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C4856C">
      <w:start w:val="15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8CC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2C5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E23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7ED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DE4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144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0BC291B"/>
    <w:multiLevelType w:val="hybridMultilevel"/>
    <w:tmpl w:val="36EA2CB0"/>
    <w:lvl w:ilvl="0" w:tplc="8070E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96B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2EF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D850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668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AEA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24A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4C9E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E0DD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855B4F"/>
    <w:multiLevelType w:val="hybridMultilevel"/>
    <w:tmpl w:val="5EEE4F4C"/>
    <w:lvl w:ilvl="0" w:tplc="DF16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800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EC15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9E77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A7D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4228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88B3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1CB7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9A3E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DE6814"/>
    <w:multiLevelType w:val="hybridMultilevel"/>
    <w:tmpl w:val="E390B584"/>
    <w:lvl w:ilvl="0" w:tplc="3F7E31B2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2"/>
  </w:num>
  <w:num w:numId="18">
    <w:abstractNumId w:val="16"/>
  </w:num>
  <w:num w:numId="19">
    <w:abstractNumId w:val="15"/>
  </w:num>
  <w:num w:numId="20">
    <w:abstractNumId w:val="17"/>
  </w:num>
  <w:num w:numId="21">
    <w:abstractNumId w:val="19"/>
  </w:num>
  <w:num w:numId="22">
    <w:abstractNumId w:val="20"/>
  </w:num>
  <w:num w:numId="23">
    <w:abstractNumId w:val="1"/>
  </w:num>
  <w:num w:numId="24">
    <w:abstractNumId w:val="22"/>
  </w:num>
  <w:num w:numId="25">
    <w:abstractNumId w:val="11"/>
  </w:num>
  <w:num w:numId="26">
    <w:abstractNumId w:val="3"/>
  </w:num>
  <w:num w:numId="27">
    <w:abstractNumId w:val="2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32"/>
    <w:rsid w:val="0001679F"/>
    <w:rsid w:val="00016DB5"/>
    <w:rsid w:val="000225D2"/>
    <w:rsid w:val="00022DD9"/>
    <w:rsid w:val="0002559B"/>
    <w:rsid w:val="00030525"/>
    <w:rsid w:val="000632CA"/>
    <w:rsid w:val="00072691"/>
    <w:rsid w:val="00093CEE"/>
    <w:rsid w:val="000A39AF"/>
    <w:rsid w:val="000C02E5"/>
    <w:rsid w:val="00124A67"/>
    <w:rsid w:val="001330F2"/>
    <w:rsid w:val="00162F6E"/>
    <w:rsid w:val="0017171E"/>
    <w:rsid w:val="001B1249"/>
    <w:rsid w:val="001B18E7"/>
    <w:rsid w:val="001E0AD4"/>
    <w:rsid w:val="001E71A2"/>
    <w:rsid w:val="001F41A9"/>
    <w:rsid w:val="00213D65"/>
    <w:rsid w:val="00215E09"/>
    <w:rsid w:val="00227478"/>
    <w:rsid w:val="00236727"/>
    <w:rsid w:val="002542DC"/>
    <w:rsid w:val="0025540D"/>
    <w:rsid w:val="00262562"/>
    <w:rsid w:val="0028585D"/>
    <w:rsid w:val="0028652D"/>
    <w:rsid w:val="0029714D"/>
    <w:rsid w:val="002B10D1"/>
    <w:rsid w:val="002B201E"/>
    <w:rsid w:val="002C115B"/>
    <w:rsid w:val="002C7A96"/>
    <w:rsid w:val="002D15FE"/>
    <w:rsid w:val="00304533"/>
    <w:rsid w:val="00304D9E"/>
    <w:rsid w:val="00310EFF"/>
    <w:rsid w:val="00311688"/>
    <w:rsid w:val="00336927"/>
    <w:rsid w:val="003632C8"/>
    <w:rsid w:val="00367D0A"/>
    <w:rsid w:val="003706AE"/>
    <w:rsid w:val="003A1041"/>
    <w:rsid w:val="003B6296"/>
    <w:rsid w:val="003D3121"/>
    <w:rsid w:val="003E1C8B"/>
    <w:rsid w:val="003F396F"/>
    <w:rsid w:val="00404579"/>
    <w:rsid w:val="004108D2"/>
    <w:rsid w:val="004126D8"/>
    <w:rsid w:val="004138ED"/>
    <w:rsid w:val="00424C88"/>
    <w:rsid w:val="00450109"/>
    <w:rsid w:val="0046358C"/>
    <w:rsid w:val="00465376"/>
    <w:rsid w:val="00473CCF"/>
    <w:rsid w:val="00490A32"/>
    <w:rsid w:val="00494C69"/>
    <w:rsid w:val="004966B5"/>
    <w:rsid w:val="004A32E0"/>
    <w:rsid w:val="004D2512"/>
    <w:rsid w:val="004E7252"/>
    <w:rsid w:val="00535455"/>
    <w:rsid w:val="0053704D"/>
    <w:rsid w:val="0053713C"/>
    <w:rsid w:val="005406AC"/>
    <w:rsid w:val="00574935"/>
    <w:rsid w:val="005905C4"/>
    <w:rsid w:val="005A053E"/>
    <w:rsid w:val="005A2F55"/>
    <w:rsid w:val="005A4C4A"/>
    <w:rsid w:val="005B230F"/>
    <w:rsid w:val="005B2357"/>
    <w:rsid w:val="005B2E72"/>
    <w:rsid w:val="005B5981"/>
    <w:rsid w:val="005B608A"/>
    <w:rsid w:val="005D03B3"/>
    <w:rsid w:val="005D6A0E"/>
    <w:rsid w:val="005E6E01"/>
    <w:rsid w:val="005F63FC"/>
    <w:rsid w:val="00625483"/>
    <w:rsid w:val="00631826"/>
    <w:rsid w:val="006559B1"/>
    <w:rsid w:val="00662C76"/>
    <w:rsid w:val="0066603F"/>
    <w:rsid w:val="00684669"/>
    <w:rsid w:val="00690389"/>
    <w:rsid w:val="006904CD"/>
    <w:rsid w:val="00694A3E"/>
    <w:rsid w:val="006A547E"/>
    <w:rsid w:val="006C7D56"/>
    <w:rsid w:val="006D0178"/>
    <w:rsid w:val="006D37AD"/>
    <w:rsid w:val="006D6F4C"/>
    <w:rsid w:val="006F2235"/>
    <w:rsid w:val="007015CC"/>
    <w:rsid w:val="00724C57"/>
    <w:rsid w:val="00736BD1"/>
    <w:rsid w:val="0076798A"/>
    <w:rsid w:val="00777D85"/>
    <w:rsid w:val="00795FF3"/>
    <w:rsid w:val="007A2366"/>
    <w:rsid w:val="007A50BB"/>
    <w:rsid w:val="007B7834"/>
    <w:rsid w:val="007C5938"/>
    <w:rsid w:val="007D058F"/>
    <w:rsid w:val="007E519F"/>
    <w:rsid w:val="007F0D07"/>
    <w:rsid w:val="007F4C92"/>
    <w:rsid w:val="008128C8"/>
    <w:rsid w:val="008323B9"/>
    <w:rsid w:val="00870EC8"/>
    <w:rsid w:val="0087281A"/>
    <w:rsid w:val="00877678"/>
    <w:rsid w:val="0089069A"/>
    <w:rsid w:val="00895904"/>
    <w:rsid w:val="008D4FDE"/>
    <w:rsid w:val="008E01FA"/>
    <w:rsid w:val="008E3110"/>
    <w:rsid w:val="00901835"/>
    <w:rsid w:val="00905046"/>
    <w:rsid w:val="00910AA8"/>
    <w:rsid w:val="009121DE"/>
    <w:rsid w:val="0092039E"/>
    <w:rsid w:val="00934211"/>
    <w:rsid w:val="00944011"/>
    <w:rsid w:val="009624E3"/>
    <w:rsid w:val="009663B9"/>
    <w:rsid w:val="00971431"/>
    <w:rsid w:val="00987070"/>
    <w:rsid w:val="009A48ED"/>
    <w:rsid w:val="009A59AB"/>
    <w:rsid w:val="009A7B3B"/>
    <w:rsid w:val="009C57EC"/>
    <w:rsid w:val="009D6059"/>
    <w:rsid w:val="009E2549"/>
    <w:rsid w:val="009F3A21"/>
    <w:rsid w:val="009F6272"/>
    <w:rsid w:val="00A32480"/>
    <w:rsid w:val="00A45772"/>
    <w:rsid w:val="00A9093D"/>
    <w:rsid w:val="00AA3A30"/>
    <w:rsid w:val="00AB1EAE"/>
    <w:rsid w:val="00AC2CEB"/>
    <w:rsid w:val="00AC5816"/>
    <w:rsid w:val="00AD153D"/>
    <w:rsid w:val="00AD7CC5"/>
    <w:rsid w:val="00AF723E"/>
    <w:rsid w:val="00B2314F"/>
    <w:rsid w:val="00B45093"/>
    <w:rsid w:val="00B52860"/>
    <w:rsid w:val="00B817B5"/>
    <w:rsid w:val="00BA33E2"/>
    <w:rsid w:val="00BD36AD"/>
    <w:rsid w:val="00BF46E2"/>
    <w:rsid w:val="00BF50FC"/>
    <w:rsid w:val="00BF7923"/>
    <w:rsid w:val="00C00A03"/>
    <w:rsid w:val="00C21379"/>
    <w:rsid w:val="00C222AF"/>
    <w:rsid w:val="00C4270C"/>
    <w:rsid w:val="00C63430"/>
    <w:rsid w:val="00C74B66"/>
    <w:rsid w:val="00C7507B"/>
    <w:rsid w:val="00C9143F"/>
    <w:rsid w:val="00CA7088"/>
    <w:rsid w:val="00CA7A29"/>
    <w:rsid w:val="00CB5DAC"/>
    <w:rsid w:val="00CD5739"/>
    <w:rsid w:val="00CD6156"/>
    <w:rsid w:val="00CE7A5A"/>
    <w:rsid w:val="00D019D5"/>
    <w:rsid w:val="00D07484"/>
    <w:rsid w:val="00D32A7E"/>
    <w:rsid w:val="00D34CEE"/>
    <w:rsid w:val="00D600A7"/>
    <w:rsid w:val="00D6567E"/>
    <w:rsid w:val="00D67D30"/>
    <w:rsid w:val="00D73ADD"/>
    <w:rsid w:val="00DA2017"/>
    <w:rsid w:val="00DA3F69"/>
    <w:rsid w:val="00DA5730"/>
    <w:rsid w:val="00DA62D2"/>
    <w:rsid w:val="00DA6686"/>
    <w:rsid w:val="00DE1B26"/>
    <w:rsid w:val="00DF17FC"/>
    <w:rsid w:val="00E1113C"/>
    <w:rsid w:val="00E155C1"/>
    <w:rsid w:val="00E50979"/>
    <w:rsid w:val="00E5585A"/>
    <w:rsid w:val="00E95B89"/>
    <w:rsid w:val="00EA250A"/>
    <w:rsid w:val="00EC0682"/>
    <w:rsid w:val="00ED72E6"/>
    <w:rsid w:val="00EE2520"/>
    <w:rsid w:val="00EF5EC5"/>
    <w:rsid w:val="00F050A4"/>
    <w:rsid w:val="00F10770"/>
    <w:rsid w:val="00F2298B"/>
    <w:rsid w:val="00F34A8C"/>
    <w:rsid w:val="00F34EC1"/>
    <w:rsid w:val="00F42EE5"/>
    <w:rsid w:val="00F473C8"/>
    <w:rsid w:val="00F55221"/>
    <w:rsid w:val="00F66C59"/>
    <w:rsid w:val="00F711FA"/>
    <w:rsid w:val="00F81723"/>
    <w:rsid w:val="00F84630"/>
    <w:rsid w:val="00F94172"/>
    <w:rsid w:val="00FC3994"/>
    <w:rsid w:val="00FD208E"/>
    <w:rsid w:val="00FE2671"/>
    <w:rsid w:val="00FE28E0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7F5CA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7"/>
      <w:szCs w:val="27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">
    <w:name w:val="Body Text"/>
    <w:basedOn w:val="Normal"/>
    <w:rPr>
      <w:b/>
      <w:bCs/>
      <w:u w:val="singl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Baskerville Old Face" w:hAnsi="Baskerville Old Face"/>
    </w:rPr>
  </w:style>
  <w:style w:type="character" w:styleId="CommentReference">
    <w:name w:val="annotation reference"/>
    <w:uiPriority w:val="99"/>
    <w:rPr>
      <w:sz w:val="18"/>
    </w:rPr>
  </w:style>
  <w:style w:type="paragraph" w:styleId="CommentText">
    <w:name w:val="annotation text"/>
    <w:basedOn w:val="Normal"/>
    <w:link w:val="CommentTextChar"/>
    <w:uiPriority w:val="99"/>
    <w:rPr>
      <w:rFonts w:ascii="Baskerville Old Face" w:hAnsi="Baskerville Old Fac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rFonts w:ascii="Times New Roman" w:hAnsi="Times New Roman"/>
      <w:b/>
      <w:bCs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CommentTextChar">
    <w:name w:val="Comment Text Char"/>
    <w:link w:val="CommentText"/>
    <w:uiPriority w:val="99"/>
    <w:rsid w:val="00D67D30"/>
    <w:rPr>
      <w:rFonts w:ascii="Baskerville Old Face" w:hAnsi="Baskerville Old Face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67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HEIRS Study</vt:lpstr>
    </vt:vector>
  </TitlesOfParts>
  <Company>VUMC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HEIRS Study</dc:title>
  <dc:subject/>
  <dc:creator>Melissa Basford</dc:creator>
  <cp:keywords/>
  <cp:lastModifiedBy>Derveloy, Brianne B</cp:lastModifiedBy>
  <cp:revision>4</cp:revision>
  <cp:lastPrinted>2008-11-03T22:46:00Z</cp:lastPrinted>
  <dcterms:created xsi:type="dcterms:W3CDTF">2017-01-09T17:59:00Z</dcterms:created>
  <dcterms:modified xsi:type="dcterms:W3CDTF">2017-01-18T21:11:00Z</dcterms:modified>
</cp:coreProperties>
</file>