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6AC19" w14:textId="77777777" w:rsidR="001A238A" w:rsidRPr="00CB646B" w:rsidRDefault="001A238A" w:rsidP="001A238A">
      <w:pPr>
        <w:tabs>
          <w:tab w:val="right" w:leader="underscore" w:pos="8640"/>
        </w:tabs>
        <w:spacing w:line="360" w:lineRule="auto"/>
        <w:jc w:val="center"/>
        <w:rPr>
          <w:b/>
          <w:sz w:val="28"/>
          <w:szCs w:val="28"/>
        </w:rPr>
      </w:pPr>
      <w:r w:rsidRPr="00CB646B">
        <w:rPr>
          <w:b/>
          <w:sz w:val="28"/>
          <w:szCs w:val="28"/>
        </w:rPr>
        <w:t>eMERGE Network Proposal for Analysis</w:t>
      </w:r>
    </w:p>
    <w:p w14:paraId="0CE52F99" w14:textId="77777777" w:rsidR="001A238A" w:rsidRPr="00CB646B" w:rsidRDefault="001A238A" w:rsidP="001A238A">
      <w:pPr>
        <w:tabs>
          <w:tab w:val="right" w:leader="underscore" w:pos="8640"/>
        </w:tabs>
        <w:spacing w:line="360" w:lineRule="auto"/>
        <w:jc w:val="center"/>
      </w:pPr>
      <w:r w:rsidRPr="00CB646B">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304"/>
        <w:gridCol w:w="5760"/>
      </w:tblGrid>
      <w:tr w:rsidR="001A238A" w:rsidRPr="00CB646B" w14:paraId="73A28C64" w14:textId="77777777" w:rsidTr="005C05BB">
        <w:tc>
          <w:tcPr>
            <w:tcW w:w="2304" w:type="dxa"/>
            <w:vAlign w:val="center"/>
          </w:tcPr>
          <w:p w14:paraId="4F5FC55E" w14:textId="77777777" w:rsidR="001A238A" w:rsidRPr="00CB646B" w:rsidRDefault="001A238A" w:rsidP="005C05BB">
            <w:pPr>
              <w:rPr>
                <w:b/>
              </w:rPr>
            </w:pPr>
            <w:r w:rsidRPr="00CB646B">
              <w:rPr>
                <w:b/>
              </w:rPr>
              <w:t>Submission Date</w:t>
            </w:r>
          </w:p>
        </w:tc>
        <w:tc>
          <w:tcPr>
            <w:tcW w:w="5760" w:type="dxa"/>
          </w:tcPr>
          <w:p w14:paraId="28237740" w14:textId="7D5DCA72" w:rsidR="001A238A" w:rsidRPr="00CB646B" w:rsidRDefault="005A6612" w:rsidP="005C05BB">
            <w:r>
              <w:t>2/15</w:t>
            </w:r>
            <w:r w:rsidR="001363F8">
              <w:t>/2017</w:t>
            </w:r>
          </w:p>
        </w:tc>
      </w:tr>
      <w:tr w:rsidR="005A6612" w:rsidRPr="00CB646B" w14:paraId="6722BC3B" w14:textId="77777777" w:rsidTr="005C05BB">
        <w:tc>
          <w:tcPr>
            <w:tcW w:w="2304" w:type="dxa"/>
            <w:vAlign w:val="center"/>
          </w:tcPr>
          <w:p w14:paraId="5D757012" w14:textId="7BEFB61B" w:rsidR="005A6612" w:rsidRPr="00CB646B" w:rsidRDefault="005A6612" w:rsidP="005C05BB">
            <w:pPr>
              <w:rPr>
                <w:b/>
              </w:rPr>
            </w:pPr>
            <w:r>
              <w:rPr>
                <w:b/>
              </w:rPr>
              <w:t xml:space="preserve">Reference </w:t>
            </w:r>
          </w:p>
        </w:tc>
        <w:tc>
          <w:tcPr>
            <w:tcW w:w="5760" w:type="dxa"/>
          </w:tcPr>
          <w:p w14:paraId="7D59551A" w14:textId="21EA2FD1" w:rsidR="005A6612" w:rsidRDefault="005A6612" w:rsidP="005C05BB">
            <w:r>
              <w:t>NT215</w:t>
            </w:r>
            <w:bookmarkStart w:id="0" w:name="_GoBack"/>
            <w:bookmarkEnd w:id="0"/>
          </w:p>
        </w:tc>
      </w:tr>
      <w:tr w:rsidR="001A238A" w:rsidRPr="00CB646B" w14:paraId="26ABEA27" w14:textId="77777777" w:rsidTr="005C05BB">
        <w:trPr>
          <w:trHeight w:val="720"/>
        </w:trPr>
        <w:tc>
          <w:tcPr>
            <w:tcW w:w="2304" w:type="dxa"/>
            <w:vAlign w:val="center"/>
          </w:tcPr>
          <w:p w14:paraId="3DF0D6BC" w14:textId="77777777" w:rsidR="001A238A" w:rsidRPr="00CB646B" w:rsidRDefault="001A238A" w:rsidP="005C05BB">
            <w:pPr>
              <w:rPr>
                <w:b/>
              </w:rPr>
            </w:pPr>
            <w:r w:rsidRPr="00CB646B">
              <w:rPr>
                <w:b/>
              </w:rPr>
              <w:t>Project Title</w:t>
            </w:r>
          </w:p>
        </w:tc>
        <w:tc>
          <w:tcPr>
            <w:tcW w:w="5760" w:type="dxa"/>
          </w:tcPr>
          <w:p w14:paraId="5B6AAE41" w14:textId="614545B9" w:rsidR="001A238A" w:rsidRPr="00CB646B" w:rsidRDefault="001A238A" w:rsidP="005C05BB">
            <w:r>
              <w:t xml:space="preserve">EHR Phenotyping of </w:t>
            </w:r>
            <w:r w:rsidRPr="002412C5">
              <w:t>Atopic Dermatitis</w:t>
            </w:r>
            <w:r w:rsidR="00274446">
              <w:t xml:space="preserve"> in Adults</w:t>
            </w:r>
            <w:r w:rsidR="006B3A5C">
              <w:t xml:space="preserve"> using </w:t>
            </w:r>
            <w:r w:rsidR="005D45D9">
              <w:t xml:space="preserve">more detailed data including </w:t>
            </w:r>
            <w:r w:rsidR="0064339E">
              <w:t xml:space="preserve">from </w:t>
            </w:r>
            <w:r w:rsidR="006B3A5C">
              <w:t>NLP</w:t>
            </w:r>
          </w:p>
        </w:tc>
      </w:tr>
      <w:tr w:rsidR="001A238A" w:rsidRPr="00CB646B" w14:paraId="05D2DC87" w14:textId="77777777" w:rsidTr="005C05BB">
        <w:tc>
          <w:tcPr>
            <w:tcW w:w="2304" w:type="dxa"/>
            <w:vAlign w:val="center"/>
          </w:tcPr>
          <w:p w14:paraId="2C429B48" w14:textId="77777777" w:rsidR="001A238A" w:rsidRPr="00CB646B" w:rsidRDefault="001A238A" w:rsidP="005C05BB">
            <w:pPr>
              <w:rPr>
                <w:b/>
              </w:rPr>
            </w:pPr>
            <w:r w:rsidRPr="00CB646B">
              <w:rPr>
                <w:b/>
              </w:rPr>
              <w:t>Tentative Lead Investigator (first author)</w:t>
            </w:r>
          </w:p>
        </w:tc>
        <w:tc>
          <w:tcPr>
            <w:tcW w:w="5760" w:type="dxa"/>
          </w:tcPr>
          <w:p w14:paraId="124BED14" w14:textId="77777777" w:rsidR="001A238A" w:rsidRPr="00CB646B" w:rsidRDefault="00D214BB" w:rsidP="005C05BB">
            <w:r>
              <w:t>Erin</w:t>
            </w:r>
            <w:r w:rsidR="00874F92">
              <w:t xml:space="preserve"> Gustafson</w:t>
            </w:r>
          </w:p>
        </w:tc>
      </w:tr>
      <w:tr w:rsidR="001A238A" w:rsidRPr="00CB646B" w14:paraId="5AD7D3BB" w14:textId="77777777" w:rsidTr="005C05BB">
        <w:tc>
          <w:tcPr>
            <w:tcW w:w="2304" w:type="dxa"/>
            <w:vAlign w:val="center"/>
          </w:tcPr>
          <w:p w14:paraId="0562ECBB" w14:textId="77777777" w:rsidR="001A238A" w:rsidRPr="00CB646B" w:rsidRDefault="001A238A" w:rsidP="005C05BB">
            <w:pPr>
              <w:rPr>
                <w:b/>
              </w:rPr>
            </w:pPr>
            <w:r w:rsidRPr="00CB646B">
              <w:rPr>
                <w:b/>
              </w:rPr>
              <w:t>Tentative Senior Author (last author)</w:t>
            </w:r>
          </w:p>
        </w:tc>
        <w:tc>
          <w:tcPr>
            <w:tcW w:w="5760" w:type="dxa"/>
          </w:tcPr>
          <w:p w14:paraId="3F207290" w14:textId="77777777" w:rsidR="001A238A" w:rsidRPr="00CB646B" w:rsidRDefault="00D214BB" w:rsidP="005C05BB">
            <w:r>
              <w:t>Will Thompson</w:t>
            </w:r>
          </w:p>
        </w:tc>
      </w:tr>
      <w:tr w:rsidR="001A238A" w:rsidRPr="00CB646B" w14:paraId="76D17065" w14:textId="77777777" w:rsidTr="005C05BB">
        <w:tc>
          <w:tcPr>
            <w:tcW w:w="2304" w:type="dxa"/>
            <w:vAlign w:val="center"/>
          </w:tcPr>
          <w:p w14:paraId="24E28979" w14:textId="77777777" w:rsidR="001A238A" w:rsidRPr="00CB646B" w:rsidRDefault="001A238A" w:rsidP="005C05BB">
            <w:pPr>
              <w:rPr>
                <w:b/>
              </w:rPr>
            </w:pPr>
            <w:r w:rsidRPr="00CB646B">
              <w:rPr>
                <w:b/>
              </w:rPr>
              <w:t xml:space="preserve">All other authors </w:t>
            </w:r>
          </w:p>
        </w:tc>
        <w:tc>
          <w:tcPr>
            <w:tcW w:w="5760" w:type="dxa"/>
          </w:tcPr>
          <w:p w14:paraId="21C0A6F3" w14:textId="74DD1DED" w:rsidR="00D214BB" w:rsidRPr="00CB646B" w:rsidRDefault="00D214BB" w:rsidP="005C05BB">
            <w:r>
              <w:t>Firas</w:t>
            </w:r>
            <w:r w:rsidR="00874F92">
              <w:t xml:space="preserve"> Wehbe</w:t>
            </w:r>
            <w:r>
              <w:t>, Jonathan Silverberg,</w:t>
            </w:r>
            <w:r w:rsidR="0000793E">
              <w:t xml:space="preserve"> Jen</w:t>
            </w:r>
            <w:r w:rsidR="001C4771">
              <w:t xml:space="preserve"> Pacheco</w:t>
            </w:r>
            <w:r w:rsidR="0000793E">
              <w:t>,</w:t>
            </w:r>
            <w:r>
              <w:t xml:space="preserve"> Abel</w:t>
            </w:r>
            <w:r w:rsidR="001C4771">
              <w:t xml:space="preserve"> Kho</w:t>
            </w:r>
            <w:r w:rsidR="00874F92">
              <w:t>, Kathryn Jackson</w:t>
            </w:r>
            <w:r w:rsidR="00CC3A51">
              <w:t>, Al'ona Furmanchuk</w:t>
            </w:r>
          </w:p>
        </w:tc>
      </w:tr>
      <w:tr w:rsidR="001A238A" w:rsidRPr="00CB646B" w14:paraId="6D018AF0" w14:textId="77777777" w:rsidTr="005C05BB">
        <w:trPr>
          <w:trHeight w:val="864"/>
        </w:trPr>
        <w:tc>
          <w:tcPr>
            <w:tcW w:w="2304" w:type="dxa"/>
            <w:vAlign w:val="center"/>
          </w:tcPr>
          <w:p w14:paraId="5BD1D4C4" w14:textId="77777777" w:rsidR="001A238A" w:rsidRPr="00CB646B" w:rsidRDefault="001A238A" w:rsidP="005C05BB">
            <w:pPr>
              <w:rPr>
                <w:b/>
              </w:rPr>
            </w:pPr>
            <w:r w:rsidRPr="00CB646B">
              <w:rPr>
                <w:b/>
              </w:rPr>
              <w:t>Sites Involved</w:t>
            </w:r>
          </w:p>
        </w:tc>
        <w:tc>
          <w:tcPr>
            <w:tcW w:w="5760" w:type="dxa"/>
          </w:tcPr>
          <w:p w14:paraId="1BDC49A2" w14:textId="77777777" w:rsidR="001A238A" w:rsidRPr="00CB646B" w:rsidRDefault="00D214BB" w:rsidP="005C05BB">
            <w:r>
              <w:t>Northwestern, other interested eMERGE sites</w:t>
            </w:r>
          </w:p>
        </w:tc>
      </w:tr>
      <w:tr w:rsidR="001A238A" w:rsidRPr="00CB646B" w14:paraId="242BA8DC" w14:textId="77777777" w:rsidTr="005C05BB">
        <w:trPr>
          <w:trHeight w:val="864"/>
        </w:trPr>
        <w:tc>
          <w:tcPr>
            <w:tcW w:w="2304" w:type="dxa"/>
            <w:vAlign w:val="center"/>
          </w:tcPr>
          <w:p w14:paraId="6F3C1724" w14:textId="77777777" w:rsidR="001A238A" w:rsidRPr="00CB646B" w:rsidRDefault="001A238A" w:rsidP="005C05BB">
            <w:pPr>
              <w:rPr>
                <w:b/>
              </w:rPr>
            </w:pPr>
            <w:r w:rsidRPr="00CB646B">
              <w:rPr>
                <w:b/>
              </w:rPr>
              <w:t>Background / Significance</w:t>
            </w:r>
          </w:p>
        </w:tc>
        <w:tc>
          <w:tcPr>
            <w:tcW w:w="5760" w:type="dxa"/>
          </w:tcPr>
          <w:p w14:paraId="28CADB9D" w14:textId="77777777" w:rsidR="00EA68F0" w:rsidRDefault="00FD36BE" w:rsidP="00EA68F0">
            <w:pPr>
              <w:pStyle w:val="NormalWeb"/>
              <w:shd w:val="clear" w:color="auto" w:fill="FFFFFF"/>
              <w:rPr>
                <w:rFonts w:eastAsia="Times New Roman"/>
              </w:rPr>
            </w:pPr>
            <w:r>
              <w:rPr>
                <w:rFonts w:ascii="Calibri" w:hAnsi="Calibri"/>
                <w:color w:val="000000"/>
              </w:rPr>
              <w:t>A</w:t>
            </w:r>
            <w:r w:rsidRPr="00FD36BE">
              <w:rPr>
                <w:rFonts w:eastAsia="Times New Roman"/>
              </w:rPr>
              <w:t>topic dermatitis (AD) is an autosomal dominant disorder that leads to intense itch and diffuse rash. The US prevalence of AD is 7-10% in adults and 10-20% in children. AD is associated with higher rates of allergic disease, including asthma, hay fever and food allergy, as well as multiple non-allergic comorbidities, including sleep disturbances, infections, depression, attention-deficit hyperactivity disorder, obesity, cardiovascular disease, osteoporosis and fractures, etc. AD typically starts in early childhood and disease activity persists into adulthood in &gt;80% of patients. There is also a subset of patients who first develo</w:t>
            </w:r>
            <w:r w:rsidR="00EA68F0">
              <w:rPr>
                <w:rFonts w:eastAsia="Times New Roman"/>
              </w:rPr>
              <w:t>p clinical AD during adulthood.</w:t>
            </w:r>
          </w:p>
          <w:p w14:paraId="0A0DEA6B" w14:textId="77777777" w:rsidR="00EA68F0" w:rsidRDefault="00EA68F0" w:rsidP="00EA68F0">
            <w:pPr>
              <w:pStyle w:val="NormalWeb"/>
              <w:shd w:val="clear" w:color="auto" w:fill="FFFFFF"/>
              <w:rPr>
                <w:rFonts w:eastAsia="Times New Roman"/>
              </w:rPr>
            </w:pPr>
          </w:p>
          <w:p w14:paraId="7AF1691D" w14:textId="77777777" w:rsidR="00EA68F0" w:rsidRDefault="00FD36BE" w:rsidP="00EA68F0">
            <w:pPr>
              <w:pStyle w:val="NormalWeb"/>
              <w:shd w:val="clear" w:color="auto" w:fill="FFFFFF"/>
              <w:rPr>
                <w:rFonts w:eastAsia="Times New Roman"/>
              </w:rPr>
            </w:pPr>
            <w:r w:rsidRPr="00FD36BE">
              <w:rPr>
                <w:rFonts w:eastAsia="Times New Roman"/>
              </w:rPr>
              <w:t>The diagnosis of AD in adults</w:t>
            </w:r>
            <w:r w:rsidR="005B51E5">
              <w:rPr>
                <w:rFonts w:eastAsia="Times New Roman"/>
              </w:rPr>
              <w:t xml:space="preserve"> </w:t>
            </w:r>
            <w:r w:rsidRPr="00FD36BE">
              <w:rPr>
                <w:rFonts w:eastAsia="Times New Roman"/>
              </w:rPr>
              <w:t>i</w:t>
            </w:r>
            <w:r w:rsidR="005B51E5">
              <w:rPr>
                <w:rFonts w:eastAsia="Times New Roman"/>
              </w:rPr>
              <w:t>s</w:t>
            </w:r>
            <w:r w:rsidRPr="00FD36BE">
              <w:rPr>
                <w:rFonts w:eastAsia="Times New Roman"/>
              </w:rPr>
              <w:t xml:space="preserve"> often very challenging. First, the distribution of AD lesions tends to differ from that of children.  Second, it can be difficult to distinguish AD from other disorders, such as allergic contact dermatitis and cutaneous T cell lymphoma. Third, conventional histopathologic evaluation of AD lesions is often imprecise and cannot distinguish between AD and other types of eczema. Moreover, there is a subset of AD patients are higher risk for cardiovascular and cerebrovascular disease and a variety of other comorbidities. </w:t>
            </w:r>
          </w:p>
          <w:p w14:paraId="1D658419" w14:textId="77777777" w:rsidR="00EA68F0" w:rsidRDefault="00EA68F0" w:rsidP="00EA68F0">
            <w:pPr>
              <w:pStyle w:val="NormalWeb"/>
              <w:shd w:val="clear" w:color="auto" w:fill="FFFFFF"/>
              <w:rPr>
                <w:rFonts w:eastAsia="Times New Roman"/>
              </w:rPr>
            </w:pPr>
          </w:p>
          <w:p w14:paraId="1CD4A0DB" w14:textId="77993C87" w:rsidR="001A238A" w:rsidRPr="00EA68F0" w:rsidRDefault="008B490E" w:rsidP="008C3ADF">
            <w:pPr>
              <w:pStyle w:val="NormalWeb"/>
              <w:shd w:val="clear" w:color="auto" w:fill="FFFFFF"/>
              <w:rPr>
                <w:rFonts w:eastAsia="Times New Roman"/>
              </w:rPr>
            </w:pPr>
            <w:r>
              <w:rPr>
                <w:rFonts w:eastAsia="Times New Roman"/>
              </w:rPr>
              <w:t xml:space="preserve">In eMERGE phase II an </w:t>
            </w:r>
            <w:r w:rsidR="00131B6D">
              <w:rPr>
                <w:rFonts w:eastAsia="Times New Roman"/>
              </w:rPr>
              <w:t>AD</w:t>
            </w:r>
            <w:r>
              <w:rPr>
                <w:rFonts w:eastAsia="Times New Roman"/>
              </w:rPr>
              <w:t xml:space="preserve"> </w:t>
            </w:r>
            <w:r w:rsidR="000E6B23">
              <w:rPr>
                <w:rFonts w:eastAsia="Times New Roman"/>
              </w:rPr>
              <w:t xml:space="preserve">EHR </w:t>
            </w:r>
            <w:r>
              <w:rPr>
                <w:rFonts w:eastAsia="Times New Roman"/>
              </w:rPr>
              <w:t>algorithm based on 1 ICD-9 diagnosis code (</w:t>
            </w:r>
            <w:r w:rsidRPr="008B490E">
              <w:rPr>
                <w:rFonts w:eastAsia="Times New Roman"/>
              </w:rPr>
              <w:t>691.8</w:t>
            </w:r>
            <w:r>
              <w:rPr>
                <w:rFonts w:eastAsia="Times New Roman"/>
              </w:rPr>
              <w:t xml:space="preserve">) and medications was </w:t>
            </w:r>
            <w:r w:rsidR="00603C8C">
              <w:rPr>
                <w:rFonts w:eastAsia="Times New Roman"/>
              </w:rPr>
              <w:t xml:space="preserve">developed using a pediatric population and </w:t>
            </w:r>
            <w:r>
              <w:rPr>
                <w:rFonts w:eastAsia="Times New Roman"/>
              </w:rPr>
              <w:t>used</w:t>
            </w:r>
            <w:r w:rsidR="00603C8C">
              <w:rPr>
                <w:rFonts w:eastAsia="Times New Roman"/>
              </w:rPr>
              <w:t xml:space="preserve"> by most </w:t>
            </w:r>
            <w:r w:rsidR="00603C8C">
              <w:rPr>
                <w:rFonts w:eastAsia="Times New Roman"/>
              </w:rPr>
              <w:lastRenderedPageBreak/>
              <w:t>sites</w:t>
            </w:r>
            <w:r w:rsidR="00AF2E29">
              <w:rPr>
                <w:rFonts w:eastAsia="Times New Roman"/>
              </w:rPr>
              <w:t>,</w:t>
            </w:r>
            <w:r>
              <w:rPr>
                <w:rFonts w:eastAsia="Times New Roman"/>
              </w:rPr>
              <w:t xml:space="preserve"> but did not result in many adult subjects</w:t>
            </w:r>
            <w:r w:rsidR="00FD745C">
              <w:rPr>
                <w:rFonts w:eastAsia="Times New Roman"/>
              </w:rPr>
              <w:t xml:space="preserve"> (n=</w:t>
            </w:r>
            <w:r w:rsidR="001712CC">
              <w:rPr>
                <w:rFonts w:eastAsia="Times New Roman"/>
              </w:rPr>
              <w:t>384</w:t>
            </w:r>
            <w:r w:rsidR="00485EB4">
              <w:rPr>
                <w:rFonts w:eastAsia="Times New Roman"/>
              </w:rPr>
              <w:t xml:space="preserve"> across all </w:t>
            </w:r>
            <w:r w:rsidR="001712CC">
              <w:rPr>
                <w:rFonts w:eastAsia="Times New Roman"/>
              </w:rPr>
              <w:t xml:space="preserve">adult </w:t>
            </w:r>
            <w:r w:rsidR="00485EB4">
              <w:rPr>
                <w:rFonts w:eastAsia="Times New Roman"/>
              </w:rPr>
              <w:t>sites</w:t>
            </w:r>
            <w:r w:rsidR="00FD745C">
              <w:rPr>
                <w:rFonts w:eastAsia="Times New Roman"/>
              </w:rPr>
              <w:t xml:space="preserve">) </w:t>
            </w:r>
            <w:r>
              <w:rPr>
                <w:rFonts w:eastAsia="Times New Roman"/>
              </w:rPr>
              <w:t>being selected</w:t>
            </w:r>
            <w:r w:rsidR="004E485B">
              <w:rPr>
                <w:rFonts w:eastAsia="Times New Roman"/>
              </w:rPr>
              <w:t>.</w:t>
            </w:r>
            <w:r w:rsidR="008C3ADF">
              <w:rPr>
                <w:rFonts w:eastAsia="Times New Roman"/>
              </w:rPr>
              <w:t xml:space="preserve">  This is partly due to the low sensitivity of that 1 code and the under-utilization of systemic agents, in adults with AD.</w:t>
            </w:r>
            <w:r w:rsidR="004E485B">
              <w:rPr>
                <w:rFonts w:eastAsia="Times New Roman"/>
              </w:rPr>
              <w:t xml:space="preserve"> </w:t>
            </w:r>
            <w:r w:rsidR="002619F0">
              <w:rPr>
                <w:rFonts w:eastAsia="Times New Roman"/>
              </w:rPr>
              <w:t xml:space="preserve">Thus, we </w:t>
            </w:r>
            <w:r w:rsidR="00892D21">
              <w:rPr>
                <w:rFonts w:eastAsia="Times New Roman"/>
              </w:rPr>
              <w:t>will conduct</w:t>
            </w:r>
            <w:r w:rsidR="00FD36BE" w:rsidRPr="00FD36BE">
              <w:rPr>
                <w:rFonts w:eastAsia="Times New Roman"/>
              </w:rPr>
              <w:t xml:space="preserve"> </w:t>
            </w:r>
            <w:r>
              <w:rPr>
                <w:rFonts w:eastAsia="Times New Roman"/>
              </w:rPr>
              <w:t xml:space="preserve">further </w:t>
            </w:r>
            <w:r w:rsidR="00FD36BE" w:rsidRPr="00FD36BE">
              <w:rPr>
                <w:rFonts w:eastAsia="Times New Roman"/>
              </w:rPr>
              <w:t xml:space="preserve">investigation </w:t>
            </w:r>
            <w:r>
              <w:rPr>
                <w:rFonts w:eastAsia="Times New Roman"/>
              </w:rPr>
              <w:t xml:space="preserve">using more </w:t>
            </w:r>
            <w:r w:rsidR="0031780D">
              <w:rPr>
                <w:rFonts w:eastAsia="Times New Roman"/>
              </w:rPr>
              <w:t xml:space="preserve">detailed </w:t>
            </w:r>
            <w:r w:rsidR="004E485B">
              <w:rPr>
                <w:rFonts w:eastAsia="Times New Roman"/>
              </w:rPr>
              <w:t>clinical data from the EHR, including NLP of clinical notes</w:t>
            </w:r>
            <w:r>
              <w:rPr>
                <w:rFonts w:eastAsia="Times New Roman"/>
              </w:rPr>
              <w:t xml:space="preserve">, </w:t>
            </w:r>
            <w:r w:rsidR="002619F0">
              <w:rPr>
                <w:rFonts w:eastAsia="Times New Roman"/>
              </w:rPr>
              <w:t>to</w:t>
            </w:r>
            <w:r w:rsidR="00FD36BE" w:rsidRPr="00FD36BE">
              <w:rPr>
                <w:rFonts w:eastAsia="Times New Roman"/>
              </w:rPr>
              <w:t xml:space="preserve"> potentially improve the </w:t>
            </w:r>
            <w:r w:rsidR="004A1209">
              <w:rPr>
                <w:rFonts w:eastAsia="Times New Roman"/>
              </w:rPr>
              <w:t xml:space="preserve">identification of </w:t>
            </w:r>
            <w:r w:rsidR="00FD36BE" w:rsidRPr="00FD36BE">
              <w:rPr>
                <w:rFonts w:eastAsia="Times New Roman"/>
              </w:rPr>
              <w:t xml:space="preserve">AD in adults. </w:t>
            </w:r>
          </w:p>
        </w:tc>
      </w:tr>
      <w:tr w:rsidR="001A238A" w:rsidRPr="00CB646B" w14:paraId="525FEEC6" w14:textId="77777777" w:rsidTr="005C05BB">
        <w:trPr>
          <w:trHeight w:val="864"/>
        </w:trPr>
        <w:tc>
          <w:tcPr>
            <w:tcW w:w="2304" w:type="dxa"/>
            <w:vAlign w:val="center"/>
          </w:tcPr>
          <w:p w14:paraId="39F9B559" w14:textId="77777777" w:rsidR="001A238A" w:rsidRPr="00CB646B" w:rsidRDefault="001A238A" w:rsidP="005C05BB">
            <w:pPr>
              <w:rPr>
                <w:b/>
              </w:rPr>
            </w:pPr>
            <w:r w:rsidRPr="00CB646B">
              <w:rPr>
                <w:b/>
              </w:rPr>
              <w:lastRenderedPageBreak/>
              <w:t>Outline of Project</w:t>
            </w:r>
          </w:p>
        </w:tc>
        <w:tc>
          <w:tcPr>
            <w:tcW w:w="5760" w:type="dxa"/>
          </w:tcPr>
          <w:p w14:paraId="7449C877" w14:textId="672129CA" w:rsidR="008F7F4D" w:rsidRPr="001C4771" w:rsidRDefault="002768A6" w:rsidP="003C3535">
            <w:pPr>
              <w:pStyle w:val="ListParagraph"/>
              <w:numPr>
                <w:ilvl w:val="0"/>
                <w:numId w:val="1"/>
              </w:numPr>
            </w:pPr>
            <w:r>
              <w:t>Identify</w:t>
            </w:r>
            <w:r w:rsidR="008F7F4D">
              <w:t xml:space="preserve"> </w:t>
            </w:r>
            <w:r w:rsidR="008F7F4D" w:rsidRPr="001C4771">
              <w:t>potential A.D. patients</w:t>
            </w:r>
            <w:r>
              <w:t xml:space="preserve"> by</w:t>
            </w:r>
            <w:r w:rsidR="008F7F4D">
              <w:t xml:space="preserve"> using</w:t>
            </w:r>
            <w:r>
              <w:t xml:space="preserve"> ICD </w:t>
            </w:r>
            <w:r w:rsidR="00A81A47">
              <w:t xml:space="preserve">diagnosis </w:t>
            </w:r>
            <w:r w:rsidR="002412C5" w:rsidRPr="001C4771">
              <w:t>codes (</w:t>
            </w:r>
            <w:r w:rsidRPr="001C4771">
              <w:t>ICD-9</w:t>
            </w:r>
            <w:r w:rsidR="008F7F4D">
              <w:t>-CM</w:t>
            </w:r>
            <w:r w:rsidRPr="001C4771">
              <w:t xml:space="preserve"> </w:t>
            </w:r>
            <w:r>
              <w:t>codes</w:t>
            </w:r>
            <w:r w:rsidR="008F7F4D">
              <w:t>:</w:t>
            </w:r>
            <w:r>
              <w:t xml:space="preserve"> </w:t>
            </w:r>
            <w:r w:rsidR="001C27EB" w:rsidRPr="008B490E">
              <w:t>691.8</w:t>
            </w:r>
            <w:r w:rsidR="008F7F4D">
              <w:t>,</w:t>
            </w:r>
            <w:r w:rsidR="002412C5" w:rsidRPr="001C4771">
              <w:t xml:space="preserve"> </w:t>
            </w:r>
            <w:r w:rsidR="00090E37">
              <w:t>692.9</w:t>
            </w:r>
            <w:r w:rsidR="008F7F4D">
              <w:t xml:space="preserve"> and ICD-10-CM codes: L20, L20.0, L20.8, L20.81- L20.84, L20.89, L20.9, L30.9</w:t>
            </w:r>
          </w:p>
          <w:p w14:paraId="3E95771E" w14:textId="3A4BA71D" w:rsidR="002412C5" w:rsidRPr="001C4771" w:rsidRDefault="00985E86" w:rsidP="002412C5">
            <w:pPr>
              <w:pStyle w:val="ListParagraph"/>
              <w:numPr>
                <w:ilvl w:val="0"/>
                <w:numId w:val="1"/>
              </w:numPr>
            </w:pPr>
            <w:r>
              <w:t xml:space="preserve">Create a training &amp; </w:t>
            </w:r>
            <w:r w:rsidR="002412C5" w:rsidRPr="001C4771">
              <w:t>testing data set</w:t>
            </w:r>
            <w:r w:rsidR="003C3535">
              <w:t>s</w:t>
            </w:r>
            <w:r w:rsidR="002412C5" w:rsidRPr="001C4771">
              <w:t xml:space="preserve"> of the AD signs and symptoms of those patients by chart review (completed at NU</w:t>
            </w:r>
            <w:r w:rsidR="00950D34">
              <w:t xml:space="preserve"> for ~</w:t>
            </w:r>
            <w:r w:rsidR="00175A6D">
              <w:t>5</w:t>
            </w:r>
            <w:r w:rsidR="00950D34">
              <w:t>00 pts</w:t>
            </w:r>
            <w:r w:rsidR="002412C5" w:rsidRPr="001C4771">
              <w:t>)</w:t>
            </w:r>
          </w:p>
          <w:p w14:paraId="070791DE" w14:textId="4D5C4232" w:rsidR="002412C5" w:rsidRPr="001C4771" w:rsidRDefault="0016319C" w:rsidP="00116541">
            <w:pPr>
              <w:pStyle w:val="ListParagraph"/>
              <w:numPr>
                <w:ilvl w:val="0"/>
                <w:numId w:val="1"/>
              </w:numPr>
            </w:pPr>
            <w:r>
              <w:t>Use</w:t>
            </w:r>
            <w:r w:rsidR="002412C5" w:rsidRPr="001C4771">
              <w:t xml:space="preserve"> 1 or more existing published criteria (</w:t>
            </w:r>
            <w:r w:rsidR="00B16D3B">
              <w:t xml:space="preserve">such as those by </w:t>
            </w:r>
            <w:r w:rsidR="00116541">
              <w:t>H</w:t>
            </w:r>
            <w:r w:rsidR="00116541" w:rsidRPr="00116541">
              <w:t xml:space="preserve">anifin </w:t>
            </w:r>
            <w:r w:rsidR="00116541">
              <w:t>&amp; R</w:t>
            </w:r>
            <w:r w:rsidR="00116541" w:rsidRPr="00116541">
              <w:t>ajka</w:t>
            </w:r>
            <w:r w:rsidR="00B16D3B">
              <w:t xml:space="preserve">, </w:t>
            </w:r>
            <w:r w:rsidR="0005246F">
              <w:t xml:space="preserve">the </w:t>
            </w:r>
            <w:r w:rsidR="00B16D3B">
              <w:t>U.K. Working Party, etc.</w:t>
            </w:r>
            <w:r w:rsidR="002768A6">
              <w:t>) to mark th</w:t>
            </w:r>
            <w:r w:rsidR="002412C5" w:rsidRPr="001C4771">
              <w:t xml:space="preserve">e </w:t>
            </w:r>
            <w:r w:rsidRPr="001C4771">
              <w:t xml:space="preserve">reviewed </w:t>
            </w:r>
            <w:r w:rsidR="002412C5" w:rsidRPr="001C4771">
              <w:t xml:space="preserve">patients </w:t>
            </w:r>
            <w:r w:rsidR="009B2F71">
              <w:t>as</w:t>
            </w:r>
            <w:r w:rsidR="002412C5" w:rsidRPr="001C4771">
              <w:t xml:space="preserve"> </w:t>
            </w:r>
            <w:r w:rsidR="00282AA7">
              <w:t>definite</w:t>
            </w:r>
            <w:r w:rsidR="009B2F71">
              <w:t>ly</w:t>
            </w:r>
            <w:r w:rsidR="00282AA7">
              <w:t xml:space="preserve">, </w:t>
            </w:r>
            <w:r w:rsidR="009B2F71">
              <w:t>probably</w:t>
            </w:r>
            <w:r w:rsidR="00282AA7">
              <w:t xml:space="preserve">, </w:t>
            </w:r>
            <w:r w:rsidR="002412C5" w:rsidRPr="001C4771">
              <w:t xml:space="preserve">or </w:t>
            </w:r>
            <w:r w:rsidR="00D60F62">
              <w:t xml:space="preserve">likely </w:t>
            </w:r>
            <w:r w:rsidR="00282AA7">
              <w:t>no</w:t>
            </w:r>
            <w:r w:rsidR="00D60F62">
              <w:t>t</w:t>
            </w:r>
            <w:r w:rsidR="00282AA7">
              <w:t xml:space="preserve"> </w:t>
            </w:r>
            <w:r w:rsidR="009B2F71">
              <w:t xml:space="preserve">having </w:t>
            </w:r>
            <w:r w:rsidR="002412C5" w:rsidRPr="001C4771">
              <w:t>AD</w:t>
            </w:r>
          </w:p>
          <w:p w14:paraId="3311F139" w14:textId="62BF351F" w:rsidR="001A238A" w:rsidRPr="00CB646B" w:rsidRDefault="002412C5" w:rsidP="00175A6D">
            <w:pPr>
              <w:pStyle w:val="ListParagraph"/>
              <w:numPr>
                <w:ilvl w:val="0"/>
                <w:numId w:val="1"/>
              </w:numPr>
            </w:pPr>
            <w:r w:rsidRPr="001C4771">
              <w:t>Use NLP</w:t>
            </w:r>
            <w:r w:rsidR="00525358">
              <w:t xml:space="preserve"> of</w:t>
            </w:r>
            <w:r w:rsidRPr="001C4771">
              <w:t xml:space="preserve"> </w:t>
            </w:r>
            <w:r w:rsidR="00D75548">
              <w:t xml:space="preserve">encounter notes, </w:t>
            </w:r>
            <w:r w:rsidRPr="001C4771">
              <w:t xml:space="preserve">and possibly geocoding, to extract clinical and environmental factors related to </w:t>
            </w:r>
            <w:r w:rsidR="00922C27" w:rsidRPr="001C4771">
              <w:t>AD</w:t>
            </w:r>
            <w:r w:rsidRPr="001C4771">
              <w:t xml:space="preserve">, and to extract </w:t>
            </w:r>
            <w:r w:rsidR="00922C27" w:rsidRPr="001C4771">
              <w:t>AD</w:t>
            </w:r>
            <w:r w:rsidRPr="001C4771">
              <w:t xml:space="preserve"> </w:t>
            </w:r>
            <w:r w:rsidR="002768A6">
              <w:t xml:space="preserve">signs, </w:t>
            </w:r>
            <w:r w:rsidR="00175A6D">
              <w:t>symptoms and sub-types.</w:t>
            </w:r>
          </w:p>
        </w:tc>
      </w:tr>
      <w:tr w:rsidR="001A238A" w:rsidRPr="00CB646B" w14:paraId="101533BD" w14:textId="77777777" w:rsidTr="005C05BB">
        <w:trPr>
          <w:trHeight w:val="854"/>
        </w:trPr>
        <w:tc>
          <w:tcPr>
            <w:tcW w:w="2304" w:type="dxa"/>
            <w:vAlign w:val="center"/>
          </w:tcPr>
          <w:p w14:paraId="4557FE51" w14:textId="77777777" w:rsidR="001A238A" w:rsidRPr="00CB646B" w:rsidRDefault="001A238A" w:rsidP="005C05BB">
            <w:pPr>
              <w:rPr>
                <w:b/>
              </w:rPr>
            </w:pPr>
            <w:r w:rsidRPr="00CB646B">
              <w:rPr>
                <w:b/>
              </w:rPr>
              <w:t>Desired</w:t>
            </w:r>
          </w:p>
          <w:p w14:paraId="5BC441D7" w14:textId="77777777" w:rsidR="001A238A" w:rsidRPr="00CB646B" w:rsidRDefault="001A238A" w:rsidP="005C05BB">
            <w:pPr>
              <w:rPr>
                <w:b/>
              </w:rPr>
            </w:pPr>
            <w:r w:rsidRPr="00CB646B">
              <w:rPr>
                <w:b/>
              </w:rPr>
              <w:t>Variables (essential for analysis</w:t>
            </w:r>
          </w:p>
          <w:p w14:paraId="131EBBD6" w14:textId="77777777" w:rsidR="001A238A" w:rsidRPr="00CB646B" w:rsidRDefault="001A238A" w:rsidP="005C05BB">
            <w:pPr>
              <w:rPr>
                <w:b/>
              </w:rPr>
            </w:pPr>
            <w:r w:rsidRPr="00CB646B">
              <w:rPr>
                <w:b/>
              </w:rPr>
              <w:t>indicated by *)</w:t>
            </w:r>
          </w:p>
        </w:tc>
        <w:tc>
          <w:tcPr>
            <w:tcW w:w="5760" w:type="dxa"/>
          </w:tcPr>
          <w:p w14:paraId="1D18B558" w14:textId="77777777" w:rsidR="00595C96" w:rsidRPr="00595C96" w:rsidRDefault="00595C96" w:rsidP="00595C96">
            <w:pPr>
              <w:pStyle w:val="ListParagraph"/>
              <w:numPr>
                <w:ilvl w:val="0"/>
                <w:numId w:val="2"/>
              </w:numPr>
            </w:pPr>
            <w:r>
              <w:rPr>
                <w:color w:val="000000"/>
              </w:rPr>
              <w:t>*AD signs, symptoms, and severity</w:t>
            </w:r>
          </w:p>
          <w:p w14:paraId="57F1B813" w14:textId="6B149F2B" w:rsidR="00595C96" w:rsidRPr="003219B2" w:rsidRDefault="003219B2" w:rsidP="00595C96">
            <w:pPr>
              <w:pStyle w:val="ListParagraph"/>
              <w:numPr>
                <w:ilvl w:val="0"/>
                <w:numId w:val="2"/>
              </w:numPr>
            </w:pPr>
            <w:r>
              <w:rPr>
                <w:color w:val="000000"/>
              </w:rPr>
              <w:t>C</w:t>
            </w:r>
            <w:r w:rsidR="00595C96" w:rsidRPr="003219B2">
              <w:rPr>
                <w:color w:val="000000"/>
              </w:rPr>
              <w:t>omorbiditie</w:t>
            </w:r>
            <w:r>
              <w:rPr>
                <w:color w:val="000000"/>
              </w:rPr>
              <w:t>s</w:t>
            </w:r>
            <w:r w:rsidR="00E541EF">
              <w:rPr>
                <w:color w:val="000000"/>
              </w:rPr>
              <w:t xml:space="preserve"> (by ICD diagnosis codes)</w:t>
            </w:r>
          </w:p>
          <w:p w14:paraId="6F2F9933" w14:textId="77777777" w:rsidR="001A238A" w:rsidRPr="00CB646B" w:rsidRDefault="00595C96" w:rsidP="00595C96">
            <w:pPr>
              <w:pStyle w:val="ListParagraph"/>
              <w:numPr>
                <w:ilvl w:val="0"/>
                <w:numId w:val="2"/>
              </w:numPr>
            </w:pPr>
            <w:r>
              <w:rPr>
                <w:color w:val="000000"/>
              </w:rPr>
              <w:t>*Treatments including moisturizers, topical anti-inflammatories and then UVB, cyclosporine and methotrexate</w:t>
            </w:r>
          </w:p>
        </w:tc>
      </w:tr>
      <w:tr w:rsidR="001A238A" w:rsidRPr="00CB646B" w14:paraId="0F2D5534" w14:textId="77777777" w:rsidTr="005C05BB">
        <w:trPr>
          <w:trHeight w:val="1205"/>
        </w:trPr>
        <w:tc>
          <w:tcPr>
            <w:tcW w:w="2304" w:type="dxa"/>
            <w:vAlign w:val="center"/>
          </w:tcPr>
          <w:p w14:paraId="186E9707" w14:textId="77777777" w:rsidR="001A238A" w:rsidRPr="00CB646B" w:rsidRDefault="001A238A" w:rsidP="005C05BB">
            <w:pPr>
              <w:rPr>
                <w:b/>
              </w:rPr>
            </w:pPr>
            <w:r w:rsidRPr="00CB646B">
              <w:rPr>
                <w:b/>
              </w:rPr>
              <w:t>Desired data</w:t>
            </w:r>
          </w:p>
        </w:tc>
        <w:tc>
          <w:tcPr>
            <w:tcW w:w="5760" w:type="dxa"/>
          </w:tcPr>
          <w:p w14:paraId="65A4B850" w14:textId="77777777" w:rsidR="004C4D95" w:rsidRPr="004C4D95" w:rsidRDefault="004C4D95" w:rsidP="00595C96">
            <w:pPr>
              <w:pStyle w:val="ListParagraph"/>
              <w:numPr>
                <w:ilvl w:val="0"/>
                <w:numId w:val="3"/>
              </w:numPr>
            </w:pPr>
            <w:r>
              <w:t>*demographics</w:t>
            </w:r>
          </w:p>
          <w:p w14:paraId="7B3FCDEB" w14:textId="77777777" w:rsidR="00595C96" w:rsidRPr="00595C96" w:rsidRDefault="00595C96" w:rsidP="00595C96">
            <w:pPr>
              <w:pStyle w:val="ListParagraph"/>
              <w:numPr>
                <w:ilvl w:val="0"/>
                <w:numId w:val="3"/>
              </w:numPr>
            </w:pPr>
            <w:r>
              <w:rPr>
                <w:color w:val="000000"/>
              </w:rPr>
              <w:t>*AD severity</w:t>
            </w:r>
            <w:r w:rsidR="00A03589">
              <w:rPr>
                <w:color w:val="000000"/>
              </w:rPr>
              <w:t xml:space="preserve"> &amp; sub-type</w:t>
            </w:r>
          </w:p>
          <w:p w14:paraId="59CBB00C" w14:textId="77777777" w:rsidR="00595C96" w:rsidRPr="00595C96" w:rsidRDefault="00595C96" w:rsidP="00595C96">
            <w:pPr>
              <w:pStyle w:val="ListParagraph"/>
              <w:numPr>
                <w:ilvl w:val="0"/>
                <w:numId w:val="3"/>
              </w:numPr>
            </w:pPr>
            <w:r>
              <w:rPr>
                <w:color w:val="000000"/>
              </w:rPr>
              <w:t xml:space="preserve">comorbidities </w:t>
            </w:r>
          </w:p>
          <w:p w14:paraId="762DA9FA" w14:textId="77777777" w:rsidR="001A238A" w:rsidRPr="004C4D95" w:rsidRDefault="00595C96" w:rsidP="00595C96">
            <w:pPr>
              <w:pStyle w:val="ListParagraph"/>
              <w:numPr>
                <w:ilvl w:val="0"/>
                <w:numId w:val="3"/>
              </w:numPr>
            </w:pPr>
            <w:r w:rsidRPr="00595C96">
              <w:rPr>
                <w:color w:val="000000"/>
              </w:rPr>
              <w:t>*Treatments including moisturizers, topical anti-inflammatories and then UVB, cyclosporine and methotrexate</w:t>
            </w:r>
          </w:p>
          <w:p w14:paraId="50045D15" w14:textId="36D5CCA0" w:rsidR="00E541EF" w:rsidRPr="00E541EF" w:rsidRDefault="00BE7B4E" w:rsidP="00E541EF">
            <w:pPr>
              <w:pStyle w:val="ListParagraph"/>
              <w:numPr>
                <w:ilvl w:val="0"/>
                <w:numId w:val="3"/>
              </w:numPr>
            </w:pPr>
            <w:r>
              <w:rPr>
                <w:color w:val="000000"/>
              </w:rPr>
              <w:t>*</w:t>
            </w:r>
            <w:r w:rsidR="00E541EF">
              <w:rPr>
                <w:color w:val="000000"/>
              </w:rPr>
              <w:t>AD signs/symptoms, medical history, &amp; other relevant data extracted via NLP (a portable program will be developed by NU)</w:t>
            </w:r>
          </w:p>
          <w:p w14:paraId="50DED20E" w14:textId="234959BD" w:rsidR="004C4D95" w:rsidRPr="00CB646B" w:rsidRDefault="004C4D95" w:rsidP="00595C96">
            <w:pPr>
              <w:pStyle w:val="ListParagraph"/>
              <w:numPr>
                <w:ilvl w:val="0"/>
                <w:numId w:val="3"/>
              </w:numPr>
            </w:pPr>
            <w:r>
              <w:rPr>
                <w:color w:val="000000"/>
              </w:rPr>
              <w:t>Geocoded data</w:t>
            </w:r>
          </w:p>
        </w:tc>
      </w:tr>
      <w:tr w:rsidR="001A238A" w:rsidRPr="00CB646B" w14:paraId="799515EC" w14:textId="77777777" w:rsidTr="005C05BB">
        <w:trPr>
          <w:trHeight w:val="1250"/>
        </w:trPr>
        <w:tc>
          <w:tcPr>
            <w:tcW w:w="2304" w:type="dxa"/>
            <w:vAlign w:val="center"/>
          </w:tcPr>
          <w:p w14:paraId="592A77DE" w14:textId="77777777" w:rsidR="001A238A" w:rsidRPr="00CB646B" w:rsidRDefault="001A238A" w:rsidP="005C05BB">
            <w:pPr>
              <w:rPr>
                <w:b/>
              </w:rPr>
            </w:pPr>
            <w:r w:rsidRPr="00CB646B">
              <w:rPr>
                <w:b/>
              </w:rPr>
              <w:t>Planned Statistical Analyses</w:t>
            </w:r>
          </w:p>
        </w:tc>
        <w:tc>
          <w:tcPr>
            <w:tcW w:w="5760" w:type="dxa"/>
          </w:tcPr>
          <w:p w14:paraId="4D456088" w14:textId="0ACE044C" w:rsidR="001A238A" w:rsidRPr="00CB646B" w:rsidRDefault="002D4E5E">
            <w:r>
              <w:t>P</w:t>
            </w:r>
            <w:r w:rsidR="00F21499">
              <w:t>recision/recall/F-mea</w:t>
            </w:r>
            <w:r w:rsidR="005E5673">
              <w:t>s</w:t>
            </w:r>
            <w:r w:rsidR="00F21499">
              <w:t>ure</w:t>
            </w:r>
            <w:r>
              <w:t xml:space="preserve"> for overall algorithm performance</w:t>
            </w:r>
            <w:r w:rsidR="00F21499">
              <w:t>, NLP for signs and symptoms (precision/recall/F-measure)</w:t>
            </w:r>
          </w:p>
        </w:tc>
      </w:tr>
      <w:tr w:rsidR="001A238A" w:rsidRPr="00CB646B" w14:paraId="32259D4E" w14:textId="77777777" w:rsidTr="005C05BB">
        <w:trPr>
          <w:trHeight w:val="864"/>
        </w:trPr>
        <w:tc>
          <w:tcPr>
            <w:tcW w:w="2304" w:type="dxa"/>
            <w:vAlign w:val="center"/>
          </w:tcPr>
          <w:p w14:paraId="6776FABD" w14:textId="77777777" w:rsidR="001A238A" w:rsidRPr="00CB646B" w:rsidRDefault="001A238A" w:rsidP="005C05BB">
            <w:pPr>
              <w:rPr>
                <w:b/>
              </w:rPr>
            </w:pPr>
            <w:r w:rsidRPr="00CB646B">
              <w:rPr>
                <w:b/>
              </w:rPr>
              <w:t>Ethical considerations</w:t>
            </w:r>
          </w:p>
        </w:tc>
        <w:tc>
          <w:tcPr>
            <w:tcW w:w="5760" w:type="dxa"/>
          </w:tcPr>
          <w:p w14:paraId="5A7E162D" w14:textId="77777777" w:rsidR="001A238A" w:rsidRPr="00CB646B" w:rsidRDefault="00FD36BE" w:rsidP="005C05BB">
            <w:r>
              <w:t>None.</w:t>
            </w:r>
          </w:p>
        </w:tc>
      </w:tr>
      <w:tr w:rsidR="001A238A" w:rsidRPr="00CB646B" w14:paraId="71206DCC" w14:textId="77777777" w:rsidTr="005C05BB">
        <w:tc>
          <w:tcPr>
            <w:tcW w:w="2304" w:type="dxa"/>
            <w:vAlign w:val="center"/>
          </w:tcPr>
          <w:p w14:paraId="681094D2" w14:textId="77777777" w:rsidR="001A238A" w:rsidRPr="00CB646B" w:rsidRDefault="001A238A" w:rsidP="005C05BB">
            <w:pPr>
              <w:rPr>
                <w:b/>
              </w:rPr>
            </w:pPr>
            <w:r w:rsidRPr="00CB646B">
              <w:rPr>
                <w:b/>
              </w:rPr>
              <w:t>Target Journal</w:t>
            </w:r>
          </w:p>
        </w:tc>
        <w:tc>
          <w:tcPr>
            <w:tcW w:w="5760" w:type="dxa"/>
          </w:tcPr>
          <w:p w14:paraId="5F2A342C" w14:textId="039F9D70" w:rsidR="001A238A" w:rsidRPr="00CB646B" w:rsidRDefault="00F21499" w:rsidP="009B0049">
            <w:pPr>
              <w:tabs>
                <w:tab w:val="left" w:pos="1520"/>
              </w:tabs>
            </w:pPr>
            <w:r>
              <w:t xml:space="preserve">JAMIA, or specialty </w:t>
            </w:r>
            <w:r w:rsidR="009B0049">
              <w:t>derm</w:t>
            </w:r>
            <w:r>
              <w:t>atology clinical journal</w:t>
            </w:r>
          </w:p>
        </w:tc>
      </w:tr>
      <w:tr w:rsidR="001A238A" w:rsidRPr="00CB646B" w14:paraId="296E85BD" w14:textId="77777777" w:rsidTr="005C05BB">
        <w:tc>
          <w:tcPr>
            <w:tcW w:w="2304" w:type="dxa"/>
            <w:vAlign w:val="center"/>
          </w:tcPr>
          <w:p w14:paraId="042127F2" w14:textId="77777777" w:rsidR="001A238A" w:rsidRPr="00CB646B" w:rsidRDefault="001A238A" w:rsidP="005C05BB">
            <w:pPr>
              <w:rPr>
                <w:b/>
              </w:rPr>
            </w:pPr>
            <w:r w:rsidRPr="00CB646B">
              <w:rPr>
                <w:b/>
              </w:rPr>
              <w:lastRenderedPageBreak/>
              <w:t>Milestones**</w:t>
            </w:r>
          </w:p>
        </w:tc>
        <w:tc>
          <w:tcPr>
            <w:tcW w:w="5760" w:type="dxa"/>
          </w:tcPr>
          <w:p w14:paraId="070613B5" w14:textId="4576DD21" w:rsidR="001A238A" w:rsidRDefault="00B768A3" w:rsidP="00697334">
            <w:pPr>
              <w:pStyle w:val="ListParagraph"/>
              <w:numPr>
                <w:ilvl w:val="0"/>
                <w:numId w:val="4"/>
              </w:numPr>
            </w:pPr>
            <w:r>
              <w:t>9</w:t>
            </w:r>
            <w:r w:rsidR="001A238A" w:rsidRPr="00095B5C">
              <w:t>/201</w:t>
            </w:r>
            <w:r w:rsidR="002D4E5E">
              <w:t>7</w:t>
            </w:r>
            <w:r w:rsidR="001A238A" w:rsidRPr="00095B5C">
              <w:t xml:space="preserve"> :</w:t>
            </w:r>
            <w:r w:rsidR="001A238A">
              <w:t xml:space="preserve"> ready for secondary validation</w:t>
            </w:r>
          </w:p>
          <w:p w14:paraId="0F2EC15A" w14:textId="729B9BCD" w:rsidR="00697334" w:rsidRDefault="00B768A3" w:rsidP="00697334">
            <w:pPr>
              <w:pStyle w:val="ListParagraph"/>
              <w:numPr>
                <w:ilvl w:val="0"/>
                <w:numId w:val="4"/>
              </w:numPr>
            </w:pPr>
            <w:r>
              <w:t>10</w:t>
            </w:r>
            <w:r w:rsidR="00697334">
              <w:t>/2017: secondary validation complete</w:t>
            </w:r>
          </w:p>
          <w:p w14:paraId="0FBC4ED3" w14:textId="020EC47C" w:rsidR="00697334" w:rsidRDefault="00B768A3" w:rsidP="00697334">
            <w:pPr>
              <w:pStyle w:val="ListParagraph"/>
              <w:numPr>
                <w:ilvl w:val="0"/>
                <w:numId w:val="4"/>
              </w:numPr>
            </w:pPr>
            <w:r>
              <w:t>1/2018</w:t>
            </w:r>
            <w:r w:rsidR="00697334">
              <w:t xml:space="preserve">: run at all participating sites </w:t>
            </w:r>
          </w:p>
          <w:p w14:paraId="46289FD0" w14:textId="26EB6DA2" w:rsidR="00697334" w:rsidRDefault="00B768A3" w:rsidP="00697334">
            <w:pPr>
              <w:pStyle w:val="ListParagraph"/>
              <w:numPr>
                <w:ilvl w:val="0"/>
                <w:numId w:val="4"/>
              </w:numPr>
            </w:pPr>
            <w:r>
              <w:t>1/30/2018</w:t>
            </w:r>
            <w:r w:rsidR="00697334">
              <w:t>: 1</w:t>
            </w:r>
            <w:r w:rsidR="00697334" w:rsidRPr="00697334">
              <w:rPr>
                <w:vertAlign w:val="superscript"/>
              </w:rPr>
              <w:t>st</w:t>
            </w:r>
            <w:r w:rsidR="00697334">
              <w:t xml:space="preserve"> draft sent</w:t>
            </w:r>
          </w:p>
          <w:p w14:paraId="1F87BA05" w14:textId="2456B366" w:rsidR="00697334" w:rsidRDefault="00B768A3" w:rsidP="00697334">
            <w:pPr>
              <w:pStyle w:val="ListParagraph"/>
              <w:numPr>
                <w:ilvl w:val="0"/>
                <w:numId w:val="4"/>
              </w:numPr>
            </w:pPr>
            <w:r>
              <w:t>2</w:t>
            </w:r>
            <w:r w:rsidR="00697334">
              <w:t>/</w:t>
            </w:r>
            <w:r>
              <w:t>28</w:t>
            </w:r>
            <w:r w:rsidR="00697334">
              <w:t>/201</w:t>
            </w:r>
            <w:r>
              <w:t>8</w:t>
            </w:r>
            <w:r w:rsidR="00697334">
              <w:t>: 2</w:t>
            </w:r>
            <w:r w:rsidR="00697334" w:rsidRPr="00697334">
              <w:rPr>
                <w:vertAlign w:val="superscript"/>
              </w:rPr>
              <w:t>nd</w:t>
            </w:r>
            <w:r w:rsidR="00697334">
              <w:t xml:space="preserve"> draft sent</w:t>
            </w:r>
          </w:p>
          <w:p w14:paraId="34F801EC" w14:textId="08613D99" w:rsidR="001A238A" w:rsidRPr="00CB646B" w:rsidRDefault="00B768A3" w:rsidP="00B768A3">
            <w:pPr>
              <w:pStyle w:val="ListParagraph"/>
              <w:numPr>
                <w:ilvl w:val="0"/>
                <w:numId w:val="4"/>
              </w:numPr>
            </w:pPr>
            <w:r>
              <w:t>3</w:t>
            </w:r>
            <w:r w:rsidR="00697334">
              <w:t>/</w:t>
            </w:r>
            <w:r>
              <w:t>9</w:t>
            </w:r>
            <w:r w:rsidR="00697334">
              <w:t>/201</w:t>
            </w:r>
            <w:r>
              <w:t>8</w:t>
            </w:r>
            <w:r w:rsidR="00697334">
              <w:t>: submit to journal</w:t>
            </w:r>
          </w:p>
        </w:tc>
      </w:tr>
    </w:tbl>
    <w:p w14:paraId="45255D74" w14:textId="77777777" w:rsidR="00C94D7C" w:rsidRDefault="00C94D7C"/>
    <w:p w14:paraId="36404D1E" w14:textId="77777777" w:rsidR="00677DC5" w:rsidRPr="00C94D7C" w:rsidRDefault="00677DC5" w:rsidP="00677DC5">
      <w:pPr>
        <w:rPr>
          <w:b/>
        </w:rPr>
      </w:pPr>
      <w:commentRangeStart w:id="1"/>
      <w:r w:rsidRPr="00C94D7C">
        <w:rPr>
          <w:b/>
        </w:rPr>
        <w:t>References</w:t>
      </w:r>
      <w:commentRangeEnd w:id="1"/>
      <w:r>
        <w:rPr>
          <w:rStyle w:val="CommentReference"/>
        </w:rPr>
        <w:commentReference w:id="1"/>
      </w:r>
    </w:p>
    <w:p w14:paraId="5BDB3C75" w14:textId="77777777" w:rsidR="00677DC5" w:rsidRDefault="00677DC5" w:rsidP="00677DC5">
      <w:pPr>
        <w:pStyle w:val="ListParagraph"/>
        <w:numPr>
          <w:ilvl w:val="0"/>
          <w:numId w:val="5"/>
        </w:numPr>
      </w:pPr>
      <w:r w:rsidRPr="00E93DAA">
        <w:t>J. I. Silverberg, J. M. Hanifin. Adult eczema prevalence and associations with asthma and other health and demographic factors: A US population-based study. J. Allergy Clin. Immunol. 2013,132,1132-</w:t>
      </w:r>
      <w:r>
        <w:t>11</w:t>
      </w:r>
      <w:r w:rsidRPr="00E93DAA">
        <w:t>38.</w:t>
      </w:r>
    </w:p>
    <w:p w14:paraId="04AB3611" w14:textId="77777777" w:rsidR="00677DC5" w:rsidRDefault="00677DC5" w:rsidP="00677DC5">
      <w:pPr>
        <w:pStyle w:val="ListParagraph"/>
        <w:numPr>
          <w:ilvl w:val="0"/>
          <w:numId w:val="5"/>
        </w:numPr>
      </w:pPr>
      <w:r>
        <w:t>S. Nutten. Atopic Dermatitis: Global Epidemiology and Risk Factors. Ann. Nutr. Metab. 2015, 66, 8–16</w:t>
      </w:r>
    </w:p>
    <w:p w14:paraId="3745CA52" w14:textId="77777777" w:rsidR="00677DC5" w:rsidRPr="00531C01" w:rsidRDefault="00677DC5" w:rsidP="00677DC5">
      <w:pPr>
        <w:pStyle w:val="ListParagraph"/>
        <w:numPr>
          <w:ilvl w:val="0"/>
          <w:numId w:val="5"/>
        </w:numPr>
      </w:pPr>
      <w:r>
        <w:rPr>
          <w:color w:val="000000"/>
          <w:shd w:val="clear" w:color="auto" w:fill="FFFFFF"/>
        </w:rPr>
        <w:t>Bannister MJ, Freeman S. Adult-onset atopic dermatitis.</w:t>
      </w:r>
      <w:r>
        <w:rPr>
          <w:rStyle w:val="apple-converted-space"/>
          <w:color w:val="000000"/>
          <w:shd w:val="clear" w:color="auto" w:fill="FFFFFF"/>
        </w:rPr>
        <w:t xml:space="preserve"> </w:t>
      </w:r>
      <w:r>
        <w:rPr>
          <w:rStyle w:val="ref-journal"/>
          <w:color w:val="000000"/>
          <w:shd w:val="clear" w:color="auto" w:fill="FFFFFF"/>
        </w:rPr>
        <w:t>Australas J Dermatol.</w:t>
      </w:r>
      <w:r>
        <w:rPr>
          <w:rStyle w:val="apple-converted-space"/>
          <w:color w:val="000000"/>
          <w:shd w:val="clear" w:color="auto" w:fill="FFFFFF"/>
        </w:rPr>
        <w:t xml:space="preserve"> </w:t>
      </w:r>
      <w:r>
        <w:rPr>
          <w:color w:val="000000"/>
          <w:shd w:val="clear" w:color="auto" w:fill="FFFFFF"/>
        </w:rPr>
        <w:t xml:space="preserve">2000, </w:t>
      </w:r>
      <w:r>
        <w:rPr>
          <w:rStyle w:val="ref-vol"/>
          <w:color w:val="000000"/>
          <w:shd w:val="clear" w:color="auto" w:fill="FFFFFF"/>
        </w:rPr>
        <w:t>41</w:t>
      </w:r>
      <w:r>
        <w:rPr>
          <w:color w:val="000000"/>
          <w:shd w:val="clear" w:color="auto" w:fill="FFFFFF"/>
        </w:rPr>
        <w:t>, 225–232.</w:t>
      </w:r>
    </w:p>
    <w:p w14:paraId="0B6F82B6" w14:textId="77777777" w:rsidR="00677DC5" w:rsidRDefault="00677DC5" w:rsidP="00677DC5">
      <w:pPr>
        <w:pStyle w:val="ListParagraph"/>
        <w:numPr>
          <w:ilvl w:val="0"/>
          <w:numId w:val="5"/>
        </w:numPr>
      </w:pPr>
      <w:r>
        <w:t xml:space="preserve">A. Katsarou, M. Armenaka. Atopic dermatitis in older patients: Particular points. J. Eur. Acad. Dermatol. Venereol. 2011, 25, 12–19. </w:t>
      </w:r>
    </w:p>
    <w:p w14:paraId="4FF62834" w14:textId="77777777" w:rsidR="00677DC5" w:rsidRDefault="00677DC5" w:rsidP="00677DC5">
      <w:pPr>
        <w:pStyle w:val="ListParagraph"/>
        <w:numPr>
          <w:ilvl w:val="0"/>
          <w:numId w:val="5"/>
        </w:numPr>
      </w:pPr>
      <w:r>
        <w:t xml:space="preserve">E. Ozkaya. Adult-onset atopic dermatitis. J Am Acad Dermatol. 2005, 52, 579–660. </w:t>
      </w:r>
    </w:p>
    <w:p w14:paraId="210C28AE" w14:textId="6234D02C" w:rsidR="00C94D7C" w:rsidRDefault="00677DC5" w:rsidP="00677DC5">
      <w:pPr>
        <w:pStyle w:val="ListParagraph"/>
        <w:numPr>
          <w:ilvl w:val="0"/>
          <w:numId w:val="5"/>
        </w:numPr>
      </w:pPr>
      <w:r>
        <w:t>H. C. Williams. Epidemiology of atopic dermatitis. Clin Exp Dermatol. 2000, 25, 522–530.</w:t>
      </w:r>
    </w:p>
    <w:sectPr w:rsidR="00C94D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ll Thompson" w:date="2016-12-14T15:33:00Z" w:initials="WKT">
    <w:p w14:paraId="14AF9B60" w14:textId="01BE7CC9" w:rsidR="00677DC5" w:rsidRDefault="00677DC5">
      <w:pPr>
        <w:pStyle w:val="CommentText"/>
      </w:pPr>
      <w:r>
        <w:rPr>
          <w:rStyle w:val="CommentReference"/>
        </w:rPr>
        <w:annotationRef/>
      </w:r>
      <w:r>
        <w:t>Include references from CHOP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F9B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ECC2" w14:textId="77777777" w:rsidR="007C486F" w:rsidRDefault="007C486F" w:rsidP="00677DC5">
      <w:r>
        <w:separator/>
      </w:r>
    </w:p>
  </w:endnote>
  <w:endnote w:type="continuationSeparator" w:id="0">
    <w:p w14:paraId="341885E5" w14:textId="77777777" w:rsidR="007C486F" w:rsidRDefault="007C486F" w:rsidP="0067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8476" w14:textId="77777777" w:rsidR="007C486F" w:rsidRDefault="007C486F" w:rsidP="00677DC5">
      <w:r>
        <w:separator/>
      </w:r>
    </w:p>
  </w:footnote>
  <w:footnote w:type="continuationSeparator" w:id="0">
    <w:p w14:paraId="75343E9A" w14:textId="77777777" w:rsidR="007C486F" w:rsidRDefault="007C486F" w:rsidP="0067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3DE9"/>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3673A"/>
    <w:multiLevelType w:val="hybridMultilevel"/>
    <w:tmpl w:val="BEEE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67C80"/>
    <w:multiLevelType w:val="hybridMultilevel"/>
    <w:tmpl w:val="343A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639AE"/>
    <w:multiLevelType w:val="hybridMultilevel"/>
    <w:tmpl w:val="F9C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D0C38"/>
    <w:multiLevelType w:val="hybridMultilevel"/>
    <w:tmpl w:val="06A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8A"/>
    <w:rsid w:val="0000793E"/>
    <w:rsid w:val="0005246F"/>
    <w:rsid w:val="00090E37"/>
    <w:rsid w:val="00095B5C"/>
    <w:rsid w:val="000E6B23"/>
    <w:rsid w:val="00116541"/>
    <w:rsid w:val="00131B6D"/>
    <w:rsid w:val="001363F8"/>
    <w:rsid w:val="0016319C"/>
    <w:rsid w:val="001712CC"/>
    <w:rsid w:val="00175A6D"/>
    <w:rsid w:val="001A238A"/>
    <w:rsid w:val="001C27EB"/>
    <w:rsid w:val="001C4771"/>
    <w:rsid w:val="001D51C4"/>
    <w:rsid w:val="002412C5"/>
    <w:rsid w:val="002619F0"/>
    <w:rsid w:val="00274446"/>
    <w:rsid w:val="002768A6"/>
    <w:rsid w:val="00282AA7"/>
    <w:rsid w:val="0028563C"/>
    <w:rsid w:val="002D15D0"/>
    <w:rsid w:val="002D4E5E"/>
    <w:rsid w:val="0031780D"/>
    <w:rsid w:val="003219B2"/>
    <w:rsid w:val="003233C7"/>
    <w:rsid w:val="003C3535"/>
    <w:rsid w:val="003E450B"/>
    <w:rsid w:val="00423401"/>
    <w:rsid w:val="004541E1"/>
    <w:rsid w:val="00485EB4"/>
    <w:rsid w:val="004A1209"/>
    <w:rsid w:val="004C485E"/>
    <w:rsid w:val="004C4D95"/>
    <w:rsid w:val="004E485B"/>
    <w:rsid w:val="004E608F"/>
    <w:rsid w:val="00525358"/>
    <w:rsid w:val="00590444"/>
    <w:rsid w:val="00595C96"/>
    <w:rsid w:val="005A6612"/>
    <w:rsid w:val="005B51E5"/>
    <w:rsid w:val="005D45D9"/>
    <w:rsid w:val="005E0C0A"/>
    <w:rsid w:val="005E5673"/>
    <w:rsid w:val="00603C8C"/>
    <w:rsid w:val="00630E57"/>
    <w:rsid w:val="0064339E"/>
    <w:rsid w:val="00674E93"/>
    <w:rsid w:val="00677DC5"/>
    <w:rsid w:val="00697334"/>
    <w:rsid w:val="006A224D"/>
    <w:rsid w:val="006B3A5C"/>
    <w:rsid w:val="007C486F"/>
    <w:rsid w:val="00874F92"/>
    <w:rsid w:val="00892D21"/>
    <w:rsid w:val="008B490E"/>
    <w:rsid w:val="008C3ADF"/>
    <w:rsid w:val="008F7F4D"/>
    <w:rsid w:val="00922C27"/>
    <w:rsid w:val="00950D34"/>
    <w:rsid w:val="00985E86"/>
    <w:rsid w:val="009B0049"/>
    <w:rsid w:val="009B2F71"/>
    <w:rsid w:val="009C4748"/>
    <w:rsid w:val="00A0174C"/>
    <w:rsid w:val="00A03589"/>
    <w:rsid w:val="00A6278E"/>
    <w:rsid w:val="00A81A47"/>
    <w:rsid w:val="00A860A7"/>
    <w:rsid w:val="00AF2E29"/>
    <w:rsid w:val="00B16D3B"/>
    <w:rsid w:val="00B768A3"/>
    <w:rsid w:val="00BB7616"/>
    <w:rsid w:val="00BE7B4E"/>
    <w:rsid w:val="00C100AC"/>
    <w:rsid w:val="00C412E0"/>
    <w:rsid w:val="00C94D7C"/>
    <w:rsid w:val="00CC3A51"/>
    <w:rsid w:val="00D214BB"/>
    <w:rsid w:val="00D60F62"/>
    <w:rsid w:val="00D75548"/>
    <w:rsid w:val="00E541EF"/>
    <w:rsid w:val="00E56E40"/>
    <w:rsid w:val="00EA68F0"/>
    <w:rsid w:val="00F21499"/>
    <w:rsid w:val="00F37143"/>
    <w:rsid w:val="00FD36BE"/>
    <w:rsid w:val="00FD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755C"/>
  <w15:docId w15:val="{ABB4A7C3-A516-40BF-9B1B-30908265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2C5"/>
    <w:pPr>
      <w:ind w:left="720"/>
      <w:contextualSpacing/>
    </w:pPr>
  </w:style>
  <w:style w:type="paragraph" w:styleId="NormalWeb">
    <w:name w:val="Normal (Web)"/>
    <w:basedOn w:val="Normal"/>
    <w:uiPriority w:val="99"/>
    <w:unhideWhenUsed/>
    <w:rsid w:val="00FD36BE"/>
    <w:rPr>
      <w:rFonts w:eastAsiaTheme="minorHAnsi"/>
    </w:rPr>
  </w:style>
  <w:style w:type="character" w:styleId="Strong">
    <w:name w:val="Strong"/>
    <w:basedOn w:val="DefaultParagraphFont"/>
    <w:uiPriority w:val="22"/>
    <w:qFormat/>
    <w:rsid w:val="00FD36BE"/>
    <w:rPr>
      <w:b/>
      <w:bCs/>
    </w:rPr>
  </w:style>
  <w:style w:type="character" w:styleId="CommentReference">
    <w:name w:val="annotation reference"/>
    <w:basedOn w:val="DefaultParagraphFont"/>
    <w:uiPriority w:val="99"/>
    <w:semiHidden/>
    <w:unhideWhenUsed/>
    <w:rsid w:val="00274446"/>
    <w:rPr>
      <w:sz w:val="16"/>
      <w:szCs w:val="16"/>
    </w:rPr>
  </w:style>
  <w:style w:type="paragraph" w:styleId="CommentText">
    <w:name w:val="annotation text"/>
    <w:basedOn w:val="Normal"/>
    <w:link w:val="CommentTextChar"/>
    <w:uiPriority w:val="99"/>
    <w:semiHidden/>
    <w:unhideWhenUsed/>
    <w:rsid w:val="00274446"/>
    <w:rPr>
      <w:sz w:val="20"/>
      <w:szCs w:val="20"/>
    </w:rPr>
  </w:style>
  <w:style w:type="character" w:customStyle="1" w:styleId="CommentTextChar">
    <w:name w:val="Comment Text Char"/>
    <w:basedOn w:val="DefaultParagraphFont"/>
    <w:link w:val="CommentText"/>
    <w:uiPriority w:val="99"/>
    <w:semiHidden/>
    <w:rsid w:val="002744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446"/>
    <w:rPr>
      <w:b/>
      <w:bCs/>
    </w:rPr>
  </w:style>
  <w:style w:type="character" w:customStyle="1" w:styleId="CommentSubjectChar">
    <w:name w:val="Comment Subject Char"/>
    <w:basedOn w:val="CommentTextChar"/>
    <w:link w:val="CommentSubject"/>
    <w:uiPriority w:val="99"/>
    <w:semiHidden/>
    <w:rsid w:val="002744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4446"/>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eastAsia="Times New Roman" w:hAnsi="Tahoma" w:cs="Tahoma"/>
      <w:sz w:val="16"/>
      <w:szCs w:val="16"/>
    </w:rPr>
  </w:style>
  <w:style w:type="paragraph" w:styleId="Revision">
    <w:name w:val="Revision"/>
    <w:hidden/>
    <w:uiPriority w:val="99"/>
    <w:semiHidden/>
    <w:rsid w:val="00A6278E"/>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DC5"/>
  </w:style>
  <w:style w:type="character" w:customStyle="1" w:styleId="ref-journal">
    <w:name w:val="ref-journal"/>
    <w:basedOn w:val="DefaultParagraphFont"/>
    <w:rsid w:val="00677DC5"/>
  </w:style>
  <w:style w:type="character" w:customStyle="1" w:styleId="ref-vol">
    <w:name w:val="ref-vol"/>
    <w:basedOn w:val="DefaultParagraphFont"/>
    <w:rsid w:val="00677DC5"/>
  </w:style>
  <w:style w:type="paragraph" w:styleId="Header">
    <w:name w:val="header"/>
    <w:basedOn w:val="Normal"/>
    <w:link w:val="HeaderChar"/>
    <w:uiPriority w:val="99"/>
    <w:unhideWhenUsed/>
    <w:rsid w:val="00677DC5"/>
    <w:pPr>
      <w:tabs>
        <w:tab w:val="center" w:pos="4680"/>
        <w:tab w:val="right" w:pos="9360"/>
      </w:tabs>
    </w:pPr>
  </w:style>
  <w:style w:type="character" w:customStyle="1" w:styleId="HeaderChar">
    <w:name w:val="Header Char"/>
    <w:basedOn w:val="DefaultParagraphFont"/>
    <w:link w:val="Header"/>
    <w:uiPriority w:val="99"/>
    <w:rsid w:val="00677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DC5"/>
    <w:pPr>
      <w:tabs>
        <w:tab w:val="center" w:pos="4680"/>
        <w:tab w:val="right" w:pos="9360"/>
      </w:tabs>
    </w:pPr>
  </w:style>
  <w:style w:type="character" w:customStyle="1" w:styleId="FooterChar">
    <w:name w:val="Footer Char"/>
    <w:basedOn w:val="DefaultParagraphFont"/>
    <w:link w:val="Footer"/>
    <w:uiPriority w:val="99"/>
    <w:rsid w:val="00677D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Pacheco</dc:creator>
  <cp:lastModifiedBy>Derveloy, Brianne B</cp:lastModifiedBy>
  <cp:revision>10</cp:revision>
  <dcterms:created xsi:type="dcterms:W3CDTF">2017-01-31T22:45:00Z</dcterms:created>
  <dcterms:modified xsi:type="dcterms:W3CDTF">2017-02-15T15:57:00Z</dcterms:modified>
</cp:coreProperties>
</file>