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14:paraId="13535D2D" w14:textId="7777777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4F3BEC78" w14:textId="77777777" w:rsidR="0093273D" w:rsidRPr="0093273D" w:rsidRDefault="00682869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682869">
              <w:rPr>
                <w:rFonts w:asciiTheme="majorHAnsi" w:hAnsiTheme="majorHAnsi"/>
                <w:b/>
                <w:color w:val="FFFFFF" w:themeColor="background1"/>
                <w:sz w:val="28"/>
                <w:u w:val="single"/>
              </w:rPr>
              <w:t>External Collaborator Proposal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</w:t>
            </w:r>
            <w:r w:rsidRPr="00682869">
              <w:rPr>
                <w:rFonts w:asciiTheme="majorHAnsi" w:hAnsiTheme="majorHAnsi"/>
                <w:i/>
                <w:color w:val="FFFFFF" w:themeColor="background1"/>
              </w:rPr>
              <w:t xml:space="preserve">for </w:t>
            </w:r>
            <w:proofErr w:type="spellStart"/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eMERGE</w:t>
            </w:r>
            <w:proofErr w:type="spellEnd"/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Network Analysis</w:t>
            </w:r>
          </w:p>
          <w:p w14:paraId="48EBA630" w14:textId="77777777"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092764" w14:paraId="6992BC88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02A43BE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07592EF" w14:textId="0CE31D15" w:rsidR="0093273D" w:rsidRPr="00092764" w:rsidRDefault="000040CE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NT218</w:t>
            </w:r>
          </w:p>
        </w:tc>
      </w:tr>
      <w:tr w:rsidR="0093273D" w:rsidRPr="00092764" w14:paraId="7269E337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D57903D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453E0A" w14:textId="3B753EFB" w:rsidR="0093273D" w:rsidRPr="00092764" w:rsidRDefault="000040CE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3/6/2017</w:t>
            </w:r>
          </w:p>
        </w:tc>
      </w:tr>
      <w:tr w:rsidR="00682869" w:rsidRPr="00092764" w14:paraId="4CA78585" w14:textId="77777777" w:rsidTr="00682869">
        <w:trPr>
          <w:trHeight w:val="95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3EB029" w14:textId="77777777" w:rsidR="00682869" w:rsidRPr="00092764" w:rsidRDefault="00682869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 xml:space="preserve">Tentative Lead Investigator </w:t>
            </w:r>
            <w:r w:rsidRPr="00092764">
              <w:rPr>
                <w:rFonts w:ascii="Calibri Light" w:hAnsi="Calibri Light"/>
                <w:i/>
                <w:sz w:val="22"/>
                <w:szCs w:val="22"/>
              </w:rPr>
              <w:t>(first author with contact information and affiliation)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6F90668" w14:textId="77777777" w:rsidR="005737CD" w:rsidRPr="00D10D74" w:rsidRDefault="005737CD" w:rsidP="005737CD">
            <w:pPr>
              <w:rPr>
                <w:b/>
                <w:sz w:val="22"/>
                <w:szCs w:val="22"/>
              </w:rPr>
            </w:pPr>
            <w:proofErr w:type="spellStart"/>
            <w:r w:rsidRPr="00D10D74">
              <w:rPr>
                <w:b/>
                <w:sz w:val="22"/>
                <w:szCs w:val="22"/>
              </w:rPr>
              <w:t>Yelizaveta</w:t>
            </w:r>
            <w:proofErr w:type="spellEnd"/>
            <w:r w:rsidRPr="00D10D74">
              <w:rPr>
                <w:b/>
                <w:sz w:val="22"/>
                <w:szCs w:val="22"/>
              </w:rPr>
              <w:t xml:space="preserve"> (Lisa) </w:t>
            </w:r>
            <w:proofErr w:type="spellStart"/>
            <w:r w:rsidRPr="00D10D74">
              <w:rPr>
                <w:b/>
                <w:sz w:val="22"/>
                <w:szCs w:val="22"/>
              </w:rPr>
              <w:t>Torosyan</w:t>
            </w:r>
            <w:proofErr w:type="spellEnd"/>
            <w:r w:rsidRPr="00D10D74">
              <w:rPr>
                <w:b/>
                <w:sz w:val="22"/>
                <w:szCs w:val="22"/>
              </w:rPr>
              <w:t>, MD, PhD</w:t>
            </w:r>
          </w:p>
          <w:p w14:paraId="4A77CB1A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General Health Scientist; Senior Scientific Program Manager (Acting)</w:t>
            </w:r>
          </w:p>
          <w:p w14:paraId="70B78014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 xml:space="preserve">Division of Epidemiology, </w:t>
            </w:r>
          </w:p>
          <w:p w14:paraId="4AB98516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Office of Surveillance and Biometrics,</w:t>
            </w:r>
          </w:p>
          <w:p w14:paraId="4A3386B7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Center for Devices and Radiological Health,</w:t>
            </w:r>
          </w:p>
          <w:p w14:paraId="35C3FFA2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 xml:space="preserve">Food and Drug Administration (DEPI/OSB/CDRH/FDA) </w:t>
            </w:r>
          </w:p>
          <w:p w14:paraId="3B32CBEF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10903 New Hampshire Avenue,</w:t>
            </w:r>
          </w:p>
          <w:p w14:paraId="26C660C0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Silver Spring, MD 20993</w:t>
            </w:r>
          </w:p>
          <w:p w14:paraId="237A5FD2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 xml:space="preserve">White Oak, </w:t>
            </w:r>
            <w:proofErr w:type="spellStart"/>
            <w:r w:rsidRPr="00092764">
              <w:rPr>
                <w:sz w:val="22"/>
                <w:szCs w:val="22"/>
              </w:rPr>
              <w:t>Bldg</w:t>
            </w:r>
            <w:proofErr w:type="spellEnd"/>
            <w:r w:rsidRPr="00092764">
              <w:rPr>
                <w:sz w:val="22"/>
                <w:szCs w:val="22"/>
              </w:rPr>
              <w:t xml:space="preserve"> 66, Rm 4102</w:t>
            </w:r>
          </w:p>
          <w:p w14:paraId="28BACC5D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 xml:space="preserve">Tel: 301-796-7127 </w:t>
            </w:r>
          </w:p>
          <w:p w14:paraId="213ED3CB" w14:textId="77777777" w:rsidR="00682869" w:rsidRPr="00092764" w:rsidRDefault="009B27C2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 xml:space="preserve">E-mail: </w:t>
            </w:r>
            <w:hyperlink r:id="rId7" w:history="1">
              <w:r w:rsidR="005737CD" w:rsidRPr="00092764">
                <w:rPr>
                  <w:rStyle w:val="Hyperlink"/>
                  <w:sz w:val="22"/>
                  <w:szCs w:val="22"/>
                </w:rPr>
                <w:t>yelizaveta.torosyan@fda.hhs.gov</w:t>
              </w:r>
            </w:hyperlink>
            <w:r w:rsidR="005737CD" w:rsidRPr="00092764">
              <w:rPr>
                <w:sz w:val="22"/>
                <w:szCs w:val="22"/>
              </w:rPr>
              <w:t xml:space="preserve">   </w:t>
            </w:r>
          </w:p>
          <w:p w14:paraId="024FDB95" w14:textId="77777777" w:rsidR="009B27C2" w:rsidRPr="00092764" w:rsidRDefault="009B27C2" w:rsidP="005414EA">
            <w:pPr>
              <w:rPr>
                <w:sz w:val="22"/>
                <w:szCs w:val="22"/>
              </w:rPr>
            </w:pPr>
          </w:p>
        </w:tc>
      </w:tr>
      <w:tr w:rsidR="00682869" w:rsidRPr="00092764" w14:paraId="67ABBC59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1BA2778" w14:textId="77777777" w:rsidR="00682869" w:rsidRPr="00092764" w:rsidRDefault="00682869" w:rsidP="0068286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 xml:space="preserve">Tentative Senior Author </w:t>
            </w:r>
          </w:p>
          <w:p w14:paraId="6D890381" w14:textId="77777777" w:rsidR="00682869" w:rsidRPr="00092764" w:rsidRDefault="00682869" w:rsidP="0068286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i/>
                <w:sz w:val="22"/>
                <w:szCs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584EB2" w14:textId="77777777" w:rsidR="00682869" w:rsidRPr="00D10D74" w:rsidRDefault="005737CD" w:rsidP="005737CD">
            <w:pPr>
              <w:rPr>
                <w:b/>
                <w:sz w:val="22"/>
                <w:szCs w:val="22"/>
              </w:rPr>
            </w:pPr>
            <w:r w:rsidRPr="00D10D74">
              <w:rPr>
                <w:b/>
                <w:sz w:val="22"/>
                <w:szCs w:val="22"/>
              </w:rPr>
              <w:t xml:space="preserve">Danica </w:t>
            </w:r>
            <w:proofErr w:type="spellStart"/>
            <w:r w:rsidRPr="00D10D74">
              <w:rPr>
                <w:b/>
                <w:sz w:val="22"/>
                <w:szCs w:val="22"/>
              </w:rPr>
              <w:t>Marinac-Danic</w:t>
            </w:r>
            <w:proofErr w:type="spellEnd"/>
            <w:r w:rsidRPr="00D10D74">
              <w:rPr>
                <w:b/>
                <w:sz w:val="22"/>
                <w:szCs w:val="22"/>
              </w:rPr>
              <w:t xml:space="preserve">, MD, PhD, </w:t>
            </w:r>
            <w:proofErr w:type="spellStart"/>
            <w:r w:rsidRPr="00D10D74">
              <w:rPr>
                <w:b/>
                <w:sz w:val="22"/>
                <w:szCs w:val="22"/>
              </w:rPr>
              <w:t>MMSc</w:t>
            </w:r>
            <w:proofErr w:type="spellEnd"/>
            <w:r w:rsidRPr="00D10D74">
              <w:rPr>
                <w:b/>
                <w:sz w:val="22"/>
                <w:szCs w:val="22"/>
              </w:rPr>
              <w:t xml:space="preserve">, FISPE </w:t>
            </w:r>
          </w:p>
          <w:p w14:paraId="22CFCC9F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Director, Division of Epidemiology,</w:t>
            </w:r>
          </w:p>
          <w:p w14:paraId="18E9ADF4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Office of Surveillance and Biometrics,</w:t>
            </w:r>
          </w:p>
          <w:p w14:paraId="57C33A56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Center for Devices and Radiological Health,</w:t>
            </w:r>
          </w:p>
          <w:p w14:paraId="77A1E721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Food and Drug Administration (DEPI/OSB/CDRH/FDA)</w:t>
            </w:r>
          </w:p>
          <w:p w14:paraId="192CE0CA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 xml:space="preserve">White Oak Campus, 10903 New Hampshire Avenue, </w:t>
            </w:r>
          </w:p>
          <w:p w14:paraId="69B86C56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proofErr w:type="spellStart"/>
            <w:r w:rsidRPr="00092764">
              <w:rPr>
                <w:sz w:val="22"/>
                <w:szCs w:val="22"/>
              </w:rPr>
              <w:t>Bldg</w:t>
            </w:r>
            <w:proofErr w:type="spellEnd"/>
            <w:r w:rsidRPr="00092764">
              <w:rPr>
                <w:sz w:val="22"/>
                <w:szCs w:val="22"/>
              </w:rPr>
              <w:t xml:space="preserve"> 66, Rm 4110</w:t>
            </w:r>
          </w:p>
          <w:p w14:paraId="63211FF8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 xml:space="preserve">Silver Spring MD 20993 </w:t>
            </w:r>
          </w:p>
          <w:p w14:paraId="08D4492F" w14:textId="77777777" w:rsidR="005737CD" w:rsidRPr="00092764" w:rsidRDefault="005737CD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>Tel: 301-796-6689</w:t>
            </w:r>
          </w:p>
          <w:p w14:paraId="53084C9E" w14:textId="77777777" w:rsidR="005737CD" w:rsidRPr="00092764" w:rsidRDefault="009B27C2" w:rsidP="005737CD">
            <w:pPr>
              <w:rPr>
                <w:sz w:val="22"/>
                <w:szCs w:val="22"/>
              </w:rPr>
            </w:pPr>
            <w:r w:rsidRPr="00092764">
              <w:rPr>
                <w:sz w:val="22"/>
                <w:szCs w:val="22"/>
              </w:rPr>
              <w:t xml:space="preserve">E-mail: </w:t>
            </w:r>
            <w:hyperlink r:id="rId8" w:history="1">
              <w:r w:rsidR="005737CD" w:rsidRPr="00092764">
                <w:rPr>
                  <w:rStyle w:val="Hyperlink"/>
                  <w:sz w:val="22"/>
                  <w:szCs w:val="22"/>
                </w:rPr>
                <w:t>danica.marinac-dabic@fda.hhs.gov</w:t>
              </w:r>
            </w:hyperlink>
          </w:p>
          <w:p w14:paraId="00701A40" w14:textId="77777777" w:rsidR="005414EA" w:rsidRPr="00092764" w:rsidRDefault="005414EA" w:rsidP="005737CD">
            <w:pPr>
              <w:rPr>
                <w:sz w:val="22"/>
                <w:szCs w:val="22"/>
              </w:rPr>
            </w:pPr>
          </w:p>
        </w:tc>
      </w:tr>
      <w:tr w:rsidR="00682869" w:rsidRPr="00092764" w14:paraId="362CDB2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2659DE4" w14:textId="77777777" w:rsidR="00682869" w:rsidRPr="00092764" w:rsidRDefault="00682869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proofErr w:type="spellStart"/>
            <w:r w:rsidRPr="00092764">
              <w:rPr>
                <w:rFonts w:ascii="Calibri Light" w:hAnsi="Calibri Light"/>
                <w:b/>
                <w:sz w:val="22"/>
                <w:szCs w:val="22"/>
              </w:rPr>
              <w:t>eMERGE</w:t>
            </w:r>
            <w:proofErr w:type="spellEnd"/>
            <w:r w:rsidRPr="00092764">
              <w:rPr>
                <w:rFonts w:ascii="Calibri Light" w:hAnsi="Calibri Light"/>
                <w:b/>
                <w:sz w:val="22"/>
                <w:szCs w:val="22"/>
              </w:rPr>
              <w:t xml:space="preserve"> Site Sponsor &amp; Contact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87FA313" w14:textId="06691967" w:rsidR="00AA5EDB" w:rsidRPr="00AA5EDB" w:rsidRDefault="00AA5EDB" w:rsidP="00AA5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AA5EDB">
              <w:rPr>
                <w:sz w:val="22"/>
                <w:szCs w:val="22"/>
              </w:rPr>
              <w:t>Rongling Li, MD, PhD, MPH</w:t>
            </w:r>
          </w:p>
          <w:p w14:paraId="439FEB17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 xml:space="preserve">Epidemiologist and Program Director, </w:t>
            </w:r>
            <w:proofErr w:type="spellStart"/>
            <w:r w:rsidRPr="00AA5EDB">
              <w:rPr>
                <w:sz w:val="22"/>
                <w:szCs w:val="22"/>
              </w:rPr>
              <w:t>eMERGE</w:t>
            </w:r>
            <w:proofErr w:type="spellEnd"/>
          </w:p>
          <w:p w14:paraId="690AAD5D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>Division of Genomic Medicine (</w:t>
            </w:r>
            <w:hyperlink r:id="rId9" w:history="1">
              <w:r w:rsidRPr="00AA5EDB">
                <w:rPr>
                  <w:rStyle w:val="Hyperlink"/>
                  <w:sz w:val="22"/>
                  <w:szCs w:val="22"/>
                </w:rPr>
                <w:t>DGM</w:t>
              </w:r>
            </w:hyperlink>
            <w:r w:rsidRPr="00AA5EDB">
              <w:rPr>
                <w:sz w:val="22"/>
                <w:szCs w:val="22"/>
              </w:rPr>
              <w:t>)</w:t>
            </w:r>
          </w:p>
          <w:p w14:paraId="59A9CB16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>National Human Genome Research Institute (</w:t>
            </w:r>
            <w:hyperlink r:id="rId10" w:history="1">
              <w:r w:rsidRPr="00AA5EDB">
                <w:rPr>
                  <w:rStyle w:val="Hyperlink"/>
                  <w:sz w:val="22"/>
                  <w:szCs w:val="22"/>
                </w:rPr>
                <w:t>NHGRI</w:t>
              </w:r>
            </w:hyperlink>
            <w:r w:rsidRPr="00AA5EDB">
              <w:rPr>
                <w:sz w:val="22"/>
                <w:szCs w:val="22"/>
              </w:rPr>
              <w:t>)</w:t>
            </w:r>
          </w:p>
          <w:p w14:paraId="61E0DFF6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>National Institutes of Health (</w:t>
            </w:r>
            <w:hyperlink r:id="rId11" w:history="1">
              <w:r w:rsidRPr="00AA5EDB">
                <w:rPr>
                  <w:rStyle w:val="Hyperlink"/>
                  <w:sz w:val="22"/>
                  <w:szCs w:val="22"/>
                </w:rPr>
                <w:t>NIH</w:t>
              </w:r>
            </w:hyperlink>
            <w:r w:rsidRPr="00AA5EDB">
              <w:rPr>
                <w:sz w:val="22"/>
                <w:szCs w:val="22"/>
              </w:rPr>
              <w:t>)</w:t>
            </w:r>
          </w:p>
          <w:p w14:paraId="0AFCB976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>5635 Fishers Lane, Suite 4076, MSC 9305</w:t>
            </w:r>
          </w:p>
          <w:p w14:paraId="1C639639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>Bethesda, MD 20892-9305</w:t>
            </w:r>
          </w:p>
          <w:p w14:paraId="3386BE95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>Rockville, MD 20852 (courier/FedEx/UPS)</w:t>
            </w:r>
          </w:p>
          <w:p w14:paraId="534A249B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>Phone: 301-594-6524</w:t>
            </w:r>
          </w:p>
          <w:p w14:paraId="5E6B3D47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>Fax: 301-435-1580</w:t>
            </w:r>
          </w:p>
          <w:p w14:paraId="531AA701" w14:textId="77777777" w:rsidR="00AA5EDB" w:rsidRPr="00AA5EDB" w:rsidRDefault="00AA5EDB" w:rsidP="00AA5EDB">
            <w:pPr>
              <w:rPr>
                <w:sz w:val="22"/>
                <w:szCs w:val="22"/>
              </w:rPr>
            </w:pPr>
            <w:r w:rsidRPr="00AA5EDB">
              <w:rPr>
                <w:sz w:val="22"/>
                <w:szCs w:val="22"/>
              </w:rPr>
              <w:t xml:space="preserve">email: </w:t>
            </w:r>
            <w:hyperlink r:id="rId12" w:history="1">
              <w:r w:rsidRPr="00AA5EDB">
                <w:rPr>
                  <w:rStyle w:val="Hyperlink"/>
                  <w:sz w:val="22"/>
                  <w:szCs w:val="22"/>
                </w:rPr>
                <w:t>lir2@mail.nih.gov</w:t>
              </w:r>
            </w:hyperlink>
            <w:r w:rsidRPr="00AA5EDB">
              <w:rPr>
                <w:sz w:val="22"/>
                <w:szCs w:val="22"/>
              </w:rPr>
              <w:t xml:space="preserve"> </w:t>
            </w:r>
          </w:p>
          <w:p w14:paraId="0B6648C7" w14:textId="531C334A" w:rsidR="00AA5EDB" w:rsidRDefault="000040CE" w:rsidP="009B27C2">
            <w:pPr>
              <w:rPr>
                <w:sz w:val="22"/>
                <w:szCs w:val="22"/>
              </w:rPr>
            </w:pPr>
            <w:hyperlink r:id="rId13" w:history="1">
              <w:r w:rsidR="00AA5EDB" w:rsidRPr="00AA5EDB">
                <w:rPr>
                  <w:rStyle w:val="Hyperlink"/>
                  <w:sz w:val="22"/>
                  <w:szCs w:val="22"/>
                </w:rPr>
                <w:t>http://www.genome.gov/Staff/Li/</w:t>
              </w:r>
            </w:hyperlink>
          </w:p>
          <w:p w14:paraId="7F99465A" w14:textId="77777777" w:rsidR="000F2BBF" w:rsidRPr="00092764" w:rsidRDefault="000F2BBF" w:rsidP="00FB1D32">
            <w:pPr>
              <w:rPr>
                <w:sz w:val="22"/>
                <w:szCs w:val="22"/>
              </w:rPr>
            </w:pPr>
          </w:p>
        </w:tc>
      </w:tr>
      <w:tr w:rsidR="0093273D" w:rsidRPr="00092764" w14:paraId="609E432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1E0A675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25ECC4A" w14:textId="77777777" w:rsidR="0093273D" w:rsidRPr="002824FC" w:rsidRDefault="00595A41" w:rsidP="00CF0D06">
            <w:pPr>
              <w:rPr>
                <w:b/>
                <w:sz w:val="22"/>
                <w:szCs w:val="22"/>
              </w:rPr>
            </w:pPr>
            <w:r w:rsidRPr="002824FC">
              <w:rPr>
                <w:b/>
                <w:i/>
                <w:sz w:val="22"/>
                <w:szCs w:val="22"/>
              </w:rPr>
              <w:t xml:space="preserve">In </w:t>
            </w:r>
            <w:proofErr w:type="spellStart"/>
            <w:r w:rsidRPr="002824FC">
              <w:rPr>
                <w:b/>
                <w:i/>
                <w:sz w:val="22"/>
                <w:szCs w:val="22"/>
              </w:rPr>
              <w:t>Silico</w:t>
            </w:r>
            <w:proofErr w:type="spellEnd"/>
            <w:r w:rsidRPr="002824FC">
              <w:rPr>
                <w:b/>
                <w:sz w:val="22"/>
                <w:szCs w:val="22"/>
              </w:rPr>
              <w:t xml:space="preserve"> Integration of Epidemiologic and Genetic Evidence on the Sex/Race-Related Modifying Effects on Hip Arthroplasty Outcomes</w:t>
            </w:r>
          </w:p>
          <w:p w14:paraId="19D02168" w14:textId="77777777" w:rsidR="006353AA" w:rsidRPr="002824FC" w:rsidRDefault="006353AA" w:rsidP="00CF0D06">
            <w:pPr>
              <w:rPr>
                <w:b/>
                <w:sz w:val="22"/>
                <w:szCs w:val="22"/>
              </w:rPr>
            </w:pPr>
          </w:p>
        </w:tc>
      </w:tr>
      <w:tr w:rsidR="0093273D" w:rsidRPr="00092764" w14:paraId="4E2CE6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28448F4" w14:textId="77777777" w:rsidR="0093273D" w:rsidRPr="00092764" w:rsidRDefault="0093273D" w:rsidP="00900D3C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 xml:space="preserve">All </w:t>
            </w:r>
            <w:r w:rsidR="00900D3C" w:rsidRPr="00092764">
              <w:rPr>
                <w:rFonts w:ascii="Calibri Light" w:hAnsi="Calibri Light"/>
                <w:b/>
                <w:sz w:val="22"/>
                <w:szCs w:val="22"/>
              </w:rPr>
              <w:t>Other A</w:t>
            </w:r>
            <w:r w:rsidRPr="00092764">
              <w:rPr>
                <w:rFonts w:ascii="Calibri Light" w:hAnsi="Calibri Light"/>
                <w:b/>
                <w:sz w:val="22"/>
                <w:szCs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7EF7B2E" w14:textId="77777777" w:rsidR="00D10D74" w:rsidRPr="0011609A" w:rsidRDefault="00B73C6F" w:rsidP="00CF0D06">
            <w:pPr>
              <w:rPr>
                <w:b/>
                <w:sz w:val="22"/>
                <w:szCs w:val="22"/>
              </w:rPr>
            </w:pPr>
            <w:proofErr w:type="spellStart"/>
            <w:r w:rsidRPr="0011609A">
              <w:rPr>
                <w:b/>
                <w:sz w:val="22"/>
                <w:szCs w:val="22"/>
              </w:rPr>
              <w:t>Vahan</w:t>
            </w:r>
            <w:proofErr w:type="spellEnd"/>
            <w:r w:rsidRPr="001160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609A">
              <w:rPr>
                <w:b/>
                <w:sz w:val="22"/>
                <w:szCs w:val="22"/>
              </w:rPr>
              <w:t>Simonyan</w:t>
            </w:r>
            <w:proofErr w:type="spellEnd"/>
            <w:r w:rsidR="00D10D74" w:rsidRPr="0011609A">
              <w:rPr>
                <w:b/>
                <w:sz w:val="22"/>
                <w:szCs w:val="22"/>
              </w:rPr>
              <w:t>, PhD</w:t>
            </w:r>
          </w:p>
          <w:p w14:paraId="59555293" w14:textId="77777777" w:rsidR="0011609A" w:rsidRDefault="0011609A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HIVE Team Lead,</w:t>
            </w:r>
          </w:p>
          <w:p w14:paraId="394DBA74" w14:textId="77777777" w:rsidR="0011609A" w:rsidRDefault="0011609A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 for Biologics Evaluation and Research,</w:t>
            </w:r>
          </w:p>
          <w:p w14:paraId="75F6C0F0" w14:textId="77777777" w:rsidR="00B73C6F" w:rsidRDefault="0011609A" w:rsidP="00CF0D06">
            <w:pPr>
              <w:rPr>
                <w:sz w:val="22"/>
                <w:szCs w:val="22"/>
              </w:rPr>
            </w:pPr>
            <w:r w:rsidRPr="0011609A">
              <w:rPr>
                <w:sz w:val="22"/>
                <w:szCs w:val="22"/>
              </w:rPr>
              <w:t>Food and Drug Administration</w:t>
            </w:r>
            <w:r>
              <w:rPr>
                <w:sz w:val="22"/>
                <w:szCs w:val="22"/>
              </w:rPr>
              <w:t xml:space="preserve"> (CBER/FDA)</w:t>
            </w:r>
          </w:p>
          <w:p w14:paraId="1654BE5C" w14:textId="77777777" w:rsidR="0011609A" w:rsidRDefault="0011609A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Tel: 301-796-7371</w:t>
            </w:r>
          </w:p>
          <w:p w14:paraId="4C179CF9" w14:textId="77777777" w:rsidR="0011609A" w:rsidRPr="00B73C6F" w:rsidRDefault="0011609A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4" w:history="1">
              <w:r w:rsidRPr="004F1849">
                <w:rPr>
                  <w:rStyle w:val="Hyperlink"/>
                  <w:sz w:val="22"/>
                  <w:szCs w:val="22"/>
                </w:rPr>
                <w:t>vahan.simonyan@fda.hhs.gov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0EDD639" w14:textId="77777777" w:rsidR="00B73C6F" w:rsidRDefault="00B73C6F" w:rsidP="00CF0D06">
            <w:pPr>
              <w:rPr>
                <w:sz w:val="22"/>
                <w:szCs w:val="22"/>
                <w:highlight w:val="yellow"/>
              </w:rPr>
            </w:pPr>
          </w:p>
          <w:p w14:paraId="7F401368" w14:textId="69029723" w:rsidR="0093273D" w:rsidRDefault="006E01D7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</w:t>
            </w:r>
            <w:proofErr w:type="spellStart"/>
            <w:r>
              <w:rPr>
                <w:sz w:val="22"/>
                <w:szCs w:val="22"/>
              </w:rPr>
              <w:t>eMERGE</w:t>
            </w:r>
            <w:proofErr w:type="spellEnd"/>
            <w:r>
              <w:rPr>
                <w:sz w:val="22"/>
                <w:szCs w:val="22"/>
              </w:rPr>
              <w:t xml:space="preserve"> investigators are welcome to participate </w:t>
            </w:r>
          </w:p>
          <w:p w14:paraId="583580A7" w14:textId="77777777" w:rsidR="00B73C6F" w:rsidRPr="00092764" w:rsidRDefault="00B73C6F" w:rsidP="00CF0D06">
            <w:pPr>
              <w:rPr>
                <w:sz w:val="22"/>
                <w:szCs w:val="22"/>
              </w:rPr>
            </w:pPr>
          </w:p>
          <w:p w14:paraId="5C97FF60" w14:textId="33077725" w:rsidR="00B73C6F" w:rsidRPr="00092764" w:rsidRDefault="00B73C6F" w:rsidP="00B73C6F">
            <w:pPr>
              <w:rPr>
                <w:sz w:val="22"/>
                <w:szCs w:val="22"/>
              </w:rPr>
            </w:pPr>
          </w:p>
        </w:tc>
      </w:tr>
      <w:tr w:rsidR="0093273D" w:rsidRPr="00092764" w14:paraId="25DAC4A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B91F584" w14:textId="77777777" w:rsidR="0093273D" w:rsidRPr="00092764" w:rsidRDefault="00682869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lastRenderedPageBreak/>
              <w:t xml:space="preserve">Other </w:t>
            </w:r>
            <w:proofErr w:type="spellStart"/>
            <w:r w:rsidRPr="00092764">
              <w:rPr>
                <w:rFonts w:ascii="Calibri Light" w:hAnsi="Calibri Light"/>
                <w:b/>
                <w:sz w:val="22"/>
                <w:szCs w:val="22"/>
              </w:rPr>
              <w:t>eMERGE</w:t>
            </w:r>
            <w:proofErr w:type="spellEnd"/>
            <w:r w:rsidRPr="00092764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93273D" w:rsidRPr="00092764">
              <w:rPr>
                <w:rFonts w:ascii="Calibri Light" w:hAnsi="Calibri Light"/>
                <w:b/>
                <w:sz w:val="22"/>
                <w:szCs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8488B8" w14:textId="77777777" w:rsidR="009B27C2" w:rsidRPr="00904FD9" w:rsidRDefault="009B27C2" w:rsidP="009B27C2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 xml:space="preserve">TBD by </w:t>
            </w:r>
            <w:r w:rsidR="002824FC" w:rsidRPr="000040CE">
              <w:rPr>
                <w:sz w:val="22"/>
                <w:szCs w:val="22"/>
              </w:rPr>
              <w:t>NIH/</w:t>
            </w:r>
            <w:proofErr w:type="spellStart"/>
            <w:r w:rsidRPr="000040CE">
              <w:rPr>
                <w:sz w:val="22"/>
                <w:szCs w:val="22"/>
              </w:rPr>
              <w:t>eMERGE</w:t>
            </w:r>
            <w:proofErr w:type="spellEnd"/>
          </w:p>
          <w:p w14:paraId="0C7DC46D" w14:textId="77777777" w:rsidR="00B73C6F" w:rsidRPr="00904FD9" w:rsidRDefault="00B73C6F" w:rsidP="009B27C2">
            <w:pPr>
              <w:rPr>
                <w:sz w:val="22"/>
                <w:szCs w:val="22"/>
              </w:rPr>
            </w:pPr>
          </w:p>
          <w:p w14:paraId="4FE54B4F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CHOP</w:t>
            </w:r>
            <w:r w:rsidRPr="000040CE">
              <w:rPr>
                <w:sz w:val="22"/>
                <w:szCs w:val="22"/>
              </w:rPr>
              <w:tab/>
            </w:r>
          </w:p>
          <w:p w14:paraId="2A86FB01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CCHMC</w:t>
            </w:r>
            <w:r w:rsidRPr="000040CE">
              <w:rPr>
                <w:sz w:val="22"/>
                <w:szCs w:val="22"/>
              </w:rPr>
              <w:tab/>
              <w:t>?</w:t>
            </w:r>
          </w:p>
          <w:p w14:paraId="17581F05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Columbia</w:t>
            </w:r>
            <w:r w:rsidRPr="000040CE">
              <w:rPr>
                <w:sz w:val="22"/>
                <w:szCs w:val="22"/>
              </w:rPr>
              <w:tab/>
            </w:r>
          </w:p>
          <w:p w14:paraId="2AAACB80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proofErr w:type="spellStart"/>
            <w:r w:rsidRPr="000040CE">
              <w:rPr>
                <w:sz w:val="22"/>
                <w:szCs w:val="22"/>
              </w:rPr>
              <w:t>Geisinger</w:t>
            </w:r>
            <w:proofErr w:type="spellEnd"/>
            <w:r w:rsidRPr="000040CE">
              <w:rPr>
                <w:sz w:val="22"/>
                <w:szCs w:val="22"/>
              </w:rPr>
              <w:tab/>
              <w:t>?</w:t>
            </w:r>
          </w:p>
          <w:p w14:paraId="754DA851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GHC/UW</w:t>
            </w:r>
            <w:r w:rsidRPr="000040CE">
              <w:rPr>
                <w:sz w:val="22"/>
                <w:szCs w:val="22"/>
              </w:rPr>
              <w:tab/>
            </w:r>
          </w:p>
          <w:p w14:paraId="3F3F1BD2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Harvard</w:t>
            </w:r>
            <w:r w:rsidRPr="000040CE">
              <w:rPr>
                <w:sz w:val="22"/>
                <w:szCs w:val="22"/>
              </w:rPr>
              <w:tab/>
            </w:r>
          </w:p>
          <w:p w14:paraId="731B0C72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Marshfield</w:t>
            </w:r>
          </w:p>
          <w:p w14:paraId="6FB9645A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Mayo</w:t>
            </w:r>
            <w:r w:rsidRPr="000040CE">
              <w:rPr>
                <w:sz w:val="22"/>
                <w:szCs w:val="22"/>
              </w:rPr>
              <w:tab/>
            </w:r>
          </w:p>
          <w:p w14:paraId="364BC31D" w14:textId="77777777" w:rsidR="00B73C6F" w:rsidRPr="000040CE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Northwestern</w:t>
            </w:r>
            <w:r w:rsidRPr="000040CE">
              <w:rPr>
                <w:sz w:val="22"/>
                <w:szCs w:val="22"/>
              </w:rPr>
              <w:tab/>
            </w:r>
          </w:p>
          <w:p w14:paraId="1388F11A" w14:textId="77777777" w:rsidR="0093273D" w:rsidRPr="00904FD9" w:rsidRDefault="00B73C6F" w:rsidP="00B73C6F">
            <w:pPr>
              <w:rPr>
                <w:sz w:val="22"/>
                <w:szCs w:val="22"/>
              </w:rPr>
            </w:pPr>
            <w:r w:rsidRPr="000040CE">
              <w:rPr>
                <w:sz w:val="22"/>
                <w:szCs w:val="22"/>
              </w:rPr>
              <w:t>Vanderbilt</w:t>
            </w:r>
            <w:r w:rsidRPr="00904FD9">
              <w:rPr>
                <w:sz w:val="22"/>
                <w:szCs w:val="22"/>
              </w:rPr>
              <w:tab/>
            </w:r>
          </w:p>
          <w:p w14:paraId="07962374" w14:textId="77777777" w:rsidR="0093273D" w:rsidRPr="00904FD9" w:rsidRDefault="0093273D" w:rsidP="00CF0D06">
            <w:pPr>
              <w:rPr>
                <w:sz w:val="22"/>
                <w:szCs w:val="22"/>
              </w:rPr>
            </w:pPr>
          </w:p>
        </w:tc>
      </w:tr>
      <w:tr w:rsidR="0093273D" w:rsidRPr="00092764" w14:paraId="07C19D3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4B7E8C7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6A0285" w14:textId="77777777" w:rsidR="00270D50" w:rsidRPr="00092764" w:rsidRDefault="00270D50" w:rsidP="00270D50">
            <w:pPr>
              <w:rPr>
                <w:color w:val="000000"/>
                <w:sz w:val="22"/>
                <w:szCs w:val="22"/>
              </w:rPr>
            </w:pPr>
            <w:r w:rsidRPr="00092764">
              <w:rPr>
                <w:color w:val="000000"/>
                <w:sz w:val="22"/>
                <w:szCs w:val="22"/>
              </w:rPr>
              <w:t xml:space="preserve">The current project is </w:t>
            </w:r>
            <w:r w:rsidR="00AD79EE">
              <w:rPr>
                <w:color w:val="000000"/>
                <w:sz w:val="22"/>
                <w:szCs w:val="22"/>
              </w:rPr>
              <w:t xml:space="preserve">aligned with </w:t>
            </w:r>
            <w:r w:rsidRPr="00092764">
              <w:rPr>
                <w:color w:val="000000"/>
                <w:sz w:val="22"/>
                <w:szCs w:val="22"/>
              </w:rPr>
              <w:t>CDRH’s regula</w:t>
            </w:r>
            <w:r w:rsidR="00AD79EE">
              <w:rPr>
                <w:color w:val="000000"/>
                <w:sz w:val="22"/>
                <w:szCs w:val="22"/>
              </w:rPr>
              <w:t>tory science initiatives and serves</w:t>
            </w:r>
            <w:r w:rsidRPr="00092764">
              <w:rPr>
                <w:color w:val="000000"/>
                <w:sz w:val="22"/>
                <w:szCs w:val="22"/>
              </w:rPr>
              <w:t xml:space="preserve"> CDRH’s vision for National System fo</w:t>
            </w:r>
            <w:r w:rsidR="00AD79EE">
              <w:rPr>
                <w:color w:val="000000"/>
                <w:sz w:val="22"/>
                <w:szCs w:val="22"/>
              </w:rPr>
              <w:t xml:space="preserve">r Medical Device </w:t>
            </w:r>
            <w:proofErr w:type="gramStart"/>
            <w:r w:rsidR="00AD79EE">
              <w:rPr>
                <w:color w:val="000000"/>
                <w:sz w:val="22"/>
                <w:szCs w:val="22"/>
              </w:rPr>
              <w:t>Evaluation which</w:t>
            </w:r>
            <w:proofErr w:type="gramEnd"/>
            <w:r w:rsidRPr="00092764">
              <w:rPr>
                <w:color w:val="000000"/>
                <w:sz w:val="22"/>
                <w:szCs w:val="22"/>
              </w:rPr>
              <w:t xml:space="preserve"> can provide access </w:t>
            </w:r>
            <w:r w:rsidR="00AD79EE">
              <w:rPr>
                <w:color w:val="000000"/>
                <w:sz w:val="22"/>
                <w:szCs w:val="22"/>
              </w:rPr>
              <w:t>to safe and effective devices and</w:t>
            </w:r>
            <w:r w:rsidRPr="00092764">
              <w:rPr>
                <w:color w:val="000000"/>
                <w:sz w:val="22"/>
                <w:szCs w:val="22"/>
              </w:rPr>
              <w:t xml:space="preserve"> deliver “the right device t</w:t>
            </w:r>
            <w:r w:rsidR="00AD79EE">
              <w:rPr>
                <w:color w:val="000000"/>
                <w:sz w:val="22"/>
                <w:szCs w:val="22"/>
              </w:rPr>
              <w:t>o the right person”</w:t>
            </w:r>
            <w:r w:rsidRPr="00092764">
              <w:rPr>
                <w:color w:val="000000"/>
                <w:sz w:val="22"/>
                <w:szCs w:val="22"/>
              </w:rPr>
              <w:t>.</w:t>
            </w:r>
          </w:p>
          <w:p w14:paraId="33EF7532" w14:textId="77777777" w:rsidR="00270D50" w:rsidRPr="00092764" w:rsidRDefault="00270D50" w:rsidP="00270D50">
            <w:pPr>
              <w:rPr>
                <w:color w:val="000000"/>
                <w:sz w:val="22"/>
                <w:szCs w:val="22"/>
              </w:rPr>
            </w:pPr>
          </w:p>
          <w:p w14:paraId="046FC095" w14:textId="77777777" w:rsidR="00270D50" w:rsidRPr="00092764" w:rsidRDefault="00270D50" w:rsidP="00270D50">
            <w:pPr>
              <w:rPr>
                <w:color w:val="000000"/>
                <w:sz w:val="22"/>
                <w:szCs w:val="22"/>
              </w:rPr>
            </w:pPr>
            <w:r w:rsidRPr="00092764">
              <w:rPr>
                <w:color w:val="000000"/>
                <w:sz w:val="22"/>
                <w:szCs w:val="22"/>
              </w:rPr>
              <w:t xml:space="preserve">As part of </w:t>
            </w:r>
            <w:proofErr w:type="gramStart"/>
            <w:r w:rsidRPr="00092764">
              <w:rPr>
                <w:color w:val="000000"/>
                <w:sz w:val="22"/>
                <w:szCs w:val="22"/>
              </w:rPr>
              <w:t>CDRH's</w:t>
            </w:r>
            <w:proofErr w:type="gramEnd"/>
            <w:r w:rsidRPr="00092764">
              <w:rPr>
                <w:color w:val="000000"/>
                <w:sz w:val="22"/>
                <w:szCs w:val="22"/>
              </w:rPr>
              <w:t xml:space="preserve"> regulatory research efforts</w:t>
            </w:r>
            <w:r w:rsidR="00AD79EE">
              <w:rPr>
                <w:color w:val="000000"/>
                <w:sz w:val="22"/>
                <w:szCs w:val="22"/>
              </w:rPr>
              <w:t xml:space="preserve"> for strengthening </w:t>
            </w:r>
            <w:r w:rsidRPr="00092764">
              <w:rPr>
                <w:color w:val="000000"/>
                <w:sz w:val="22"/>
                <w:szCs w:val="22"/>
              </w:rPr>
              <w:t xml:space="preserve">device evaluation, new evidentiary approaches are needed to individualize </w:t>
            </w:r>
            <w:r w:rsidR="00AD00B5">
              <w:rPr>
                <w:color w:val="000000"/>
                <w:sz w:val="22"/>
                <w:szCs w:val="22"/>
              </w:rPr>
              <w:t xml:space="preserve">the device-related </w:t>
            </w:r>
            <w:r w:rsidRPr="00092764">
              <w:rPr>
                <w:color w:val="000000"/>
                <w:sz w:val="22"/>
                <w:szCs w:val="22"/>
              </w:rPr>
              <w:t xml:space="preserve">risk-benefit assessment and facilitate </w:t>
            </w:r>
            <w:r w:rsidR="00AD00B5">
              <w:rPr>
                <w:color w:val="000000"/>
                <w:sz w:val="22"/>
                <w:szCs w:val="22"/>
              </w:rPr>
              <w:t xml:space="preserve">a </w:t>
            </w:r>
            <w:r w:rsidRPr="00092764">
              <w:rPr>
                <w:color w:val="000000"/>
                <w:sz w:val="22"/>
                <w:szCs w:val="22"/>
              </w:rPr>
              <w:t xml:space="preserve">more predictive evaluation of real-world </w:t>
            </w:r>
            <w:r w:rsidR="00AD00B5">
              <w:rPr>
                <w:color w:val="000000"/>
                <w:sz w:val="22"/>
                <w:szCs w:val="22"/>
              </w:rPr>
              <w:t xml:space="preserve">device </w:t>
            </w:r>
            <w:r w:rsidRPr="00092764">
              <w:rPr>
                <w:color w:val="000000"/>
                <w:sz w:val="22"/>
                <w:szCs w:val="22"/>
              </w:rPr>
              <w:t>performan</w:t>
            </w:r>
            <w:r w:rsidR="00AD00B5">
              <w:rPr>
                <w:color w:val="000000"/>
                <w:sz w:val="22"/>
                <w:szCs w:val="22"/>
              </w:rPr>
              <w:t xml:space="preserve">ce. This project will utilize </w:t>
            </w:r>
            <w:r w:rsidRPr="00092764">
              <w:rPr>
                <w:color w:val="000000"/>
                <w:sz w:val="22"/>
                <w:szCs w:val="22"/>
              </w:rPr>
              <w:t xml:space="preserve">novel </w:t>
            </w:r>
            <w:r w:rsidRPr="00092764">
              <w:rPr>
                <w:i/>
                <w:color w:val="000000"/>
                <w:sz w:val="22"/>
                <w:szCs w:val="22"/>
              </w:rPr>
              <w:t xml:space="preserve">in </w:t>
            </w:r>
            <w:proofErr w:type="spellStart"/>
            <w:r w:rsidRPr="00092764">
              <w:rPr>
                <w:i/>
                <w:color w:val="000000"/>
                <w:sz w:val="22"/>
                <w:szCs w:val="22"/>
              </w:rPr>
              <w:t>silico</w:t>
            </w:r>
            <w:proofErr w:type="spellEnd"/>
            <w:r w:rsidR="00AD00B5">
              <w:rPr>
                <w:color w:val="000000"/>
                <w:sz w:val="22"/>
                <w:szCs w:val="22"/>
              </w:rPr>
              <w:t xml:space="preserve"> evidence synthesis approaches </w:t>
            </w:r>
            <w:r w:rsidR="00AD79EE">
              <w:rPr>
                <w:color w:val="000000"/>
                <w:sz w:val="22"/>
                <w:szCs w:val="22"/>
              </w:rPr>
              <w:t>harnessing the recent advances in</w:t>
            </w:r>
            <w:r w:rsidRPr="00092764">
              <w:rPr>
                <w:color w:val="000000"/>
                <w:sz w:val="22"/>
                <w:szCs w:val="22"/>
              </w:rPr>
              <w:t xml:space="preserve"> </w:t>
            </w:r>
            <w:r w:rsidR="00AD79EE">
              <w:rPr>
                <w:color w:val="000000"/>
                <w:sz w:val="22"/>
                <w:szCs w:val="22"/>
              </w:rPr>
              <w:t xml:space="preserve">translational epidemiology, </w:t>
            </w:r>
            <w:r w:rsidRPr="00092764">
              <w:rPr>
                <w:color w:val="000000"/>
                <w:sz w:val="22"/>
                <w:szCs w:val="22"/>
              </w:rPr>
              <w:t>genetics/genomics</w:t>
            </w:r>
            <w:r w:rsidR="00AD79EE">
              <w:rPr>
                <w:color w:val="000000"/>
                <w:sz w:val="22"/>
                <w:szCs w:val="22"/>
              </w:rPr>
              <w:t>, and bioinformatics</w:t>
            </w:r>
            <w:r w:rsidRPr="00092764">
              <w:rPr>
                <w:color w:val="000000"/>
                <w:sz w:val="22"/>
                <w:szCs w:val="22"/>
              </w:rPr>
              <w:t xml:space="preserve">. </w:t>
            </w:r>
          </w:p>
          <w:p w14:paraId="4E3BB732" w14:textId="77777777" w:rsidR="00270D50" w:rsidRPr="00092764" w:rsidRDefault="00270D50" w:rsidP="00270D50">
            <w:pPr>
              <w:rPr>
                <w:color w:val="000000"/>
                <w:sz w:val="22"/>
                <w:szCs w:val="22"/>
              </w:rPr>
            </w:pPr>
          </w:p>
          <w:p w14:paraId="63EFD34D" w14:textId="77777777" w:rsidR="0093273D" w:rsidRDefault="00270D50" w:rsidP="00092764">
            <w:pPr>
              <w:rPr>
                <w:color w:val="000000"/>
                <w:sz w:val="22"/>
                <w:szCs w:val="22"/>
              </w:rPr>
            </w:pPr>
            <w:r w:rsidRPr="00092764">
              <w:rPr>
                <w:color w:val="000000"/>
                <w:sz w:val="22"/>
                <w:szCs w:val="22"/>
              </w:rPr>
              <w:t xml:space="preserve">In addition to employing conventional data sources such as device </w:t>
            </w:r>
            <w:r w:rsidR="00092764" w:rsidRPr="00092764">
              <w:rPr>
                <w:color w:val="000000"/>
                <w:sz w:val="22"/>
                <w:szCs w:val="22"/>
              </w:rPr>
              <w:t xml:space="preserve">registries, </w:t>
            </w:r>
            <w:r w:rsidRPr="00092764">
              <w:rPr>
                <w:color w:val="000000"/>
                <w:sz w:val="22"/>
                <w:szCs w:val="22"/>
              </w:rPr>
              <w:t>other pre-existing biomedical data sources will b</w:t>
            </w:r>
            <w:r w:rsidR="00092764" w:rsidRPr="00092764">
              <w:rPr>
                <w:color w:val="000000"/>
                <w:sz w:val="22"/>
                <w:szCs w:val="22"/>
              </w:rPr>
              <w:t>e explored for</w:t>
            </w:r>
            <w:r w:rsidRPr="00092764">
              <w:rPr>
                <w:color w:val="000000"/>
                <w:sz w:val="22"/>
                <w:szCs w:val="22"/>
              </w:rPr>
              <w:t xml:space="preserve"> identifying device-</w:t>
            </w:r>
            <w:r w:rsidR="00AD79EE">
              <w:rPr>
                <w:color w:val="000000"/>
                <w:sz w:val="22"/>
                <w:szCs w:val="22"/>
              </w:rPr>
              <w:t>related genetic/genomic data that can be used for</w:t>
            </w:r>
            <w:r w:rsidRPr="00092764">
              <w:rPr>
                <w:color w:val="000000"/>
                <w:sz w:val="22"/>
                <w:szCs w:val="22"/>
              </w:rPr>
              <w:t xml:space="preserve"> discover</w:t>
            </w:r>
            <w:r w:rsidR="00AD79EE">
              <w:rPr>
                <w:color w:val="000000"/>
                <w:sz w:val="22"/>
                <w:szCs w:val="22"/>
              </w:rPr>
              <w:t>y of</w:t>
            </w:r>
            <w:r w:rsidRPr="00092764">
              <w:rPr>
                <w:color w:val="000000"/>
                <w:sz w:val="22"/>
                <w:szCs w:val="22"/>
              </w:rPr>
              <w:t xml:space="preserve"> new </w:t>
            </w:r>
            <w:r w:rsidR="00092764" w:rsidRPr="00092764">
              <w:rPr>
                <w:color w:val="000000"/>
                <w:sz w:val="22"/>
                <w:szCs w:val="22"/>
              </w:rPr>
              <w:t xml:space="preserve">- </w:t>
            </w:r>
            <w:r w:rsidRPr="00092764">
              <w:rPr>
                <w:color w:val="000000"/>
                <w:sz w:val="22"/>
                <w:szCs w:val="22"/>
              </w:rPr>
              <w:t xml:space="preserve">reliable and measurable </w:t>
            </w:r>
            <w:r w:rsidR="00092764" w:rsidRPr="00092764">
              <w:rPr>
                <w:color w:val="000000"/>
                <w:sz w:val="22"/>
                <w:szCs w:val="22"/>
              </w:rPr>
              <w:t xml:space="preserve">- </w:t>
            </w:r>
            <w:r w:rsidRPr="00092764">
              <w:rPr>
                <w:color w:val="000000"/>
                <w:sz w:val="22"/>
                <w:szCs w:val="22"/>
              </w:rPr>
              <w:t>study endpoints (</w:t>
            </w:r>
            <w:r w:rsidRPr="00387BB7">
              <w:rPr>
                <w:i/>
                <w:color w:val="000000"/>
                <w:sz w:val="22"/>
                <w:szCs w:val="22"/>
              </w:rPr>
              <w:t>e.g.,</w:t>
            </w:r>
            <w:r w:rsidRPr="00092764">
              <w:rPr>
                <w:color w:val="000000"/>
                <w:sz w:val="22"/>
                <w:szCs w:val="22"/>
              </w:rPr>
              <w:t xml:space="preserve"> molecular </w:t>
            </w:r>
            <w:r w:rsidR="00AD79EE">
              <w:rPr>
                <w:color w:val="000000"/>
                <w:sz w:val="22"/>
                <w:szCs w:val="22"/>
              </w:rPr>
              <w:t>biomarkers</w:t>
            </w:r>
            <w:r w:rsidRPr="00092764">
              <w:rPr>
                <w:color w:val="000000"/>
                <w:sz w:val="22"/>
                <w:szCs w:val="22"/>
              </w:rPr>
              <w:t xml:space="preserve"> indicative of device perfo</w:t>
            </w:r>
            <w:r w:rsidR="00AD79EE">
              <w:rPr>
                <w:color w:val="000000"/>
                <w:sz w:val="22"/>
                <w:szCs w:val="22"/>
              </w:rPr>
              <w:t>rmance in patient subgroups</w:t>
            </w:r>
            <w:r w:rsidR="00092764" w:rsidRPr="00092764">
              <w:rPr>
                <w:color w:val="000000"/>
                <w:sz w:val="22"/>
                <w:szCs w:val="22"/>
              </w:rPr>
              <w:t xml:space="preserve">). As a result, this </w:t>
            </w:r>
            <w:r w:rsidR="00092764" w:rsidRPr="00092764">
              <w:rPr>
                <w:i/>
                <w:color w:val="000000"/>
                <w:sz w:val="22"/>
                <w:szCs w:val="22"/>
              </w:rPr>
              <w:t xml:space="preserve">in </w:t>
            </w:r>
            <w:proofErr w:type="spellStart"/>
            <w:r w:rsidR="00092764" w:rsidRPr="00092764">
              <w:rPr>
                <w:i/>
                <w:color w:val="000000"/>
                <w:sz w:val="22"/>
                <w:szCs w:val="22"/>
              </w:rPr>
              <w:t>silico</w:t>
            </w:r>
            <w:proofErr w:type="spellEnd"/>
            <w:r w:rsidR="00092764" w:rsidRPr="00092764">
              <w:rPr>
                <w:color w:val="000000"/>
                <w:sz w:val="22"/>
                <w:szCs w:val="22"/>
              </w:rPr>
              <w:t xml:space="preserve"> approach</w:t>
            </w:r>
            <w:r w:rsidRPr="0009276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92764">
              <w:rPr>
                <w:color w:val="000000"/>
                <w:sz w:val="22"/>
                <w:szCs w:val="22"/>
              </w:rPr>
              <w:t>is expected</w:t>
            </w:r>
            <w:proofErr w:type="gramEnd"/>
            <w:r w:rsidRPr="00092764">
              <w:rPr>
                <w:color w:val="000000"/>
                <w:sz w:val="22"/>
                <w:szCs w:val="22"/>
              </w:rPr>
              <w:t xml:space="preserve"> to enhance</w:t>
            </w:r>
            <w:r w:rsidR="00092764" w:rsidRPr="00092764">
              <w:rPr>
                <w:color w:val="000000"/>
                <w:sz w:val="22"/>
                <w:szCs w:val="22"/>
              </w:rPr>
              <w:t xml:space="preserve"> clinical and </w:t>
            </w:r>
            <w:r w:rsidRPr="00092764">
              <w:rPr>
                <w:color w:val="000000"/>
                <w:sz w:val="22"/>
                <w:szCs w:val="22"/>
              </w:rPr>
              <w:t>regulatory decision-making</w:t>
            </w:r>
            <w:r w:rsidR="00092764" w:rsidRPr="00092764">
              <w:rPr>
                <w:color w:val="000000"/>
                <w:sz w:val="22"/>
                <w:szCs w:val="22"/>
              </w:rPr>
              <w:t xml:space="preserve"> and </w:t>
            </w:r>
            <w:r w:rsidRPr="00092764">
              <w:rPr>
                <w:color w:val="000000"/>
                <w:sz w:val="22"/>
                <w:szCs w:val="22"/>
              </w:rPr>
              <w:t xml:space="preserve">promote </w:t>
            </w:r>
            <w:r w:rsidR="00092764" w:rsidRPr="00092764">
              <w:rPr>
                <w:color w:val="000000"/>
                <w:sz w:val="22"/>
                <w:szCs w:val="22"/>
              </w:rPr>
              <w:t xml:space="preserve">device-related </w:t>
            </w:r>
            <w:r w:rsidRPr="00092764">
              <w:rPr>
                <w:color w:val="000000"/>
                <w:sz w:val="22"/>
                <w:szCs w:val="22"/>
              </w:rPr>
              <w:t>Precision Medicine</w:t>
            </w:r>
            <w:r w:rsidR="00092764" w:rsidRPr="00092764">
              <w:rPr>
                <w:color w:val="000000"/>
                <w:sz w:val="22"/>
                <w:szCs w:val="22"/>
              </w:rPr>
              <w:t xml:space="preserve"> applications</w:t>
            </w:r>
            <w:r w:rsidRPr="00092764">
              <w:rPr>
                <w:color w:val="000000"/>
                <w:sz w:val="22"/>
                <w:szCs w:val="22"/>
              </w:rPr>
              <w:t>.</w:t>
            </w:r>
          </w:p>
          <w:p w14:paraId="028A1E86" w14:textId="77777777" w:rsidR="00092764" w:rsidRPr="00092764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</w:tr>
      <w:tr w:rsidR="0093273D" w:rsidRPr="00092764" w14:paraId="522FFF1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9B9636F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8286DFC" w14:textId="77777777" w:rsidR="0093273D" w:rsidRDefault="000F2BBF" w:rsidP="000F2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part of the efforts for</w:t>
            </w:r>
            <w:r w:rsidR="00092764" w:rsidRPr="00092764">
              <w:rPr>
                <w:sz w:val="22"/>
                <w:szCs w:val="22"/>
              </w:rPr>
              <w:t xml:space="preserve"> raising awar</w:t>
            </w:r>
            <w:r w:rsidR="008A7086">
              <w:rPr>
                <w:sz w:val="22"/>
                <w:szCs w:val="22"/>
              </w:rPr>
              <w:t>eness of</w:t>
            </w:r>
            <w:r w:rsidR="00092764">
              <w:rPr>
                <w:sz w:val="22"/>
                <w:szCs w:val="22"/>
              </w:rPr>
              <w:t xml:space="preserve"> the need for</w:t>
            </w:r>
            <w:r w:rsidR="00092764" w:rsidRPr="00092764">
              <w:rPr>
                <w:sz w:val="22"/>
                <w:szCs w:val="22"/>
              </w:rPr>
              <w:t xml:space="preserve"> finding cost/time-efficient solutions</w:t>
            </w:r>
            <w:r w:rsidR="00092764">
              <w:rPr>
                <w:sz w:val="22"/>
                <w:szCs w:val="22"/>
              </w:rPr>
              <w:t xml:space="preserve"> fo</w:t>
            </w:r>
            <w:r w:rsidR="008A7086">
              <w:rPr>
                <w:sz w:val="22"/>
                <w:szCs w:val="22"/>
              </w:rPr>
              <w:t xml:space="preserve">r device-related </w:t>
            </w:r>
            <w:r w:rsidR="00092764" w:rsidRPr="00092764">
              <w:rPr>
                <w:sz w:val="22"/>
                <w:szCs w:val="22"/>
              </w:rPr>
              <w:t>Precision Medicine applications</w:t>
            </w:r>
            <w:r w:rsidR="008A7086">
              <w:rPr>
                <w:sz w:val="22"/>
                <w:szCs w:val="22"/>
              </w:rPr>
              <w:t xml:space="preserve">, this project is </w:t>
            </w:r>
            <w:r w:rsidR="00092764" w:rsidRPr="00092764">
              <w:rPr>
                <w:sz w:val="22"/>
                <w:szCs w:val="22"/>
              </w:rPr>
              <w:t xml:space="preserve">intended to develop </w:t>
            </w:r>
            <w:r w:rsidR="00387BB7">
              <w:rPr>
                <w:sz w:val="22"/>
                <w:szCs w:val="22"/>
              </w:rPr>
              <w:t xml:space="preserve">and propagate </w:t>
            </w:r>
            <w:r w:rsidR="00092764" w:rsidRPr="00092764">
              <w:rPr>
                <w:sz w:val="22"/>
                <w:szCs w:val="22"/>
              </w:rPr>
              <w:t>unconventional evidenti</w:t>
            </w:r>
            <w:r w:rsidR="008A7086">
              <w:rPr>
                <w:sz w:val="22"/>
                <w:szCs w:val="22"/>
              </w:rPr>
              <w:t>ary and analytical approaches based on the</w:t>
            </w:r>
            <w:r w:rsidR="00092764" w:rsidRPr="00092764">
              <w:rPr>
                <w:sz w:val="22"/>
                <w:szCs w:val="22"/>
              </w:rPr>
              <w:t xml:space="preserve"> re-utilizat</w:t>
            </w:r>
            <w:r w:rsidR="00387BB7">
              <w:rPr>
                <w:sz w:val="22"/>
                <w:szCs w:val="22"/>
              </w:rPr>
              <w:t xml:space="preserve">ion and re-purposing of </w:t>
            </w:r>
            <w:r w:rsidR="00001A60">
              <w:rPr>
                <w:sz w:val="22"/>
                <w:szCs w:val="22"/>
              </w:rPr>
              <w:t xml:space="preserve">disparate </w:t>
            </w:r>
            <w:r w:rsidR="00092764" w:rsidRPr="00092764">
              <w:rPr>
                <w:sz w:val="22"/>
                <w:szCs w:val="22"/>
              </w:rPr>
              <w:t>pre-existing data (e.g.</w:t>
            </w:r>
            <w:r>
              <w:rPr>
                <w:sz w:val="22"/>
                <w:szCs w:val="22"/>
              </w:rPr>
              <w:t>, epidemiological, clinical,</w:t>
            </w:r>
            <w:r w:rsidR="00092764" w:rsidRPr="00092764">
              <w:rPr>
                <w:sz w:val="22"/>
                <w:szCs w:val="22"/>
              </w:rPr>
              <w:t xml:space="preserve"> 'omics</w:t>
            </w:r>
            <w:r>
              <w:rPr>
                <w:sz w:val="22"/>
                <w:szCs w:val="22"/>
              </w:rPr>
              <w:t xml:space="preserve">, </w:t>
            </w:r>
            <w:r w:rsidRPr="00D01327">
              <w:rPr>
                <w:i/>
                <w:sz w:val="22"/>
                <w:szCs w:val="22"/>
              </w:rPr>
              <w:t>etc.</w:t>
            </w:r>
            <w:r w:rsidR="00092764" w:rsidRPr="00092764">
              <w:rPr>
                <w:sz w:val="22"/>
                <w:szCs w:val="22"/>
              </w:rPr>
              <w:t xml:space="preserve">) The current pilot is focused on </w:t>
            </w:r>
            <w:r w:rsidR="00387BB7">
              <w:rPr>
                <w:sz w:val="22"/>
                <w:szCs w:val="22"/>
              </w:rPr>
              <w:t xml:space="preserve">hip arthroplasty and </w:t>
            </w:r>
            <w:r w:rsidR="008A7086">
              <w:rPr>
                <w:sz w:val="22"/>
                <w:szCs w:val="22"/>
              </w:rPr>
              <w:t xml:space="preserve">is </w:t>
            </w:r>
            <w:r w:rsidR="00092764" w:rsidRPr="00092764">
              <w:rPr>
                <w:sz w:val="22"/>
                <w:szCs w:val="22"/>
              </w:rPr>
              <w:t xml:space="preserve">aimed at </w:t>
            </w:r>
            <w:r w:rsidR="00092764" w:rsidRPr="008A7086">
              <w:rPr>
                <w:i/>
                <w:sz w:val="22"/>
                <w:szCs w:val="22"/>
              </w:rPr>
              <w:t xml:space="preserve">in </w:t>
            </w:r>
            <w:proofErr w:type="spellStart"/>
            <w:r w:rsidR="00092764" w:rsidRPr="008A7086">
              <w:rPr>
                <w:i/>
                <w:sz w:val="22"/>
                <w:szCs w:val="22"/>
              </w:rPr>
              <w:t>silico</w:t>
            </w:r>
            <w:proofErr w:type="spellEnd"/>
            <w:r w:rsidR="00092764" w:rsidRPr="00092764">
              <w:rPr>
                <w:sz w:val="22"/>
                <w:szCs w:val="22"/>
              </w:rPr>
              <w:t xml:space="preserve"> discovery of candidate SNP(s) that may differentially affect </w:t>
            </w:r>
            <w:r w:rsidR="008A7086">
              <w:rPr>
                <w:sz w:val="22"/>
                <w:szCs w:val="22"/>
              </w:rPr>
              <w:t xml:space="preserve">the </w:t>
            </w:r>
            <w:r w:rsidR="00092764" w:rsidRPr="00092764">
              <w:rPr>
                <w:sz w:val="22"/>
                <w:szCs w:val="22"/>
              </w:rPr>
              <w:t xml:space="preserve">hip arthroplasty </w:t>
            </w:r>
            <w:r w:rsidR="008A7086">
              <w:rPr>
                <w:sz w:val="22"/>
                <w:szCs w:val="22"/>
              </w:rPr>
              <w:t xml:space="preserve">related </w:t>
            </w:r>
            <w:r w:rsidR="00092764" w:rsidRPr="00092764">
              <w:rPr>
                <w:sz w:val="22"/>
                <w:szCs w:val="22"/>
              </w:rPr>
              <w:t xml:space="preserve">outcomes in </w:t>
            </w:r>
            <w:r w:rsidR="008A7086">
              <w:rPr>
                <w:sz w:val="22"/>
                <w:szCs w:val="22"/>
              </w:rPr>
              <w:t>sex/</w:t>
            </w:r>
            <w:r w:rsidR="00D01327">
              <w:rPr>
                <w:sz w:val="22"/>
                <w:szCs w:val="22"/>
              </w:rPr>
              <w:t>race-stratified subpopulation</w:t>
            </w:r>
            <w:r w:rsidR="008A7086">
              <w:rPr>
                <w:sz w:val="22"/>
                <w:szCs w:val="22"/>
              </w:rPr>
              <w:t>s</w:t>
            </w:r>
            <w:r w:rsidR="00092764" w:rsidRPr="00092764">
              <w:rPr>
                <w:sz w:val="22"/>
                <w:szCs w:val="22"/>
              </w:rPr>
              <w:t>.</w:t>
            </w:r>
          </w:p>
          <w:p w14:paraId="521030E1" w14:textId="77777777" w:rsidR="00264193" w:rsidRPr="00092764" w:rsidRDefault="00264193" w:rsidP="000F2BBF">
            <w:pPr>
              <w:rPr>
                <w:sz w:val="22"/>
                <w:szCs w:val="22"/>
              </w:rPr>
            </w:pPr>
          </w:p>
        </w:tc>
      </w:tr>
      <w:tr w:rsidR="0093273D" w:rsidRPr="00092764" w14:paraId="7CB01406" w14:textId="7777777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65A80B5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 xml:space="preserve">Desired Variables </w:t>
            </w:r>
          </w:p>
          <w:p w14:paraId="290867B0" w14:textId="77777777" w:rsidR="0093273D" w:rsidRPr="00092764" w:rsidRDefault="0093273D" w:rsidP="00CF0D06">
            <w:pPr>
              <w:rPr>
                <w:rFonts w:ascii="Calibri Light" w:hAnsi="Calibri Light"/>
                <w:i/>
                <w:sz w:val="22"/>
                <w:szCs w:val="22"/>
              </w:rPr>
            </w:pPr>
            <w:r w:rsidRPr="00092764">
              <w:rPr>
                <w:rFonts w:ascii="Calibri Light" w:hAnsi="Calibri Light"/>
                <w:i/>
                <w:sz w:val="22"/>
                <w:szCs w:val="22"/>
              </w:rPr>
              <w:t>(essential for analysis</w:t>
            </w:r>
          </w:p>
          <w:p w14:paraId="427E8CCD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i/>
                <w:sz w:val="22"/>
                <w:szCs w:val="22"/>
              </w:rPr>
              <w:t xml:space="preserve">indicated by </w:t>
            </w:r>
            <w:r w:rsidRPr="00092764">
              <w:rPr>
                <w:rFonts w:ascii="Calibri Light" w:hAnsi="Calibri Light"/>
                <w:b/>
                <w:i/>
                <w:sz w:val="22"/>
                <w:szCs w:val="22"/>
              </w:rPr>
              <w:t>*</w:t>
            </w:r>
            <w:r w:rsidRPr="00092764">
              <w:rPr>
                <w:rFonts w:ascii="Calibri Light" w:hAnsi="Calibri Light"/>
                <w:i/>
                <w:sz w:val="22"/>
                <w:szCs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EC615A" w14:textId="407295A4" w:rsidR="00264193" w:rsidRDefault="00264193" w:rsidP="00264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Demographic: </w:t>
            </w:r>
            <w:r>
              <w:rPr>
                <w:sz w:val="22"/>
                <w:szCs w:val="22"/>
              </w:rPr>
              <w:br/>
              <w:t>Sex</w:t>
            </w:r>
            <w:r w:rsidR="00AA5E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Race/Ethnicity</w:t>
            </w:r>
            <w:r w:rsidR="00AA5EDB">
              <w:rPr>
                <w:sz w:val="22"/>
                <w:szCs w:val="22"/>
              </w:rPr>
              <w:t xml:space="preserve">, and Age (the subject’s age will be defined </w:t>
            </w:r>
            <w:r w:rsidR="00155983">
              <w:rPr>
                <w:sz w:val="22"/>
                <w:szCs w:val="22"/>
              </w:rPr>
              <w:t xml:space="preserve">as an integer variable </w:t>
            </w:r>
            <w:r w:rsidR="00AA5EDB">
              <w:rPr>
                <w:sz w:val="22"/>
                <w:szCs w:val="22"/>
              </w:rPr>
              <w:t>in association with the</w:t>
            </w:r>
            <w:r w:rsidR="00155983">
              <w:rPr>
                <w:sz w:val="22"/>
                <w:szCs w:val="22"/>
              </w:rPr>
              <w:t xml:space="preserve"> timing of subject’s ICD codes for hip arthroplasty-related diagnoses and procedures</w:t>
            </w:r>
            <w:r w:rsidR="000325D5">
              <w:rPr>
                <w:sz w:val="22"/>
                <w:szCs w:val="22"/>
              </w:rPr>
              <w:t>)</w:t>
            </w:r>
          </w:p>
          <w:p w14:paraId="065F7B1D" w14:textId="77777777" w:rsidR="00264193" w:rsidRDefault="00264193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72C56" w:rsidRPr="00264193">
              <w:rPr>
                <w:sz w:val="22"/>
                <w:szCs w:val="22"/>
              </w:rPr>
              <w:t>Internati</w:t>
            </w:r>
            <w:r w:rsidRPr="00264193">
              <w:rPr>
                <w:sz w:val="22"/>
                <w:szCs w:val="22"/>
              </w:rPr>
              <w:t xml:space="preserve">onal Classification of Diseases – ICD9 codes (and their ICD10 equivalents, </w:t>
            </w:r>
            <w:r w:rsidRPr="00264193">
              <w:rPr>
                <w:i/>
                <w:sz w:val="22"/>
                <w:szCs w:val="22"/>
              </w:rPr>
              <w:t>not shown</w:t>
            </w:r>
            <w:r w:rsidRPr="00264193">
              <w:rPr>
                <w:sz w:val="22"/>
                <w:szCs w:val="22"/>
              </w:rPr>
              <w:t>) pertaining to hip arthroplasty</w:t>
            </w:r>
            <w:r w:rsidR="00387BB7">
              <w:rPr>
                <w:sz w:val="22"/>
                <w:szCs w:val="22"/>
              </w:rPr>
              <w:t xml:space="preserve"> with corresponding procedures and health outcomes</w:t>
            </w:r>
            <w:r w:rsidRPr="00264193">
              <w:rPr>
                <w:sz w:val="22"/>
                <w:szCs w:val="22"/>
              </w:rPr>
              <w:t>:</w:t>
            </w:r>
          </w:p>
          <w:p w14:paraId="1802AA9B" w14:textId="77777777" w:rsidR="002824FC" w:rsidRDefault="002824FC" w:rsidP="00CF0D06">
            <w:pPr>
              <w:rPr>
                <w:sz w:val="22"/>
                <w:szCs w:val="22"/>
              </w:rPr>
            </w:pPr>
          </w:p>
          <w:p w14:paraId="3957B016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>V43.64 Hip joint replacement (history)</w:t>
            </w:r>
          </w:p>
          <w:p w14:paraId="740B032C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lastRenderedPageBreak/>
              <w:t xml:space="preserve">81.51 Total hip replacement </w:t>
            </w:r>
          </w:p>
          <w:p w14:paraId="65859E40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81.52 Partial hip replacement </w:t>
            </w:r>
          </w:p>
          <w:p w14:paraId="5214F369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>81.53 Revision of hip replacement, not otherwise specified</w:t>
            </w:r>
          </w:p>
          <w:p w14:paraId="08CAEE25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00.70 Revision of hip replacement, both acetabular and femoral components </w:t>
            </w:r>
          </w:p>
          <w:p w14:paraId="6C1EC39A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00.71 Revision of hip replacement, acetabular component </w:t>
            </w:r>
          </w:p>
          <w:p w14:paraId="7342D3B1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00.72 Revision of hip replacement, femoral component </w:t>
            </w:r>
          </w:p>
          <w:p w14:paraId="65C02B1A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>00.73 Revision of hip replacement, acetabular liner and/or femoral head only</w:t>
            </w:r>
          </w:p>
          <w:p w14:paraId="184283C0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996.41 Mechanical loosening of prosthetic joint </w:t>
            </w:r>
          </w:p>
          <w:p w14:paraId="4AC52787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996.42 Dislocation of prosthetic joint </w:t>
            </w:r>
          </w:p>
          <w:p w14:paraId="088A4A87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996.43 Broken prosthetic joint implant </w:t>
            </w:r>
          </w:p>
          <w:p w14:paraId="3C59C069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996.44 </w:t>
            </w:r>
            <w:proofErr w:type="spellStart"/>
            <w:r w:rsidRPr="00264193">
              <w:rPr>
                <w:sz w:val="22"/>
                <w:szCs w:val="22"/>
              </w:rPr>
              <w:t>Periprosthetic</w:t>
            </w:r>
            <w:proofErr w:type="spellEnd"/>
            <w:r w:rsidRPr="00264193">
              <w:rPr>
                <w:sz w:val="22"/>
                <w:szCs w:val="22"/>
              </w:rPr>
              <w:t xml:space="preserve"> fracture around prosthetic joint </w:t>
            </w:r>
          </w:p>
          <w:p w14:paraId="5A374BCB" w14:textId="77777777" w:rsidR="00264193" w:rsidRP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 xml:space="preserve">996.45 </w:t>
            </w:r>
            <w:proofErr w:type="spellStart"/>
            <w:r w:rsidRPr="00264193">
              <w:rPr>
                <w:sz w:val="22"/>
                <w:szCs w:val="22"/>
              </w:rPr>
              <w:t>Periprosthetic</w:t>
            </w:r>
            <w:proofErr w:type="spellEnd"/>
            <w:r w:rsidRPr="00264193">
              <w:rPr>
                <w:sz w:val="22"/>
                <w:szCs w:val="22"/>
              </w:rPr>
              <w:t xml:space="preserve"> </w:t>
            </w:r>
            <w:proofErr w:type="spellStart"/>
            <w:r w:rsidRPr="00264193">
              <w:rPr>
                <w:sz w:val="22"/>
                <w:szCs w:val="22"/>
              </w:rPr>
              <w:t>osteolysis</w:t>
            </w:r>
            <w:proofErr w:type="spellEnd"/>
            <w:r w:rsidRPr="00264193">
              <w:rPr>
                <w:sz w:val="22"/>
                <w:szCs w:val="22"/>
              </w:rPr>
              <w:t xml:space="preserve"> </w:t>
            </w:r>
          </w:p>
          <w:p w14:paraId="166387CF" w14:textId="77777777" w:rsidR="00264193" w:rsidRDefault="00264193" w:rsidP="00264193">
            <w:pPr>
              <w:rPr>
                <w:sz w:val="22"/>
                <w:szCs w:val="22"/>
              </w:rPr>
            </w:pPr>
            <w:r w:rsidRPr="00264193">
              <w:rPr>
                <w:sz w:val="22"/>
                <w:szCs w:val="22"/>
              </w:rPr>
              <w:t>996.46 Articular bearing surface wear of prosthetic joint</w:t>
            </w:r>
          </w:p>
          <w:p w14:paraId="035DDA9B" w14:textId="77777777" w:rsidR="0011609A" w:rsidRDefault="0011609A" w:rsidP="00264193">
            <w:pPr>
              <w:rPr>
                <w:sz w:val="22"/>
                <w:szCs w:val="22"/>
                <w:highlight w:val="yellow"/>
              </w:rPr>
            </w:pPr>
          </w:p>
          <w:p w14:paraId="42982DF2" w14:textId="06E38E32" w:rsidR="00264193" w:rsidRDefault="00264193" w:rsidP="00264193">
            <w:pPr>
              <w:rPr>
                <w:sz w:val="22"/>
                <w:szCs w:val="22"/>
              </w:rPr>
            </w:pPr>
          </w:p>
          <w:p w14:paraId="07DA9252" w14:textId="63127FEC" w:rsidR="00155983" w:rsidRDefault="00155983" w:rsidP="00264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Genetic:</w:t>
            </w:r>
          </w:p>
          <w:p w14:paraId="63277B3F" w14:textId="62D2D0EE" w:rsidR="0011609A" w:rsidRPr="00092764" w:rsidRDefault="00155983" w:rsidP="00264193">
            <w:pPr>
              <w:rPr>
                <w:sz w:val="22"/>
                <w:szCs w:val="22"/>
              </w:rPr>
            </w:pPr>
            <w:proofErr w:type="spellStart"/>
            <w:r w:rsidRPr="00155983">
              <w:rPr>
                <w:sz w:val="22"/>
                <w:szCs w:val="22"/>
              </w:rPr>
              <w:t>eMERGE</w:t>
            </w:r>
            <w:proofErr w:type="spellEnd"/>
            <w:r w:rsidRPr="00155983">
              <w:rPr>
                <w:sz w:val="22"/>
                <w:szCs w:val="22"/>
              </w:rPr>
              <w:t xml:space="preserve"> Phase III Array Data </w:t>
            </w:r>
            <w:r w:rsidR="004C2EF6">
              <w:rPr>
                <w:sz w:val="22"/>
                <w:szCs w:val="22"/>
              </w:rPr>
              <w:t xml:space="preserve">will be used for deriving </w:t>
            </w:r>
            <w:r>
              <w:rPr>
                <w:sz w:val="22"/>
                <w:szCs w:val="22"/>
              </w:rPr>
              <w:t xml:space="preserve">subject-level SNP data </w:t>
            </w:r>
            <w:r w:rsidR="004C2EF6">
              <w:rPr>
                <w:sz w:val="22"/>
                <w:szCs w:val="22"/>
              </w:rPr>
              <w:t xml:space="preserve">and </w:t>
            </w:r>
            <w:r w:rsidR="004922A2">
              <w:rPr>
                <w:sz w:val="22"/>
                <w:szCs w:val="22"/>
              </w:rPr>
              <w:t xml:space="preserve">performing the subsequent genotype-phenotype analysis, </w:t>
            </w:r>
            <w:r>
              <w:rPr>
                <w:sz w:val="22"/>
                <w:szCs w:val="22"/>
              </w:rPr>
              <w:t>using HIVE platform and analytic</w:t>
            </w:r>
            <w:r w:rsidR="004C2EF6">
              <w:rPr>
                <w:sz w:val="22"/>
                <w:szCs w:val="22"/>
              </w:rPr>
              <w:t xml:space="preserve"> tool</w:t>
            </w:r>
            <w:r>
              <w:rPr>
                <w:sz w:val="22"/>
                <w:szCs w:val="22"/>
              </w:rPr>
              <w:t>s</w:t>
            </w:r>
            <w:r w:rsidR="004C2EF6">
              <w:rPr>
                <w:sz w:val="22"/>
                <w:szCs w:val="22"/>
              </w:rPr>
              <w:t xml:space="preserve"> </w:t>
            </w:r>
            <w:r w:rsidR="004922A2">
              <w:rPr>
                <w:sz w:val="22"/>
                <w:szCs w:val="22"/>
              </w:rPr>
              <w:t>(see below)</w:t>
            </w:r>
          </w:p>
        </w:tc>
      </w:tr>
      <w:tr w:rsidR="0093273D" w:rsidRPr="00092764" w14:paraId="4286B9F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9FD18DA" w14:textId="77777777" w:rsidR="0093273D" w:rsidRPr="00092764" w:rsidRDefault="0093273D" w:rsidP="00900D3C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lastRenderedPageBreak/>
              <w:t xml:space="preserve">Desired </w:t>
            </w:r>
            <w:r w:rsidR="00900D3C" w:rsidRPr="00092764">
              <w:rPr>
                <w:rFonts w:ascii="Calibri Light" w:hAnsi="Calibri Light"/>
                <w:b/>
                <w:sz w:val="22"/>
                <w:szCs w:val="22"/>
              </w:rPr>
              <w:t>D</w:t>
            </w:r>
            <w:r w:rsidRPr="00092764">
              <w:rPr>
                <w:rFonts w:ascii="Calibri Light" w:hAnsi="Calibri Light"/>
                <w:b/>
                <w:sz w:val="22"/>
                <w:szCs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2A94346" w14:textId="7273AC10" w:rsidR="0093637C" w:rsidRPr="00092764" w:rsidRDefault="00264193" w:rsidP="00C00632">
            <w:pPr>
              <w:rPr>
                <w:sz w:val="22"/>
                <w:szCs w:val="22"/>
              </w:rPr>
            </w:pPr>
            <w:r w:rsidRPr="0011609A">
              <w:rPr>
                <w:b/>
                <w:i/>
                <w:sz w:val="22"/>
                <w:szCs w:val="22"/>
              </w:rPr>
              <w:t>Subject level</w:t>
            </w:r>
            <w:r w:rsidR="00387BB7">
              <w:rPr>
                <w:sz w:val="22"/>
                <w:szCs w:val="22"/>
              </w:rPr>
              <w:t xml:space="preserve"> data </w:t>
            </w:r>
            <w:r w:rsidR="002824FC">
              <w:rPr>
                <w:sz w:val="22"/>
                <w:szCs w:val="22"/>
              </w:rPr>
              <w:t xml:space="preserve">including the aforementioned </w:t>
            </w:r>
            <w:r>
              <w:rPr>
                <w:sz w:val="22"/>
                <w:szCs w:val="22"/>
              </w:rPr>
              <w:t>demographic and diagnostic variables</w:t>
            </w:r>
            <w:r w:rsidR="00387BB7">
              <w:rPr>
                <w:sz w:val="22"/>
                <w:szCs w:val="22"/>
              </w:rPr>
              <w:t xml:space="preserve"> and</w:t>
            </w:r>
            <w:r w:rsidR="00920BE5">
              <w:rPr>
                <w:sz w:val="22"/>
                <w:szCs w:val="22"/>
              </w:rPr>
              <w:t xml:space="preserve"> corresponding GWAS data </w:t>
            </w:r>
            <w:r w:rsidR="002824FC">
              <w:rPr>
                <w:sz w:val="22"/>
                <w:szCs w:val="22"/>
              </w:rPr>
              <w:t>will</w:t>
            </w:r>
            <w:r w:rsidR="0011609A">
              <w:rPr>
                <w:sz w:val="22"/>
                <w:szCs w:val="22"/>
              </w:rPr>
              <w:t xml:space="preserve"> be</w:t>
            </w:r>
            <w:r w:rsidR="002824FC">
              <w:rPr>
                <w:sz w:val="22"/>
                <w:szCs w:val="22"/>
              </w:rPr>
              <w:t xml:space="preserve"> provided by the</w:t>
            </w:r>
            <w:r w:rsidR="0011609A">
              <w:rPr>
                <w:sz w:val="22"/>
                <w:szCs w:val="22"/>
              </w:rPr>
              <w:t xml:space="preserve"> </w:t>
            </w:r>
            <w:proofErr w:type="spellStart"/>
            <w:r w:rsidR="0011609A">
              <w:rPr>
                <w:sz w:val="22"/>
                <w:szCs w:val="22"/>
              </w:rPr>
              <w:t>eMERGE</w:t>
            </w:r>
            <w:proofErr w:type="spellEnd"/>
            <w:r w:rsidR="0011609A">
              <w:rPr>
                <w:sz w:val="22"/>
                <w:szCs w:val="22"/>
              </w:rPr>
              <w:t xml:space="preserve"> sites</w:t>
            </w:r>
            <w:r w:rsidR="002824FC">
              <w:rPr>
                <w:sz w:val="22"/>
                <w:szCs w:val="22"/>
              </w:rPr>
              <w:t xml:space="preserve"> and</w:t>
            </w:r>
            <w:r w:rsidR="0011609A">
              <w:rPr>
                <w:sz w:val="22"/>
                <w:szCs w:val="22"/>
              </w:rPr>
              <w:t xml:space="preserve"> subsequent</w:t>
            </w:r>
            <w:r w:rsidR="002824FC">
              <w:rPr>
                <w:sz w:val="22"/>
                <w:szCs w:val="22"/>
              </w:rPr>
              <w:t>ly analyzed</w:t>
            </w:r>
            <w:r w:rsidR="0011609A">
              <w:rPr>
                <w:sz w:val="22"/>
                <w:szCs w:val="22"/>
              </w:rPr>
              <w:t xml:space="preserve"> by the HIVE/CBER-DEPI/CDRH team. </w:t>
            </w:r>
            <w:r w:rsidR="004922A2">
              <w:rPr>
                <w:sz w:val="22"/>
                <w:szCs w:val="22"/>
              </w:rPr>
              <w:t xml:space="preserve">The demographic and phenotypic data on subjects with hip arthroplasty-related outcomes will be retrieved and provided by the </w:t>
            </w:r>
            <w:proofErr w:type="spellStart"/>
            <w:r w:rsidR="004922A2">
              <w:rPr>
                <w:sz w:val="22"/>
                <w:szCs w:val="22"/>
              </w:rPr>
              <w:t>eMERGE</w:t>
            </w:r>
            <w:proofErr w:type="spellEnd"/>
            <w:r w:rsidR="004922A2">
              <w:rPr>
                <w:sz w:val="22"/>
                <w:szCs w:val="22"/>
              </w:rPr>
              <w:t xml:space="preserve"> sites</w:t>
            </w:r>
            <w:r w:rsidR="00C00632">
              <w:rPr>
                <w:sz w:val="22"/>
                <w:szCs w:val="22"/>
              </w:rPr>
              <w:t xml:space="preserve"> (see the data dictionary attached as Excel file)</w:t>
            </w:r>
            <w:r w:rsidR="004922A2">
              <w:rPr>
                <w:sz w:val="22"/>
                <w:szCs w:val="22"/>
              </w:rPr>
              <w:t xml:space="preserve">. The </w:t>
            </w:r>
            <w:proofErr w:type="gramStart"/>
            <w:r w:rsidR="004922A2">
              <w:rPr>
                <w:sz w:val="22"/>
                <w:szCs w:val="22"/>
              </w:rPr>
              <w:t xml:space="preserve">subject-level genetic information on these subjects will be generated </w:t>
            </w:r>
            <w:r w:rsidR="00C00632">
              <w:rPr>
                <w:sz w:val="22"/>
                <w:szCs w:val="22"/>
              </w:rPr>
              <w:t>by the FDA-</w:t>
            </w:r>
            <w:r w:rsidR="004922A2">
              <w:rPr>
                <w:sz w:val="22"/>
                <w:szCs w:val="22"/>
              </w:rPr>
              <w:t>HIVE team</w:t>
            </w:r>
            <w:proofErr w:type="gramEnd"/>
            <w:r w:rsidR="004922A2">
              <w:rPr>
                <w:sz w:val="22"/>
                <w:szCs w:val="22"/>
              </w:rPr>
              <w:t xml:space="preserve"> after getting access to the corresponding </w:t>
            </w:r>
            <w:proofErr w:type="spellStart"/>
            <w:r w:rsidR="004922A2" w:rsidRPr="004922A2">
              <w:rPr>
                <w:sz w:val="22"/>
                <w:szCs w:val="22"/>
              </w:rPr>
              <w:t>eMERGE</w:t>
            </w:r>
            <w:proofErr w:type="spellEnd"/>
            <w:r w:rsidR="004922A2" w:rsidRPr="004922A2">
              <w:rPr>
                <w:sz w:val="22"/>
                <w:szCs w:val="22"/>
              </w:rPr>
              <w:t xml:space="preserve"> Phase III Array Data</w:t>
            </w:r>
            <w:r w:rsidR="004922A2">
              <w:rPr>
                <w:sz w:val="22"/>
                <w:szCs w:val="22"/>
              </w:rPr>
              <w:t xml:space="preserve">. </w:t>
            </w:r>
          </w:p>
        </w:tc>
      </w:tr>
      <w:tr w:rsidR="0093273D" w:rsidRPr="00092764" w14:paraId="31647E2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598CA90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19FD8FF" w14:textId="77777777" w:rsidR="00B73C6F" w:rsidRDefault="00B73C6F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from the Nationwide Inpatient Sample of</w:t>
            </w:r>
            <w:r w:rsidRPr="00B73C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Pr="00B73C6F">
              <w:rPr>
                <w:sz w:val="22"/>
                <w:szCs w:val="22"/>
              </w:rPr>
              <w:t xml:space="preserve">Agency for Healthcare Research &amp; Quality (NIS/AHRQ) </w:t>
            </w:r>
            <w:proofErr w:type="gramStart"/>
            <w:r w:rsidRPr="00B73C6F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ere</w:t>
            </w:r>
            <w:r w:rsidRPr="00B73C6F">
              <w:rPr>
                <w:sz w:val="22"/>
                <w:szCs w:val="22"/>
              </w:rPr>
              <w:t xml:space="preserve"> used</w:t>
            </w:r>
            <w:proofErr w:type="gramEnd"/>
            <w:r w:rsidRPr="00B73C6F">
              <w:rPr>
                <w:sz w:val="22"/>
                <w:szCs w:val="22"/>
              </w:rPr>
              <w:t xml:space="preserve"> for a retrospective analysis of hip arthroplasty relat</w:t>
            </w:r>
            <w:r>
              <w:rPr>
                <w:sz w:val="22"/>
                <w:szCs w:val="22"/>
              </w:rPr>
              <w:t xml:space="preserve">ed discharges identified by </w:t>
            </w:r>
            <w:r w:rsidR="00387BB7">
              <w:rPr>
                <w:sz w:val="22"/>
                <w:szCs w:val="22"/>
              </w:rPr>
              <w:t xml:space="preserve">the aforementioned </w:t>
            </w:r>
            <w:r>
              <w:rPr>
                <w:sz w:val="22"/>
                <w:szCs w:val="22"/>
              </w:rPr>
              <w:t>ICD</w:t>
            </w:r>
            <w:r w:rsidR="00387B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B73C6F">
              <w:rPr>
                <w:sz w:val="22"/>
                <w:szCs w:val="22"/>
              </w:rPr>
              <w:t xml:space="preserve">codes. STATA14 </w:t>
            </w:r>
            <w:proofErr w:type="gramStart"/>
            <w:r w:rsidRPr="00B73C6F">
              <w:rPr>
                <w:sz w:val="22"/>
                <w:szCs w:val="22"/>
              </w:rPr>
              <w:t xml:space="preserve">was </w:t>
            </w:r>
            <w:r>
              <w:rPr>
                <w:sz w:val="22"/>
                <w:szCs w:val="22"/>
              </w:rPr>
              <w:t>applied</w:t>
            </w:r>
            <w:proofErr w:type="gramEnd"/>
            <w:r w:rsidRPr="00B73C6F">
              <w:rPr>
                <w:sz w:val="22"/>
                <w:szCs w:val="22"/>
              </w:rPr>
              <w:t xml:space="preserve"> to compare </w:t>
            </w:r>
            <w:r>
              <w:rPr>
                <w:sz w:val="22"/>
                <w:szCs w:val="22"/>
              </w:rPr>
              <w:t xml:space="preserve">the hip arthroplasty related adverse outcomes </w:t>
            </w:r>
            <w:r w:rsidR="00387BB7">
              <w:rPr>
                <w:sz w:val="22"/>
                <w:szCs w:val="22"/>
              </w:rPr>
              <w:t>(</w:t>
            </w:r>
            <w:r w:rsidR="00387BB7" w:rsidRPr="00387BB7">
              <w:rPr>
                <w:i/>
                <w:sz w:val="22"/>
                <w:szCs w:val="22"/>
              </w:rPr>
              <w:t>e.g</w:t>
            </w:r>
            <w:r w:rsidR="00387BB7">
              <w:rPr>
                <w:sz w:val="22"/>
                <w:szCs w:val="22"/>
              </w:rPr>
              <w:t xml:space="preserve">., </w:t>
            </w:r>
            <w:proofErr w:type="spellStart"/>
            <w:r w:rsidR="00387BB7">
              <w:rPr>
                <w:sz w:val="22"/>
                <w:szCs w:val="22"/>
              </w:rPr>
              <w:t>osteolysis</w:t>
            </w:r>
            <w:proofErr w:type="spellEnd"/>
            <w:r w:rsidR="00387BB7">
              <w:rPr>
                <w:sz w:val="22"/>
                <w:szCs w:val="22"/>
              </w:rPr>
              <w:t xml:space="preserve">, fracture, loosening, </w:t>
            </w:r>
            <w:r w:rsidR="00387BB7" w:rsidRPr="0066763E">
              <w:rPr>
                <w:i/>
                <w:sz w:val="22"/>
                <w:szCs w:val="22"/>
              </w:rPr>
              <w:t>etc.)</w:t>
            </w:r>
            <w:r w:rsidR="00387BB7">
              <w:rPr>
                <w:sz w:val="22"/>
                <w:szCs w:val="22"/>
              </w:rPr>
              <w:t xml:space="preserve"> </w:t>
            </w:r>
            <w:r w:rsidRPr="00B73C6F">
              <w:rPr>
                <w:sz w:val="22"/>
                <w:szCs w:val="22"/>
              </w:rPr>
              <w:t>in sex/race-stratified discharges</w:t>
            </w:r>
            <w:r w:rsidR="0066763E">
              <w:rPr>
                <w:sz w:val="22"/>
                <w:szCs w:val="22"/>
              </w:rPr>
              <w:t xml:space="preserve"> (</w:t>
            </w:r>
            <w:r w:rsidR="0066763E" w:rsidRPr="00387BB7">
              <w:rPr>
                <w:i/>
                <w:sz w:val="22"/>
                <w:szCs w:val="22"/>
              </w:rPr>
              <w:t>e.g</w:t>
            </w:r>
            <w:r w:rsidR="0066763E">
              <w:rPr>
                <w:sz w:val="22"/>
                <w:szCs w:val="22"/>
              </w:rPr>
              <w:t xml:space="preserve">., White Males </w:t>
            </w:r>
            <w:r w:rsidR="0066763E" w:rsidRPr="0066763E">
              <w:rPr>
                <w:i/>
                <w:sz w:val="22"/>
                <w:szCs w:val="22"/>
              </w:rPr>
              <w:t>vs</w:t>
            </w:r>
            <w:r w:rsidR="0066763E">
              <w:rPr>
                <w:sz w:val="22"/>
                <w:szCs w:val="22"/>
              </w:rPr>
              <w:t>. White Females)</w:t>
            </w:r>
            <w:r w:rsidRPr="00B73C6F">
              <w:rPr>
                <w:sz w:val="22"/>
                <w:szCs w:val="22"/>
              </w:rPr>
              <w:t xml:space="preserve">. </w:t>
            </w:r>
          </w:p>
          <w:p w14:paraId="3C546A94" w14:textId="77777777" w:rsidR="00B73C6F" w:rsidRDefault="00B73C6F" w:rsidP="00CF0D06">
            <w:pPr>
              <w:rPr>
                <w:sz w:val="22"/>
                <w:szCs w:val="22"/>
              </w:rPr>
            </w:pPr>
          </w:p>
          <w:p w14:paraId="0D899599" w14:textId="77777777" w:rsidR="0093273D" w:rsidRDefault="000F2BBF" w:rsidP="00CF0D0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The </w:t>
            </w:r>
            <w:r w:rsidR="0066763E">
              <w:rPr>
                <w:sz w:val="22"/>
                <w:szCs w:val="22"/>
              </w:rPr>
              <w:t xml:space="preserve">newly </w:t>
            </w:r>
            <w:r>
              <w:rPr>
                <w:sz w:val="22"/>
                <w:szCs w:val="22"/>
              </w:rPr>
              <w:t xml:space="preserve">collected GWAS </w:t>
            </w:r>
            <w:r w:rsidR="0011609A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 xml:space="preserve">and other </w:t>
            </w:r>
            <w:r w:rsidR="00920BE5">
              <w:rPr>
                <w:sz w:val="22"/>
                <w:szCs w:val="22"/>
              </w:rPr>
              <w:t xml:space="preserve">available </w:t>
            </w:r>
            <w:r>
              <w:rPr>
                <w:sz w:val="22"/>
                <w:szCs w:val="22"/>
              </w:rPr>
              <w:t>genetic/genomic information will be analyzed using in house HIVE – High-performance Integrated Virtual Environment platform and analytic</w:t>
            </w:r>
            <w:r w:rsidR="00B73C6F">
              <w:rPr>
                <w:sz w:val="22"/>
                <w:szCs w:val="22"/>
              </w:rPr>
              <w:t>/visualization</w:t>
            </w:r>
            <w:r>
              <w:rPr>
                <w:sz w:val="22"/>
                <w:szCs w:val="22"/>
              </w:rPr>
              <w:t xml:space="preserve"> tools (</w:t>
            </w:r>
            <w:r w:rsidR="00A43940">
              <w:rPr>
                <w:sz w:val="22"/>
                <w:szCs w:val="22"/>
              </w:rPr>
              <w:t xml:space="preserve">Team Lead – V. </w:t>
            </w:r>
            <w:proofErr w:type="spellStart"/>
            <w:r w:rsidR="00A43940">
              <w:rPr>
                <w:sz w:val="22"/>
                <w:szCs w:val="22"/>
              </w:rPr>
              <w:t>Simonyan</w:t>
            </w:r>
            <w:proofErr w:type="spellEnd"/>
            <w:r w:rsidR="00A43940">
              <w:rPr>
                <w:sz w:val="22"/>
                <w:szCs w:val="22"/>
              </w:rPr>
              <w:t xml:space="preserve">, CBER/FDA; </w:t>
            </w:r>
            <w:r w:rsidR="0066763E">
              <w:rPr>
                <w:sz w:val="22"/>
                <w:szCs w:val="22"/>
              </w:rPr>
              <w:t xml:space="preserve">for more information on HIVE, please refer to the following open-access links: </w:t>
            </w:r>
            <w:hyperlink r:id="rId15" w:history="1">
              <w:r w:rsidR="0066763E" w:rsidRPr="004F1849">
                <w:rPr>
                  <w:rStyle w:val="Hyperlink"/>
                  <w:sz w:val="22"/>
                  <w:szCs w:val="22"/>
                </w:rPr>
                <w:t>http://blogs.fda.gov/fdavoice/index.php/tag/high-performance-integrated-virtual-environment-hive/</w:t>
              </w:r>
            </w:hyperlink>
            <w:r w:rsidR="0066763E">
              <w:rPr>
                <w:sz w:val="22"/>
                <w:szCs w:val="22"/>
              </w:rPr>
              <w:t xml:space="preserve"> ; </w:t>
            </w:r>
            <w:hyperlink r:id="rId16" w:history="1">
              <w:r w:rsidRPr="004F1849">
                <w:rPr>
                  <w:rStyle w:val="Hyperlink"/>
                  <w:sz w:val="22"/>
                  <w:szCs w:val="22"/>
                </w:rPr>
                <w:t>http://www.bio-itworld.com/2014/10/22/inside-hive-fdas-multi-omics-compute-architecture.html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DB3270">
              <w:rPr>
                <w:sz w:val="22"/>
                <w:szCs w:val="22"/>
              </w:rPr>
              <w:t xml:space="preserve">; </w:t>
            </w:r>
            <w:hyperlink r:id="rId17" w:history="1">
              <w:r w:rsidR="00DB3270" w:rsidRPr="004F1849">
                <w:rPr>
                  <w:rStyle w:val="Hyperlink"/>
                  <w:sz w:val="22"/>
                  <w:szCs w:val="22"/>
                </w:rPr>
                <w:t>http://www.google.com/url?sa=t&amp;rct=j&amp;q=&amp;esrc=s&amp;source=web&amp;cd=10&amp;ved=0ahUKEwj_84bjgZDSAhWCOCYKHXoMAasQFghRMAk&amp;url=http%3A%2F%2Fwww.fda.gov%2Fdownloads%2FScienceResearch%2FMeetingsConferencesandWorkshops%2FScienceWritersSymposium%2FUCM467971.pdf&amp;usg=AFQjCNHRLgE2DPvZxFlPizrIl_NEHeMbmw</w:t>
              </w:r>
            </w:hyperlink>
            <w:r w:rsidR="00DB32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).</w:t>
            </w:r>
            <w:proofErr w:type="gramEnd"/>
          </w:p>
          <w:p w14:paraId="723CBC49" w14:textId="77777777" w:rsidR="0093273D" w:rsidRDefault="0093273D" w:rsidP="00CF0D06">
            <w:pPr>
              <w:rPr>
                <w:sz w:val="22"/>
                <w:szCs w:val="22"/>
              </w:rPr>
            </w:pPr>
          </w:p>
          <w:p w14:paraId="1F103515" w14:textId="77777777" w:rsidR="00872C56" w:rsidRDefault="00872C56" w:rsidP="00CF0D06">
            <w:pPr>
              <w:rPr>
                <w:sz w:val="22"/>
                <w:szCs w:val="22"/>
              </w:rPr>
            </w:pPr>
            <w:r w:rsidRPr="00872C56">
              <w:rPr>
                <w:sz w:val="22"/>
                <w:szCs w:val="22"/>
              </w:rPr>
              <w:t xml:space="preserve">The </w:t>
            </w:r>
            <w:r w:rsidR="00920BE5">
              <w:rPr>
                <w:sz w:val="22"/>
                <w:szCs w:val="22"/>
              </w:rPr>
              <w:t xml:space="preserve">AHRQ-derived </w:t>
            </w:r>
            <w:r w:rsidRPr="00872C56">
              <w:rPr>
                <w:sz w:val="22"/>
                <w:szCs w:val="22"/>
              </w:rPr>
              <w:t xml:space="preserve">frequencies </w:t>
            </w:r>
            <w:r w:rsidR="00920BE5">
              <w:rPr>
                <w:sz w:val="22"/>
                <w:szCs w:val="22"/>
              </w:rPr>
              <w:t xml:space="preserve">for hip arthroplasty related adverse outcomes </w:t>
            </w:r>
            <w:proofErr w:type="gramStart"/>
            <w:r w:rsidR="00920BE5">
              <w:rPr>
                <w:sz w:val="22"/>
                <w:szCs w:val="22"/>
              </w:rPr>
              <w:t>will</w:t>
            </w:r>
            <w:proofErr w:type="gramEnd"/>
            <w:r w:rsidR="00920BE5">
              <w:rPr>
                <w:sz w:val="22"/>
                <w:szCs w:val="22"/>
              </w:rPr>
              <w:t xml:space="preserve"> be</w:t>
            </w:r>
            <w:r w:rsidRPr="00872C56">
              <w:rPr>
                <w:sz w:val="22"/>
                <w:szCs w:val="22"/>
              </w:rPr>
              <w:t xml:space="preserve"> then analyzed in juxtaposition to the </w:t>
            </w:r>
            <w:proofErr w:type="spellStart"/>
            <w:r w:rsidR="00920BE5">
              <w:rPr>
                <w:sz w:val="22"/>
                <w:szCs w:val="22"/>
              </w:rPr>
              <w:t>eMERGE</w:t>
            </w:r>
            <w:proofErr w:type="spellEnd"/>
            <w:r w:rsidR="00920BE5">
              <w:rPr>
                <w:sz w:val="22"/>
                <w:szCs w:val="22"/>
              </w:rPr>
              <w:t xml:space="preserve">-derived SNP </w:t>
            </w:r>
            <w:r w:rsidRPr="00872C56">
              <w:rPr>
                <w:sz w:val="22"/>
                <w:szCs w:val="22"/>
              </w:rPr>
              <w:t>allele distributi</w:t>
            </w:r>
            <w:r w:rsidR="00920BE5">
              <w:rPr>
                <w:sz w:val="22"/>
                <w:szCs w:val="22"/>
              </w:rPr>
              <w:t xml:space="preserve">on </w:t>
            </w:r>
            <w:r w:rsidRPr="00872C56">
              <w:rPr>
                <w:sz w:val="22"/>
                <w:szCs w:val="22"/>
              </w:rPr>
              <w:t>in hip arthroplasty patients</w:t>
            </w:r>
            <w:r w:rsidR="0093637C">
              <w:rPr>
                <w:sz w:val="22"/>
                <w:szCs w:val="22"/>
              </w:rPr>
              <w:t xml:space="preserve">. The GWAS data </w:t>
            </w:r>
            <w:proofErr w:type="gramStart"/>
            <w:r w:rsidR="0093637C">
              <w:rPr>
                <w:sz w:val="22"/>
                <w:szCs w:val="22"/>
              </w:rPr>
              <w:t>will be explored</w:t>
            </w:r>
            <w:proofErr w:type="gramEnd"/>
            <w:r w:rsidR="0093637C">
              <w:rPr>
                <w:sz w:val="22"/>
                <w:szCs w:val="22"/>
              </w:rPr>
              <w:t xml:space="preserve"> for differential allele distribution in hip arthroplasty patients</w:t>
            </w:r>
            <w:r w:rsidR="00920BE5">
              <w:rPr>
                <w:sz w:val="22"/>
                <w:szCs w:val="22"/>
              </w:rPr>
              <w:t xml:space="preserve"> with and without adverse outcomes (</w:t>
            </w:r>
            <w:r w:rsidR="00920BE5" w:rsidRPr="00920BE5">
              <w:rPr>
                <w:i/>
                <w:sz w:val="22"/>
                <w:szCs w:val="22"/>
              </w:rPr>
              <w:t>e.g.,</w:t>
            </w:r>
            <w:r w:rsidR="00920BE5">
              <w:rPr>
                <w:sz w:val="22"/>
                <w:szCs w:val="22"/>
              </w:rPr>
              <w:t xml:space="preserve"> </w:t>
            </w:r>
            <w:r w:rsidR="0093637C" w:rsidRPr="0093637C">
              <w:rPr>
                <w:sz w:val="22"/>
                <w:szCs w:val="22"/>
              </w:rPr>
              <w:t>V43.</w:t>
            </w:r>
            <w:r w:rsidR="0093637C">
              <w:rPr>
                <w:sz w:val="22"/>
                <w:szCs w:val="22"/>
              </w:rPr>
              <w:t xml:space="preserve">64 alone </w:t>
            </w:r>
            <w:r w:rsidR="0093637C" w:rsidRPr="0093637C">
              <w:rPr>
                <w:i/>
                <w:sz w:val="22"/>
                <w:szCs w:val="22"/>
              </w:rPr>
              <w:t>vs.</w:t>
            </w:r>
            <w:r w:rsidR="0093637C">
              <w:rPr>
                <w:sz w:val="22"/>
                <w:szCs w:val="22"/>
              </w:rPr>
              <w:t xml:space="preserve"> V43.64 + 996.45, as patients with hip </w:t>
            </w:r>
            <w:r w:rsidR="0093637C" w:rsidRPr="0093637C">
              <w:rPr>
                <w:sz w:val="22"/>
                <w:szCs w:val="22"/>
              </w:rPr>
              <w:t>replacement</w:t>
            </w:r>
            <w:r w:rsidR="0093637C">
              <w:rPr>
                <w:sz w:val="22"/>
                <w:szCs w:val="22"/>
              </w:rPr>
              <w:t xml:space="preserve"> and no reported adverse outcomes </w:t>
            </w:r>
            <w:r w:rsidR="0093637C" w:rsidRPr="0093637C">
              <w:rPr>
                <w:i/>
                <w:sz w:val="22"/>
                <w:szCs w:val="22"/>
              </w:rPr>
              <w:t>vs</w:t>
            </w:r>
            <w:r w:rsidR="0093637C">
              <w:rPr>
                <w:sz w:val="22"/>
                <w:szCs w:val="22"/>
              </w:rPr>
              <w:t xml:space="preserve">. patients with hip replacement complicated by </w:t>
            </w:r>
            <w:proofErr w:type="spellStart"/>
            <w:r w:rsidR="0093637C">
              <w:rPr>
                <w:sz w:val="22"/>
                <w:szCs w:val="22"/>
              </w:rPr>
              <w:t>periprosthetic</w:t>
            </w:r>
            <w:proofErr w:type="spellEnd"/>
            <w:r w:rsidR="0093637C">
              <w:rPr>
                <w:sz w:val="22"/>
                <w:szCs w:val="22"/>
              </w:rPr>
              <w:t xml:space="preserve"> </w:t>
            </w:r>
            <w:proofErr w:type="spellStart"/>
            <w:r w:rsidR="0093637C">
              <w:rPr>
                <w:sz w:val="22"/>
                <w:szCs w:val="22"/>
              </w:rPr>
              <w:t>osteolysis</w:t>
            </w:r>
            <w:proofErr w:type="spellEnd"/>
            <w:r w:rsidR="00920BE5">
              <w:rPr>
                <w:sz w:val="22"/>
                <w:szCs w:val="22"/>
              </w:rPr>
              <w:t>)</w:t>
            </w:r>
            <w:r w:rsidR="0066763E">
              <w:rPr>
                <w:sz w:val="22"/>
                <w:szCs w:val="22"/>
              </w:rPr>
              <w:t xml:space="preserve">. HIVE analytics </w:t>
            </w:r>
            <w:proofErr w:type="gramStart"/>
            <w:r w:rsidR="0066763E">
              <w:rPr>
                <w:sz w:val="22"/>
                <w:szCs w:val="22"/>
              </w:rPr>
              <w:t>will be</w:t>
            </w:r>
            <w:r w:rsidRPr="00872C56">
              <w:rPr>
                <w:sz w:val="22"/>
                <w:szCs w:val="22"/>
              </w:rPr>
              <w:t xml:space="preserve"> ap</w:t>
            </w:r>
            <w:r w:rsidR="00920BE5">
              <w:rPr>
                <w:sz w:val="22"/>
                <w:szCs w:val="22"/>
              </w:rPr>
              <w:t>plied</w:t>
            </w:r>
            <w:proofErr w:type="gramEnd"/>
            <w:r w:rsidR="00920BE5">
              <w:rPr>
                <w:sz w:val="22"/>
                <w:szCs w:val="22"/>
              </w:rPr>
              <w:t xml:space="preserve"> for the analysis and </w:t>
            </w:r>
            <w:r w:rsidR="00920BE5" w:rsidRPr="00872C56">
              <w:rPr>
                <w:sz w:val="22"/>
                <w:szCs w:val="22"/>
              </w:rPr>
              <w:t xml:space="preserve">visualization </w:t>
            </w:r>
            <w:r w:rsidR="00920BE5">
              <w:rPr>
                <w:sz w:val="22"/>
                <w:szCs w:val="22"/>
              </w:rPr>
              <w:t xml:space="preserve">of </w:t>
            </w:r>
            <w:r w:rsidR="0093637C">
              <w:rPr>
                <w:sz w:val="22"/>
                <w:szCs w:val="22"/>
              </w:rPr>
              <w:t xml:space="preserve">potential </w:t>
            </w:r>
            <w:r w:rsidR="00920BE5">
              <w:rPr>
                <w:sz w:val="22"/>
                <w:szCs w:val="22"/>
              </w:rPr>
              <w:t>SNP-adverse outcome</w:t>
            </w:r>
            <w:r w:rsidRPr="00872C56">
              <w:rPr>
                <w:sz w:val="22"/>
                <w:szCs w:val="22"/>
              </w:rPr>
              <w:t xml:space="preserve"> associations </w:t>
            </w:r>
            <w:r w:rsidRPr="00872C56">
              <w:rPr>
                <w:sz w:val="22"/>
                <w:szCs w:val="22"/>
              </w:rPr>
              <w:lastRenderedPageBreak/>
              <w:t xml:space="preserve">and </w:t>
            </w:r>
            <w:r w:rsidR="00920BE5">
              <w:rPr>
                <w:sz w:val="22"/>
                <w:szCs w:val="22"/>
              </w:rPr>
              <w:t xml:space="preserve">discovery of </w:t>
            </w:r>
            <w:r w:rsidR="0093637C">
              <w:rPr>
                <w:sz w:val="22"/>
                <w:szCs w:val="22"/>
              </w:rPr>
              <w:t xml:space="preserve">putative </w:t>
            </w:r>
            <w:r w:rsidR="00920BE5">
              <w:rPr>
                <w:sz w:val="22"/>
                <w:szCs w:val="22"/>
              </w:rPr>
              <w:t>s</w:t>
            </w:r>
            <w:r w:rsidRPr="00872C56">
              <w:rPr>
                <w:sz w:val="22"/>
                <w:szCs w:val="22"/>
              </w:rPr>
              <w:t>ex</w:t>
            </w:r>
            <w:r w:rsidR="00920BE5">
              <w:rPr>
                <w:sz w:val="22"/>
                <w:szCs w:val="22"/>
              </w:rPr>
              <w:t>/race</w:t>
            </w:r>
            <w:r w:rsidRPr="00872C56">
              <w:rPr>
                <w:sz w:val="22"/>
                <w:szCs w:val="22"/>
              </w:rPr>
              <w:t>-</w:t>
            </w:r>
            <w:r w:rsidR="00920BE5">
              <w:rPr>
                <w:sz w:val="22"/>
                <w:szCs w:val="22"/>
              </w:rPr>
              <w:t xml:space="preserve">associated candidate SNPs </w:t>
            </w:r>
            <w:r w:rsidR="0093637C">
              <w:rPr>
                <w:sz w:val="22"/>
                <w:szCs w:val="22"/>
              </w:rPr>
              <w:t xml:space="preserve">that are </w:t>
            </w:r>
            <w:r w:rsidR="00920BE5">
              <w:rPr>
                <w:sz w:val="22"/>
                <w:szCs w:val="22"/>
              </w:rPr>
              <w:t>predictive of hip arthroplasty related adverse outcomes</w:t>
            </w:r>
            <w:r w:rsidRPr="00872C56">
              <w:rPr>
                <w:sz w:val="22"/>
                <w:szCs w:val="22"/>
              </w:rPr>
              <w:t>.</w:t>
            </w:r>
          </w:p>
          <w:p w14:paraId="4BD12425" w14:textId="77777777" w:rsidR="00872C56" w:rsidRPr="00092764" w:rsidRDefault="00872C56" w:rsidP="00CF0D06">
            <w:pPr>
              <w:rPr>
                <w:sz w:val="22"/>
                <w:szCs w:val="22"/>
              </w:rPr>
            </w:pPr>
          </w:p>
        </w:tc>
      </w:tr>
      <w:tr w:rsidR="0093273D" w:rsidRPr="00092764" w14:paraId="1C03B93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748686B" w14:textId="77777777" w:rsidR="0093273D" w:rsidRPr="00092764" w:rsidRDefault="0093273D" w:rsidP="00900D3C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lastRenderedPageBreak/>
              <w:t xml:space="preserve">Ethical </w:t>
            </w:r>
            <w:r w:rsidR="00900D3C" w:rsidRPr="00092764">
              <w:rPr>
                <w:rFonts w:ascii="Calibri Light" w:hAnsi="Calibri Light"/>
                <w:b/>
                <w:sz w:val="22"/>
                <w:szCs w:val="22"/>
              </w:rPr>
              <w:t>C</w:t>
            </w:r>
            <w:r w:rsidRPr="00092764">
              <w:rPr>
                <w:rFonts w:ascii="Calibri Light" w:hAnsi="Calibri Light"/>
                <w:b/>
                <w:sz w:val="22"/>
                <w:szCs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FDAD14D" w14:textId="77777777" w:rsidR="0093273D" w:rsidRPr="00092764" w:rsidRDefault="000F2BBF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applicable, as the project will utilize pre-existing data, with no access to identifiable personal information and no plans for contacting patients</w:t>
            </w:r>
          </w:p>
          <w:p w14:paraId="789C3755" w14:textId="77777777" w:rsidR="0093273D" w:rsidRPr="00092764" w:rsidRDefault="0093273D" w:rsidP="00CF0D06">
            <w:pPr>
              <w:rPr>
                <w:sz w:val="22"/>
                <w:szCs w:val="22"/>
              </w:rPr>
            </w:pPr>
          </w:p>
        </w:tc>
      </w:tr>
      <w:tr w:rsidR="0093273D" w:rsidRPr="00092764" w14:paraId="0FA44428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E4ED82" w14:textId="77777777" w:rsidR="0093273D" w:rsidRPr="00092764" w:rsidRDefault="00682869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>Available Funding or Resources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A788A77" w14:textId="77777777" w:rsidR="001B307A" w:rsidRDefault="001B307A" w:rsidP="00635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available funding:</w:t>
            </w:r>
          </w:p>
          <w:p w14:paraId="0D64C2D6" w14:textId="77777777" w:rsidR="0093273D" w:rsidRDefault="006353AA" w:rsidP="001B307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307A">
              <w:rPr>
                <w:sz w:val="22"/>
                <w:szCs w:val="22"/>
              </w:rPr>
              <w:t xml:space="preserve">FDA/OWH </w:t>
            </w:r>
            <w:r w:rsidR="001B307A" w:rsidRPr="001B307A">
              <w:rPr>
                <w:sz w:val="22"/>
                <w:szCs w:val="22"/>
              </w:rPr>
              <w:t xml:space="preserve">(Office of Women Health) </w:t>
            </w:r>
            <w:r w:rsidRPr="001B307A">
              <w:rPr>
                <w:sz w:val="22"/>
                <w:szCs w:val="22"/>
              </w:rPr>
              <w:t>Spec</w:t>
            </w:r>
            <w:r w:rsidR="001B307A" w:rsidRPr="001B307A">
              <w:rPr>
                <w:sz w:val="22"/>
                <w:szCs w:val="22"/>
              </w:rPr>
              <w:t>ial Funding Initiative</w:t>
            </w:r>
            <w:r w:rsidR="00920BE5">
              <w:rPr>
                <w:sz w:val="22"/>
                <w:szCs w:val="22"/>
              </w:rPr>
              <w:t xml:space="preserve"> (2017)</w:t>
            </w:r>
            <w:r w:rsidRPr="001B307A">
              <w:rPr>
                <w:sz w:val="22"/>
                <w:szCs w:val="22"/>
              </w:rPr>
              <w:t xml:space="preserve">: </w:t>
            </w:r>
            <w:r w:rsidRPr="001B307A">
              <w:rPr>
                <w:i/>
                <w:sz w:val="22"/>
                <w:szCs w:val="22"/>
              </w:rPr>
              <w:t xml:space="preserve">In </w:t>
            </w:r>
            <w:proofErr w:type="spellStart"/>
            <w:r w:rsidRPr="001B307A">
              <w:rPr>
                <w:i/>
                <w:sz w:val="22"/>
                <w:szCs w:val="22"/>
              </w:rPr>
              <w:t>silico</w:t>
            </w:r>
            <w:proofErr w:type="spellEnd"/>
            <w:r w:rsidRPr="001B307A">
              <w:rPr>
                <w:i/>
                <w:sz w:val="22"/>
                <w:szCs w:val="22"/>
              </w:rPr>
              <w:t xml:space="preserve"> </w:t>
            </w:r>
            <w:r w:rsidRPr="001B307A">
              <w:rPr>
                <w:sz w:val="22"/>
                <w:szCs w:val="22"/>
              </w:rPr>
              <w:t>research on sex differences in the biological responses and adverse events elicited by implantable devices/biomaterials</w:t>
            </w:r>
            <w:r w:rsidR="0066763E">
              <w:rPr>
                <w:sz w:val="22"/>
                <w:szCs w:val="22"/>
              </w:rPr>
              <w:t xml:space="preserve"> (PI – Y. </w:t>
            </w:r>
            <w:proofErr w:type="spellStart"/>
            <w:r w:rsidR="0066763E">
              <w:rPr>
                <w:sz w:val="22"/>
                <w:szCs w:val="22"/>
              </w:rPr>
              <w:t>Torosyan</w:t>
            </w:r>
            <w:proofErr w:type="spellEnd"/>
            <w:r w:rsidR="0066763E">
              <w:rPr>
                <w:sz w:val="22"/>
                <w:szCs w:val="22"/>
              </w:rPr>
              <w:t>, DEPI/CDRH)</w:t>
            </w:r>
          </w:p>
          <w:p w14:paraId="6D9349C8" w14:textId="77777777" w:rsidR="001B307A" w:rsidRDefault="001B307A" w:rsidP="001B3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additional funding:</w:t>
            </w:r>
          </w:p>
          <w:p w14:paraId="468266C8" w14:textId="77777777" w:rsidR="001B307A" w:rsidRPr="001B307A" w:rsidRDefault="007453DE" w:rsidP="007453D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FDA grant applications </w:t>
            </w:r>
            <w:r w:rsidR="00B73C6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ncluding the upcoming </w:t>
            </w:r>
            <w:r w:rsidRPr="007453DE">
              <w:rPr>
                <w:sz w:val="22"/>
                <w:szCs w:val="22"/>
              </w:rPr>
              <w:t>National Evaluation Syst</w:t>
            </w:r>
            <w:r>
              <w:rPr>
                <w:sz w:val="22"/>
                <w:szCs w:val="22"/>
              </w:rPr>
              <w:t xml:space="preserve">em for health Technology </w:t>
            </w:r>
            <w:r w:rsidRPr="007453DE">
              <w:rPr>
                <w:sz w:val="22"/>
                <w:szCs w:val="22"/>
              </w:rPr>
              <w:t>Funding Opportunity Announcement (</w:t>
            </w:r>
            <w:r>
              <w:rPr>
                <w:sz w:val="22"/>
                <w:szCs w:val="22"/>
              </w:rPr>
              <w:t xml:space="preserve">NEST </w:t>
            </w:r>
            <w:r w:rsidRPr="007453DE">
              <w:rPr>
                <w:sz w:val="22"/>
                <w:szCs w:val="22"/>
              </w:rPr>
              <w:t>FOA</w:t>
            </w:r>
            <w:r>
              <w:rPr>
                <w:sz w:val="22"/>
                <w:szCs w:val="22"/>
              </w:rPr>
              <w:t xml:space="preserve"> 2017</w:t>
            </w:r>
            <w:r w:rsidRPr="007453DE">
              <w:rPr>
                <w:sz w:val="22"/>
                <w:szCs w:val="22"/>
              </w:rPr>
              <w:t>)</w:t>
            </w:r>
          </w:p>
          <w:p w14:paraId="13ADDA81" w14:textId="77777777" w:rsidR="00A43940" w:rsidRPr="00092764" w:rsidRDefault="00A43940" w:rsidP="006353AA">
            <w:pPr>
              <w:rPr>
                <w:sz w:val="22"/>
                <w:szCs w:val="22"/>
              </w:rPr>
            </w:pPr>
          </w:p>
        </w:tc>
      </w:tr>
      <w:tr w:rsidR="0093273D" w:rsidRPr="00092764" w14:paraId="150AD25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BD77C56" w14:textId="77777777" w:rsidR="0093273D" w:rsidRPr="00092764" w:rsidRDefault="0093273D" w:rsidP="00CF0D06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92764">
              <w:rPr>
                <w:rFonts w:ascii="Calibri Light" w:hAnsi="Calibri Light"/>
                <w:b/>
                <w:sz w:val="22"/>
                <w:szCs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4C9C5DD" w14:textId="77777777" w:rsidR="005048A8" w:rsidRDefault="00D01327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Pilot</w:t>
            </w:r>
            <w:r w:rsidR="005048A8">
              <w:rPr>
                <w:sz w:val="22"/>
                <w:szCs w:val="22"/>
              </w:rPr>
              <w:t xml:space="preserve"> Phase </w:t>
            </w:r>
            <w:r w:rsidR="005048A8" w:rsidRPr="005048A8">
              <w:rPr>
                <w:sz w:val="22"/>
                <w:szCs w:val="22"/>
              </w:rPr>
              <w:t>(</w:t>
            </w:r>
            <w:r w:rsidR="005048A8" w:rsidRPr="005048A8">
              <w:rPr>
                <w:i/>
                <w:sz w:val="22"/>
                <w:szCs w:val="22"/>
              </w:rPr>
              <w:t>Completed</w:t>
            </w:r>
            <w:r w:rsidR="005048A8" w:rsidRPr="005048A8">
              <w:rPr>
                <w:sz w:val="22"/>
                <w:szCs w:val="22"/>
              </w:rPr>
              <w:t>)</w:t>
            </w:r>
            <w:r w:rsidR="005048A8">
              <w:rPr>
                <w:sz w:val="22"/>
                <w:szCs w:val="22"/>
              </w:rPr>
              <w:t>:</w:t>
            </w:r>
          </w:p>
          <w:p w14:paraId="4BB861DD" w14:textId="77777777" w:rsidR="0093273D" w:rsidRDefault="00A43940" w:rsidP="005048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048A8">
              <w:rPr>
                <w:sz w:val="22"/>
                <w:szCs w:val="22"/>
              </w:rPr>
              <w:t xml:space="preserve">to derive epidemiological evidence on </w:t>
            </w:r>
            <w:r w:rsidR="0066763E">
              <w:rPr>
                <w:sz w:val="22"/>
                <w:szCs w:val="22"/>
              </w:rPr>
              <w:t xml:space="preserve">the </w:t>
            </w:r>
            <w:r w:rsidRPr="005048A8">
              <w:rPr>
                <w:sz w:val="22"/>
                <w:szCs w:val="22"/>
              </w:rPr>
              <w:t xml:space="preserve">sex/race-associated </w:t>
            </w:r>
            <w:r w:rsidR="0066763E">
              <w:rPr>
                <w:sz w:val="22"/>
                <w:szCs w:val="22"/>
              </w:rPr>
              <w:t xml:space="preserve">modifying effects on </w:t>
            </w:r>
            <w:r w:rsidR="005048A8" w:rsidRPr="005048A8">
              <w:rPr>
                <w:sz w:val="22"/>
                <w:szCs w:val="22"/>
              </w:rPr>
              <w:t xml:space="preserve">hip arthroplasty outcomes </w:t>
            </w:r>
          </w:p>
          <w:p w14:paraId="7B8F260F" w14:textId="77777777" w:rsidR="005048A8" w:rsidRPr="005048A8" w:rsidRDefault="005048A8" w:rsidP="005048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derive </w:t>
            </w:r>
            <w:r w:rsidR="00D01327">
              <w:rPr>
                <w:sz w:val="22"/>
                <w:szCs w:val="22"/>
              </w:rPr>
              <w:t xml:space="preserve">preliminary genetic evidence on candidate SNPs that may be associated with </w:t>
            </w:r>
            <w:r w:rsidR="0066763E">
              <w:rPr>
                <w:sz w:val="22"/>
                <w:szCs w:val="22"/>
              </w:rPr>
              <w:t>the adverse outcomes in</w:t>
            </w:r>
            <w:r w:rsidR="00D01327">
              <w:rPr>
                <w:sz w:val="22"/>
                <w:szCs w:val="22"/>
              </w:rPr>
              <w:t xml:space="preserve"> </w:t>
            </w:r>
            <w:r w:rsidR="00702E65">
              <w:rPr>
                <w:sz w:val="22"/>
                <w:szCs w:val="22"/>
              </w:rPr>
              <w:t>hip-implanted patient subgroups</w:t>
            </w:r>
            <w:r w:rsidR="00D01327">
              <w:rPr>
                <w:sz w:val="22"/>
                <w:szCs w:val="22"/>
              </w:rPr>
              <w:t xml:space="preserve"> (</w:t>
            </w:r>
            <w:r w:rsidR="00D01327" w:rsidRPr="00702E65">
              <w:rPr>
                <w:i/>
                <w:sz w:val="22"/>
                <w:szCs w:val="22"/>
              </w:rPr>
              <w:t>i.</w:t>
            </w:r>
            <w:r w:rsidR="00D01327" w:rsidRPr="00D01327">
              <w:rPr>
                <w:i/>
                <w:sz w:val="22"/>
                <w:szCs w:val="22"/>
              </w:rPr>
              <w:t>e</w:t>
            </w:r>
            <w:r w:rsidR="00D01327">
              <w:rPr>
                <w:sz w:val="22"/>
                <w:szCs w:val="22"/>
              </w:rPr>
              <w:t>.,</w:t>
            </w:r>
            <w:r w:rsidR="00702E65">
              <w:rPr>
                <w:sz w:val="22"/>
                <w:szCs w:val="22"/>
              </w:rPr>
              <w:t xml:space="preserve"> </w:t>
            </w:r>
            <w:r w:rsidR="00617EFF">
              <w:rPr>
                <w:sz w:val="22"/>
                <w:szCs w:val="22"/>
              </w:rPr>
              <w:t xml:space="preserve">differential </w:t>
            </w:r>
            <w:r w:rsidR="00702E65">
              <w:rPr>
                <w:sz w:val="22"/>
                <w:szCs w:val="22"/>
              </w:rPr>
              <w:t>allele</w:t>
            </w:r>
            <w:r w:rsidR="00617EFF">
              <w:rPr>
                <w:sz w:val="22"/>
                <w:szCs w:val="22"/>
              </w:rPr>
              <w:t xml:space="preserve"> frequency in White Males with </w:t>
            </w:r>
            <w:proofErr w:type="spellStart"/>
            <w:r w:rsidR="00617EFF">
              <w:rPr>
                <w:sz w:val="22"/>
                <w:szCs w:val="22"/>
              </w:rPr>
              <w:t>periprosthetic</w:t>
            </w:r>
            <w:proofErr w:type="spellEnd"/>
            <w:r w:rsidR="00617EFF">
              <w:rPr>
                <w:sz w:val="22"/>
                <w:szCs w:val="22"/>
              </w:rPr>
              <w:t xml:space="preserve"> </w:t>
            </w:r>
            <w:proofErr w:type="spellStart"/>
            <w:r w:rsidR="00617EFF">
              <w:rPr>
                <w:sz w:val="22"/>
                <w:szCs w:val="22"/>
              </w:rPr>
              <w:t>osteolysis</w:t>
            </w:r>
            <w:proofErr w:type="spellEnd"/>
            <w:r w:rsidR="00D01327">
              <w:rPr>
                <w:sz w:val="22"/>
                <w:szCs w:val="22"/>
              </w:rPr>
              <w:t>)</w:t>
            </w:r>
          </w:p>
          <w:p w14:paraId="3DB4184B" w14:textId="31D80D76" w:rsidR="00D01327" w:rsidRDefault="00D01327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I</w:t>
            </w:r>
            <w:r w:rsidR="00617EFF">
              <w:rPr>
                <w:sz w:val="22"/>
                <w:szCs w:val="22"/>
              </w:rPr>
              <w:t xml:space="preserve"> (</w:t>
            </w:r>
            <w:r w:rsidR="00C00632">
              <w:rPr>
                <w:sz w:val="22"/>
                <w:szCs w:val="22"/>
              </w:rPr>
              <w:t>by Jul 2017</w:t>
            </w:r>
            <w:r w:rsidR="00617EF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</w:p>
          <w:p w14:paraId="4420AF6A" w14:textId="1CF46053" w:rsidR="0076709D" w:rsidRPr="00904FD9" w:rsidRDefault="00617EF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r w:rsidR="00D01327" w:rsidRPr="00D01327">
              <w:rPr>
                <w:sz w:val="22"/>
                <w:szCs w:val="22"/>
              </w:rPr>
              <w:t>collect</w:t>
            </w:r>
            <w:r>
              <w:rPr>
                <w:sz w:val="22"/>
                <w:szCs w:val="22"/>
              </w:rPr>
              <w:t xml:space="preserve"> </w:t>
            </w:r>
            <w:r w:rsidRPr="00617EFF">
              <w:rPr>
                <w:sz w:val="22"/>
                <w:szCs w:val="22"/>
              </w:rPr>
              <w:t>GWAS data</w:t>
            </w:r>
            <w:r w:rsidR="0076709D">
              <w:rPr>
                <w:sz w:val="22"/>
                <w:szCs w:val="22"/>
              </w:rPr>
              <w:t>, demographics, and ICD codes</w:t>
            </w:r>
            <w:r w:rsidRPr="00617EFF">
              <w:rPr>
                <w:sz w:val="22"/>
                <w:szCs w:val="22"/>
              </w:rPr>
              <w:t xml:space="preserve"> on subjects with hip arthroplasty</w:t>
            </w:r>
            <w:r w:rsidR="0066763E">
              <w:rPr>
                <w:sz w:val="22"/>
                <w:szCs w:val="22"/>
              </w:rPr>
              <w:t xml:space="preserve"> using all available </w:t>
            </w:r>
            <w:proofErr w:type="spellStart"/>
            <w:r w:rsidR="0066763E">
              <w:rPr>
                <w:sz w:val="22"/>
                <w:szCs w:val="22"/>
              </w:rPr>
              <w:t>eMERGE</w:t>
            </w:r>
            <w:proofErr w:type="spellEnd"/>
            <w:r w:rsidR="0066763E">
              <w:rPr>
                <w:sz w:val="22"/>
                <w:szCs w:val="22"/>
              </w:rPr>
              <w:t xml:space="preserve"> data sources</w:t>
            </w:r>
          </w:p>
          <w:p w14:paraId="53F22C57" w14:textId="77777777" w:rsidR="00D01327" w:rsidRPr="00CA6313" w:rsidRDefault="00617EFF" w:rsidP="00CA63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 the </w:t>
            </w:r>
            <w:r w:rsidR="00430440">
              <w:rPr>
                <w:sz w:val="22"/>
                <w:szCs w:val="22"/>
              </w:rPr>
              <w:t xml:space="preserve">newly </w:t>
            </w:r>
            <w:r>
              <w:rPr>
                <w:sz w:val="22"/>
                <w:szCs w:val="22"/>
              </w:rPr>
              <w:t>collected GWAS data</w:t>
            </w:r>
            <w:r w:rsidR="00CA6313">
              <w:rPr>
                <w:sz w:val="22"/>
                <w:szCs w:val="22"/>
              </w:rPr>
              <w:t xml:space="preserve">sets to </w:t>
            </w:r>
            <w:r>
              <w:rPr>
                <w:sz w:val="22"/>
                <w:szCs w:val="22"/>
              </w:rPr>
              <w:t>HIVE/FDA</w:t>
            </w:r>
            <w:r w:rsidR="00CA6313">
              <w:rPr>
                <w:sz w:val="22"/>
                <w:szCs w:val="22"/>
              </w:rPr>
              <w:t xml:space="preserve"> </w:t>
            </w:r>
          </w:p>
          <w:p w14:paraId="0C9BDE8C" w14:textId="5AA15ED2" w:rsidR="00617EFF" w:rsidRDefault="00D01327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II</w:t>
            </w:r>
            <w:r w:rsidR="00617EFF">
              <w:rPr>
                <w:sz w:val="22"/>
                <w:szCs w:val="22"/>
              </w:rPr>
              <w:t xml:space="preserve"> (</w:t>
            </w:r>
            <w:r w:rsidR="00C00632">
              <w:rPr>
                <w:sz w:val="22"/>
                <w:szCs w:val="22"/>
              </w:rPr>
              <w:t>Jul 2017 – Dec 2017</w:t>
            </w:r>
            <w:r w:rsidR="00617EF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  <w:r w:rsidR="00617EFF">
              <w:rPr>
                <w:sz w:val="22"/>
                <w:szCs w:val="22"/>
              </w:rPr>
              <w:t xml:space="preserve"> </w:t>
            </w:r>
          </w:p>
          <w:p w14:paraId="52B56BA3" w14:textId="2C2C84C5" w:rsidR="00CA6313" w:rsidRDefault="00CA6313" w:rsidP="00617EF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</w:t>
            </w:r>
            <w:r w:rsidR="00617EFF">
              <w:rPr>
                <w:sz w:val="22"/>
                <w:szCs w:val="22"/>
              </w:rPr>
              <w:t>HIVE</w:t>
            </w:r>
            <w:r>
              <w:rPr>
                <w:sz w:val="22"/>
                <w:szCs w:val="22"/>
              </w:rPr>
              <w:t>-based approaches to</w:t>
            </w:r>
            <w:r w:rsidR="00617EFF" w:rsidRPr="00617EFF">
              <w:rPr>
                <w:sz w:val="22"/>
                <w:szCs w:val="22"/>
              </w:rPr>
              <w:t xml:space="preserve"> </w:t>
            </w:r>
            <w:r w:rsidR="00C00632">
              <w:rPr>
                <w:sz w:val="22"/>
                <w:szCs w:val="22"/>
              </w:rPr>
              <w:t xml:space="preserve">generation, </w:t>
            </w:r>
            <w:r>
              <w:rPr>
                <w:sz w:val="22"/>
                <w:szCs w:val="22"/>
              </w:rPr>
              <w:t>harmonization, visualization and analysis of the collected GWAS data</w:t>
            </w:r>
          </w:p>
          <w:p w14:paraId="14EF30B2" w14:textId="77777777" w:rsidR="00617EFF" w:rsidRDefault="00617EFF" w:rsidP="00617EF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7EFF">
              <w:rPr>
                <w:sz w:val="22"/>
                <w:szCs w:val="22"/>
              </w:rPr>
              <w:t>generate genetic evidence</w:t>
            </w:r>
            <w:r w:rsidR="00CA6313">
              <w:rPr>
                <w:sz w:val="22"/>
                <w:szCs w:val="22"/>
              </w:rPr>
              <w:t xml:space="preserve"> </w:t>
            </w:r>
            <w:r w:rsidR="00430440">
              <w:rPr>
                <w:sz w:val="22"/>
                <w:szCs w:val="22"/>
              </w:rPr>
              <w:t xml:space="preserve">on putative </w:t>
            </w:r>
            <w:r w:rsidRPr="00617EFF">
              <w:rPr>
                <w:sz w:val="22"/>
                <w:szCs w:val="22"/>
              </w:rPr>
              <w:t xml:space="preserve">candidate SNP biomarkers for </w:t>
            </w:r>
            <w:r w:rsidR="00CA6313" w:rsidRPr="00617EFF">
              <w:rPr>
                <w:sz w:val="22"/>
                <w:szCs w:val="22"/>
              </w:rPr>
              <w:t xml:space="preserve">hip arthroplasty </w:t>
            </w:r>
            <w:r w:rsidR="00CA6313">
              <w:rPr>
                <w:sz w:val="22"/>
                <w:szCs w:val="22"/>
              </w:rPr>
              <w:t xml:space="preserve">related adverse outcomes </w:t>
            </w:r>
            <w:r w:rsidRPr="00617EFF">
              <w:rPr>
                <w:sz w:val="22"/>
                <w:szCs w:val="22"/>
              </w:rPr>
              <w:t xml:space="preserve"> </w:t>
            </w:r>
          </w:p>
          <w:p w14:paraId="372BE665" w14:textId="77777777" w:rsidR="00CA6313" w:rsidRPr="00617EFF" w:rsidRDefault="00CA6313" w:rsidP="00617EF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analyze biological plausibility and clinic</w:t>
            </w:r>
            <w:r w:rsidR="005607C1">
              <w:rPr>
                <w:sz w:val="22"/>
                <w:szCs w:val="22"/>
              </w:rPr>
              <w:t>al applicability of the newly discovered</w:t>
            </w:r>
            <w:r>
              <w:rPr>
                <w:sz w:val="22"/>
                <w:szCs w:val="22"/>
              </w:rPr>
              <w:t xml:space="preserve"> biomarker candidates</w:t>
            </w:r>
            <w:r w:rsidR="00430440">
              <w:rPr>
                <w:sz w:val="22"/>
                <w:szCs w:val="22"/>
              </w:rPr>
              <w:t>, using pathw</w:t>
            </w:r>
            <w:bookmarkStart w:id="0" w:name="_GoBack"/>
            <w:bookmarkEnd w:id="0"/>
            <w:r w:rsidR="00430440">
              <w:rPr>
                <w:sz w:val="22"/>
                <w:szCs w:val="22"/>
              </w:rPr>
              <w:t xml:space="preserve">ay analysis and other </w:t>
            </w:r>
            <w:r w:rsidR="00430440" w:rsidRPr="00430440">
              <w:rPr>
                <w:i/>
                <w:sz w:val="22"/>
                <w:szCs w:val="22"/>
              </w:rPr>
              <w:t xml:space="preserve">in </w:t>
            </w:r>
            <w:proofErr w:type="spellStart"/>
            <w:r w:rsidR="00430440" w:rsidRPr="00430440">
              <w:rPr>
                <w:i/>
                <w:sz w:val="22"/>
                <w:szCs w:val="22"/>
              </w:rPr>
              <w:t>silico</w:t>
            </w:r>
            <w:proofErr w:type="spellEnd"/>
            <w:r w:rsidR="00430440">
              <w:rPr>
                <w:sz w:val="22"/>
                <w:szCs w:val="22"/>
              </w:rPr>
              <w:t xml:space="preserve"> approaches</w:t>
            </w:r>
          </w:p>
          <w:p w14:paraId="2A328058" w14:textId="34BA10AF" w:rsidR="00617EFF" w:rsidRDefault="00617EFF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III (</w:t>
            </w:r>
            <w:r w:rsidR="00C00632">
              <w:rPr>
                <w:sz w:val="22"/>
                <w:szCs w:val="22"/>
              </w:rPr>
              <w:t>Jan 2018 – May 2018</w:t>
            </w:r>
            <w:r>
              <w:rPr>
                <w:sz w:val="22"/>
                <w:szCs w:val="22"/>
              </w:rPr>
              <w:t xml:space="preserve">): </w:t>
            </w:r>
          </w:p>
          <w:p w14:paraId="6E7266AA" w14:textId="77777777" w:rsidR="005607C1" w:rsidRDefault="00617EFF" w:rsidP="00617EF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7EFF">
              <w:rPr>
                <w:sz w:val="22"/>
                <w:szCs w:val="22"/>
              </w:rPr>
              <w:t xml:space="preserve">to integrate the </w:t>
            </w:r>
            <w:proofErr w:type="spellStart"/>
            <w:r w:rsidRPr="00617EFF">
              <w:rPr>
                <w:sz w:val="22"/>
                <w:szCs w:val="22"/>
              </w:rPr>
              <w:t>eMERGE</w:t>
            </w:r>
            <w:proofErr w:type="spellEnd"/>
            <w:r w:rsidRPr="00617EFF">
              <w:rPr>
                <w:sz w:val="22"/>
                <w:szCs w:val="22"/>
              </w:rPr>
              <w:t xml:space="preserve">-derived genetic evidence </w:t>
            </w:r>
            <w:r w:rsidR="00B14F9F">
              <w:rPr>
                <w:sz w:val="22"/>
                <w:szCs w:val="22"/>
              </w:rPr>
              <w:t>and AHRQ-derived epidemiologic evidence pertaining to hip arthroplasty</w:t>
            </w:r>
          </w:p>
          <w:p w14:paraId="35D97887" w14:textId="77777777" w:rsidR="00617EFF" w:rsidRPr="00617EFF" w:rsidRDefault="005607C1" w:rsidP="00617EF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identify the </w:t>
            </w:r>
            <w:r w:rsidR="00BF6EC3">
              <w:rPr>
                <w:sz w:val="22"/>
                <w:szCs w:val="22"/>
              </w:rPr>
              <w:t xml:space="preserve">hip arthroplasty related SNP </w:t>
            </w:r>
            <w:r>
              <w:rPr>
                <w:sz w:val="22"/>
                <w:szCs w:val="22"/>
              </w:rPr>
              <w:t xml:space="preserve">biomarker candidates </w:t>
            </w:r>
            <w:r w:rsidR="00430440">
              <w:rPr>
                <w:sz w:val="22"/>
                <w:szCs w:val="22"/>
              </w:rPr>
              <w:t>that can be</w:t>
            </w:r>
            <w:r w:rsidR="00BF6EC3">
              <w:rPr>
                <w:sz w:val="22"/>
                <w:szCs w:val="22"/>
              </w:rPr>
              <w:t xml:space="preserve"> pre-selected for further validation based on the </w:t>
            </w:r>
            <w:r w:rsidR="001B307A">
              <w:rPr>
                <w:sz w:val="22"/>
                <w:szCs w:val="22"/>
              </w:rPr>
              <w:t xml:space="preserve">integrated evidence streams and subsequent </w:t>
            </w:r>
            <w:r w:rsidR="001B307A" w:rsidRPr="001B307A">
              <w:rPr>
                <w:i/>
                <w:sz w:val="22"/>
                <w:szCs w:val="22"/>
              </w:rPr>
              <w:t xml:space="preserve">in </w:t>
            </w:r>
            <w:proofErr w:type="spellStart"/>
            <w:r w:rsidR="001B307A" w:rsidRPr="001B307A">
              <w:rPr>
                <w:i/>
                <w:sz w:val="22"/>
                <w:szCs w:val="22"/>
              </w:rPr>
              <w:t>silico</w:t>
            </w:r>
            <w:proofErr w:type="spellEnd"/>
            <w:r w:rsidR="00430440">
              <w:rPr>
                <w:sz w:val="22"/>
                <w:szCs w:val="22"/>
              </w:rPr>
              <w:t xml:space="preserve"> analyse</w:t>
            </w:r>
            <w:r w:rsidR="001B307A">
              <w:rPr>
                <w:sz w:val="22"/>
                <w:szCs w:val="22"/>
              </w:rPr>
              <w:t>s</w:t>
            </w:r>
          </w:p>
          <w:p w14:paraId="72F194C1" w14:textId="4DAEDB2F" w:rsidR="00B14F9F" w:rsidRDefault="00617EFF" w:rsidP="00CF0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IV</w:t>
            </w:r>
            <w:r w:rsidR="00B14F9F">
              <w:rPr>
                <w:sz w:val="22"/>
                <w:szCs w:val="22"/>
              </w:rPr>
              <w:t xml:space="preserve"> (</w:t>
            </w:r>
            <w:r w:rsidR="00C00632">
              <w:rPr>
                <w:sz w:val="22"/>
                <w:szCs w:val="22"/>
              </w:rPr>
              <w:t>by May 2019</w:t>
            </w:r>
            <w:r w:rsidR="00B14F9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</w:p>
          <w:p w14:paraId="38E4956B" w14:textId="77777777" w:rsidR="005048A8" w:rsidRDefault="00B14F9F" w:rsidP="00B14F9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prepare </w:t>
            </w:r>
            <w:r w:rsidR="005607C1">
              <w:rPr>
                <w:sz w:val="22"/>
                <w:szCs w:val="22"/>
              </w:rPr>
              <w:t>national/international presentation(s) and manuscript(s) for peer-reviewed publications</w:t>
            </w:r>
          </w:p>
          <w:p w14:paraId="3444F387" w14:textId="77777777" w:rsidR="007453DE" w:rsidRPr="00B14F9F" w:rsidRDefault="007453DE" w:rsidP="007453D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identify new </w:t>
            </w:r>
            <w:proofErr w:type="spellStart"/>
            <w:r>
              <w:rPr>
                <w:sz w:val="22"/>
                <w:szCs w:val="22"/>
              </w:rPr>
              <w:t>pharmacogenetic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pharmacoepidemiologic</w:t>
            </w:r>
            <w:proofErr w:type="spellEnd"/>
            <w:r>
              <w:rPr>
                <w:sz w:val="22"/>
                <w:szCs w:val="22"/>
              </w:rPr>
              <w:t xml:space="preserve"> research possibilities </w:t>
            </w:r>
            <w:r w:rsidR="00430440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corresponding </w:t>
            </w:r>
            <w:proofErr w:type="spellStart"/>
            <w:r>
              <w:rPr>
                <w:sz w:val="22"/>
                <w:szCs w:val="22"/>
              </w:rPr>
              <w:t>eMERGE</w:t>
            </w:r>
            <w:proofErr w:type="spellEnd"/>
            <w:r>
              <w:rPr>
                <w:sz w:val="22"/>
                <w:szCs w:val="22"/>
              </w:rPr>
              <w:t xml:space="preserve"> genetic/genomic datasets pertaining to medical devices</w:t>
            </w:r>
          </w:p>
          <w:p w14:paraId="543F4AB9" w14:textId="77777777" w:rsidR="00B14F9F" w:rsidRDefault="005607C1" w:rsidP="00B14F9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develop and disseminate methodological recommendations for utilizing similar </w:t>
            </w:r>
            <w:r w:rsidRPr="005607C1">
              <w:rPr>
                <w:i/>
                <w:sz w:val="22"/>
                <w:szCs w:val="22"/>
              </w:rPr>
              <w:t xml:space="preserve">in </w:t>
            </w:r>
            <w:proofErr w:type="spellStart"/>
            <w:r w:rsidRPr="005607C1">
              <w:rPr>
                <w:i/>
                <w:sz w:val="22"/>
                <w:szCs w:val="22"/>
              </w:rPr>
              <w:t>silico</w:t>
            </w:r>
            <w:proofErr w:type="spellEnd"/>
            <w:r>
              <w:rPr>
                <w:sz w:val="22"/>
                <w:szCs w:val="22"/>
              </w:rPr>
              <w:t xml:space="preserve"> framework and evidentiary a</w:t>
            </w:r>
            <w:r w:rsidR="00430440">
              <w:rPr>
                <w:sz w:val="22"/>
                <w:szCs w:val="22"/>
              </w:rPr>
              <w:t>pproaches for</w:t>
            </w:r>
            <w:r w:rsidR="00E53A47">
              <w:rPr>
                <w:sz w:val="22"/>
                <w:szCs w:val="22"/>
              </w:rPr>
              <w:t xml:space="preserve"> various</w:t>
            </w:r>
            <w:r>
              <w:rPr>
                <w:sz w:val="22"/>
                <w:szCs w:val="22"/>
              </w:rPr>
              <w:t xml:space="preserve"> </w:t>
            </w:r>
            <w:r w:rsidR="007453DE">
              <w:rPr>
                <w:sz w:val="22"/>
                <w:szCs w:val="22"/>
              </w:rPr>
              <w:t xml:space="preserve">Precision/Stratified Medicine </w:t>
            </w:r>
            <w:r>
              <w:rPr>
                <w:sz w:val="22"/>
                <w:szCs w:val="22"/>
              </w:rPr>
              <w:t>applications</w:t>
            </w:r>
          </w:p>
          <w:p w14:paraId="1B227C64" w14:textId="77777777" w:rsidR="0093273D" w:rsidRPr="007453DE" w:rsidRDefault="0093273D" w:rsidP="007453DE">
            <w:pPr>
              <w:ind w:left="360"/>
              <w:rPr>
                <w:sz w:val="22"/>
                <w:szCs w:val="22"/>
              </w:rPr>
            </w:pPr>
          </w:p>
        </w:tc>
      </w:tr>
    </w:tbl>
    <w:p w14:paraId="5B34D894" w14:textId="77777777" w:rsidR="002142B6" w:rsidRPr="00092764" w:rsidRDefault="000040CE">
      <w:pPr>
        <w:rPr>
          <w:sz w:val="22"/>
          <w:szCs w:val="22"/>
        </w:rPr>
      </w:pPr>
    </w:p>
    <w:p w14:paraId="156598B5" w14:textId="77777777" w:rsidR="0093273D" w:rsidRPr="00092764" w:rsidRDefault="0093273D" w:rsidP="0093273D">
      <w:pPr>
        <w:rPr>
          <w:rFonts w:asciiTheme="majorHAnsi" w:hAnsiTheme="majorHAnsi"/>
          <w:i/>
          <w:sz w:val="22"/>
          <w:szCs w:val="22"/>
        </w:rPr>
      </w:pPr>
      <w:r w:rsidRPr="00092764">
        <w:rPr>
          <w:rFonts w:asciiTheme="majorHAnsi" w:hAnsiTheme="majorHAnsi"/>
          <w:b/>
          <w:i/>
          <w:sz w:val="22"/>
          <w:szCs w:val="22"/>
        </w:rPr>
        <w:t xml:space="preserve">** </w:t>
      </w:r>
      <w:r w:rsidRPr="00092764">
        <w:rPr>
          <w:rFonts w:asciiTheme="majorHAnsi" w:hAnsiTheme="majorHAnsi"/>
          <w:i/>
          <w:sz w:val="22"/>
          <w:szCs w:val="22"/>
        </w:rPr>
        <w:t xml:space="preserve">This section should include the timeline for completion of project, </w:t>
      </w:r>
      <w:proofErr w:type="gramStart"/>
      <w:r w:rsidRPr="00092764">
        <w:rPr>
          <w:rFonts w:asciiTheme="majorHAnsi" w:hAnsiTheme="majorHAnsi"/>
          <w:i/>
          <w:sz w:val="22"/>
          <w:szCs w:val="22"/>
        </w:rPr>
        <w:t>including:</w:t>
      </w:r>
      <w:proofErr w:type="gramEnd"/>
      <w:r w:rsidRPr="00092764">
        <w:rPr>
          <w:rFonts w:asciiTheme="majorHAnsi" w:hAnsiTheme="majorHAnsi"/>
          <w:i/>
          <w:sz w:val="22"/>
          <w:szCs w:val="22"/>
        </w:rPr>
        <w:t xml:space="preserve"> approval, project duration, first and second draft of the paper and submission.</w:t>
      </w:r>
    </w:p>
    <w:sectPr w:rsidR="0093273D" w:rsidRPr="00092764" w:rsidSect="0093273D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418E" w14:textId="77777777" w:rsidR="0029014C" w:rsidRDefault="0029014C" w:rsidP="0093273D">
      <w:r>
        <w:separator/>
      </w:r>
    </w:p>
  </w:endnote>
  <w:endnote w:type="continuationSeparator" w:id="0">
    <w:p w14:paraId="3FA6F653" w14:textId="77777777" w:rsidR="0029014C" w:rsidRDefault="0029014C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DCD8D" w14:textId="504E5EC5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0040CE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55C38824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2977F" w14:textId="77777777" w:rsidR="0029014C" w:rsidRDefault="0029014C" w:rsidP="0093273D">
      <w:r>
        <w:separator/>
      </w:r>
    </w:p>
  </w:footnote>
  <w:footnote w:type="continuationSeparator" w:id="0">
    <w:p w14:paraId="5719C680" w14:textId="77777777" w:rsidR="0029014C" w:rsidRDefault="0029014C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B137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12BEF642" wp14:editId="42F9F6A7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75F0"/>
    <w:multiLevelType w:val="hybridMultilevel"/>
    <w:tmpl w:val="F4D2E71C"/>
    <w:lvl w:ilvl="0" w:tplc="8A1A7F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717EF"/>
    <w:multiLevelType w:val="hybridMultilevel"/>
    <w:tmpl w:val="8ECEF5A6"/>
    <w:lvl w:ilvl="0" w:tplc="3B9C4B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011E4"/>
    <w:multiLevelType w:val="hybridMultilevel"/>
    <w:tmpl w:val="2B5A9DB0"/>
    <w:lvl w:ilvl="0" w:tplc="2E802B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01A60"/>
    <w:rsid w:val="000040CE"/>
    <w:rsid w:val="000325D5"/>
    <w:rsid w:val="00092764"/>
    <w:rsid w:val="000F2BBF"/>
    <w:rsid w:val="0011609A"/>
    <w:rsid w:val="00155983"/>
    <w:rsid w:val="001B307A"/>
    <w:rsid w:val="00233E6A"/>
    <w:rsid w:val="00264193"/>
    <w:rsid w:val="00270D50"/>
    <w:rsid w:val="002824FC"/>
    <w:rsid w:val="0029014C"/>
    <w:rsid w:val="00387BB7"/>
    <w:rsid w:val="00430440"/>
    <w:rsid w:val="004922A2"/>
    <w:rsid w:val="004C2EDB"/>
    <w:rsid w:val="004C2EF6"/>
    <w:rsid w:val="005048A8"/>
    <w:rsid w:val="005414EA"/>
    <w:rsid w:val="005607C1"/>
    <w:rsid w:val="005737CD"/>
    <w:rsid w:val="00595A41"/>
    <w:rsid w:val="00617EFF"/>
    <w:rsid w:val="006353AA"/>
    <w:rsid w:val="0066763E"/>
    <w:rsid w:val="00682869"/>
    <w:rsid w:val="006A2BDF"/>
    <w:rsid w:val="006E01D7"/>
    <w:rsid w:val="00702E65"/>
    <w:rsid w:val="007453DE"/>
    <w:rsid w:val="0076709D"/>
    <w:rsid w:val="007F3F81"/>
    <w:rsid w:val="0082227C"/>
    <w:rsid w:val="00872C56"/>
    <w:rsid w:val="008741E6"/>
    <w:rsid w:val="008A7086"/>
    <w:rsid w:val="00900D3C"/>
    <w:rsid w:val="00904FD9"/>
    <w:rsid w:val="00920BE5"/>
    <w:rsid w:val="0093273D"/>
    <w:rsid w:val="0093637C"/>
    <w:rsid w:val="00975C47"/>
    <w:rsid w:val="009B27C2"/>
    <w:rsid w:val="00A43940"/>
    <w:rsid w:val="00AA5EDB"/>
    <w:rsid w:val="00AD00B5"/>
    <w:rsid w:val="00AD79EE"/>
    <w:rsid w:val="00AF586E"/>
    <w:rsid w:val="00B14F9F"/>
    <w:rsid w:val="00B73C6F"/>
    <w:rsid w:val="00BF6EC3"/>
    <w:rsid w:val="00C00632"/>
    <w:rsid w:val="00C56AEA"/>
    <w:rsid w:val="00CA6313"/>
    <w:rsid w:val="00CF506A"/>
    <w:rsid w:val="00D01327"/>
    <w:rsid w:val="00D10D74"/>
    <w:rsid w:val="00D57EA4"/>
    <w:rsid w:val="00DB3270"/>
    <w:rsid w:val="00E53A47"/>
    <w:rsid w:val="00E96195"/>
    <w:rsid w:val="00EE4B5C"/>
    <w:rsid w:val="00F605B7"/>
    <w:rsid w:val="00F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F8734"/>
  <w15:docId w15:val="{26FED58D-12BE-404D-ACDA-EE779AF0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E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7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8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1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D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D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marinac-dabic@fda.hhs.gov" TargetMode="External"/><Relationship Id="rId13" Type="http://schemas.openxmlformats.org/officeDocument/2006/relationships/hyperlink" Target="http://www.genome.gov/Staff/Li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yelizaveta.torosyan@fda.hhs.gov" TargetMode="External"/><Relationship Id="rId12" Type="http://schemas.openxmlformats.org/officeDocument/2006/relationships/hyperlink" Target="mailto:lir2@mail.nih.gov" TargetMode="External"/><Relationship Id="rId17" Type="http://schemas.openxmlformats.org/officeDocument/2006/relationships/hyperlink" Target="http://www.google.com/url?sa=t&amp;rct=j&amp;q=&amp;esrc=s&amp;source=web&amp;cd=10&amp;ved=0ahUKEwj_84bjgZDSAhWCOCYKHXoMAasQFghRMAk&amp;url=http%3A%2F%2Fwww.fda.gov%2Fdownloads%2FScienceResearch%2FMeetingsConferencesandWorkshops%2FScienceWritersSymposium%2FUCM467971.pdf&amp;usg=AFQjCNHRLgE2DPvZxFlPizrIl_NEHeMbm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-itworld.com/2014/10/22/inside-hive-fdas-multi-omics-compute-architecture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h.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logs.fda.gov/fdavoice/index.php/tag/high-performance-integrated-virtual-environment-hive/" TargetMode="External"/><Relationship Id="rId10" Type="http://schemas.openxmlformats.org/officeDocument/2006/relationships/hyperlink" Target="http://www.genome.gov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nome.gov/19518660" TargetMode="External"/><Relationship Id="rId14" Type="http://schemas.openxmlformats.org/officeDocument/2006/relationships/hyperlink" Target="mailto:vahan.simonyan@fda.hh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Derveloy, Brianne B</cp:lastModifiedBy>
  <cp:revision>4</cp:revision>
  <cp:lastPrinted>2017-02-09T21:42:00Z</cp:lastPrinted>
  <dcterms:created xsi:type="dcterms:W3CDTF">2017-03-06T17:52:00Z</dcterms:created>
  <dcterms:modified xsi:type="dcterms:W3CDTF">2017-03-06T21:05:00Z</dcterms:modified>
</cp:coreProperties>
</file>