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521542C5" w14:textId="77777777" w:rsidTr="00900D3C">
        <w:trPr>
          <w:trHeight w:val="503"/>
        </w:trPr>
        <w:tc>
          <w:tcPr>
            <w:tcW w:w="11251" w:type="dxa"/>
            <w:gridSpan w:val="2"/>
            <w:tcBorders>
              <w:top w:val="double" w:sz="4" w:space="0" w:color="E7E6E6" w:themeColor="background2"/>
            </w:tcBorders>
            <w:shd w:val="clear" w:color="auto" w:fill="008BCC"/>
            <w:vAlign w:val="center"/>
          </w:tcPr>
          <w:p w14:paraId="23CD5C06"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r>
              <w:rPr>
                <w:rFonts w:asciiTheme="majorHAnsi" w:hAnsiTheme="majorHAnsi"/>
                <w:b/>
                <w:color w:val="FFFFFF" w:themeColor="background1"/>
                <w:sz w:val="28"/>
              </w:rPr>
              <w:t>eMERGE Network Analysis</w:t>
            </w:r>
          </w:p>
          <w:p w14:paraId="18500D27"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0BC3A5C2"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4AF62D9"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276FEC29" w14:textId="45A69654" w:rsidR="0093273D" w:rsidRPr="005F7C97" w:rsidRDefault="00661333" w:rsidP="00CF0D06">
            <w:r>
              <w:t>NT229</w:t>
            </w:r>
          </w:p>
        </w:tc>
      </w:tr>
      <w:tr w:rsidR="0093273D" w:rsidRPr="005F7C97" w14:paraId="185F089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BAB42D"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49F2518" w14:textId="79DE83A7" w:rsidR="0093273D" w:rsidRPr="005F7C97" w:rsidRDefault="00661333" w:rsidP="00CF0D06">
            <w:r>
              <w:t>4/26/2017</w:t>
            </w:r>
            <w:bookmarkStart w:id="0" w:name="_GoBack"/>
            <w:bookmarkEnd w:id="0"/>
          </w:p>
        </w:tc>
      </w:tr>
      <w:tr w:rsidR="00682869" w:rsidRPr="005F7C97" w14:paraId="00359374"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0D8B6D0" w14:textId="77777777" w:rsidR="00682869" w:rsidRDefault="00682869"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468BA1F" w14:textId="5C44BA94" w:rsidR="00A73B2C" w:rsidRDefault="008C02FD" w:rsidP="00CF0D06">
            <w:pPr>
              <w:rPr>
                <w:sz w:val="22"/>
                <w:szCs w:val="20"/>
              </w:rPr>
            </w:pPr>
            <w:r>
              <w:rPr>
                <w:sz w:val="22"/>
                <w:szCs w:val="20"/>
              </w:rPr>
              <w:t xml:space="preserve">Xinyuan Zhang, </w:t>
            </w:r>
            <w:hyperlink r:id="rId7" w:history="1">
              <w:r w:rsidR="00A73B2C" w:rsidRPr="007917B9">
                <w:rPr>
                  <w:rStyle w:val="Hyperlink"/>
                  <w:sz w:val="22"/>
                  <w:szCs w:val="20"/>
                </w:rPr>
                <w:t>xzhang2@geisinger.edu</w:t>
              </w:r>
            </w:hyperlink>
          </w:p>
          <w:p w14:paraId="5BBF59F5" w14:textId="342E3E64" w:rsidR="00682869" w:rsidRDefault="008C02FD" w:rsidP="00CF0D06">
            <w:pPr>
              <w:rPr>
                <w:sz w:val="22"/>
                <w:szCs w:val="20"/>
              </w:rPr>
            </w:pPr>
            <w:r>
              <w:rPr>
                <w:sz w:val="22"/>
                <w:szCs w:val="20"/>
              </w:rPr>
              <w:t>Yuki Bradford</w:t>
            </w:r>
            <w:r w:rsidR="00A73B2C">
              <w:rPr>
                <w:sz w:val="22"/>
                <w:szCs w:val="20"/>
              </w:rPr>
              <w:t xml:space="preserve">, </w:t>
            </w:r>
            <w:hyperlink r:id="rId8" w:history="1">
              <w:r w:rsidR="00A73B2C" w:rsidRPr="007917B9">
                <w:rPr>
                  <w:rStyle w:val="Hyperlink"/>
                  <w:sz w:val="22"/>
                  <w:szCs w:val="20"/>
                </w:rPr>
                <w:t>ybradford@geisinger.edu</w:t>
              </w:r>
            </w:hyperlink>
          </w:p>
          <w:p w14:paraId="64EA0102" w14:textId="345C80A0" w:rsidR="00A73B2C" w:rsidRPr="005F7C97" w:rsidRDefault="00A73B2C" w:rsidP="00CF0D06"/>
        </w:tc>
      </w:tr>
      <w:tr w:rsidR="00682869" w:rsidRPr="005F7C97" w14:paraId="4292116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6687EF"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5279978B"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DB78ECF" w14:textId="44FB75EB" w:rsidR="008C02FD" w:rsidRDefault="008C02FD" w:rsidP="008C02FD">
            <w:pPr>
              <w:rPr>
                <w:sz w:val="22"/>
                <w:szCs w:val="20"/>
              </w:rPr>
            </w:pPr>
            <w:r>
              <w:rPr>
                <w:sz w:val="22"/>
                <w:szCs w:val="20"/>
              </w:rPr>
              <w:t>Marylyn D. Ritchie</w:t>
            </w:r>
            <w:r w:rsidR="00A73B2C">
              <w:rPr>
                <w:sz w:val="22"/>
                <w:szCs w:val="20"/>
              </w:rPr>
              <w:t>, mdritchie@geisinger.edu</w:t>
            </w:r>
          </w:p>
          <w:p w14:paraId="25EE507A" w14:textId="77777777" w:rsidR="00682869" w:rsidRPr="005F7C97" w:rsidRDefault="00682869" w:rsidP="00CF0D06"/>
        </w:tc>
      </w:tr>
      <w:tr w:rsidR="00682869" w:rsidRPr="005F7C97" w14:paraId="7CBE55C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8B2F914" w14:textId="77777777" w:rsidR="00682869" w:rsidRPr="0074111E" w:rsidRDefault="00682869" w:rsidP="00CF0D06">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50A71D9" w14:textId="363C8092" w:rsidR="00682869" w:rsidRPr="005F7C97" w:rsidRDefault="00A73B2C" w:rsidP="00CF0D06">
            <w:r>
              <w:t>Geisinger Health System, Marylyn Ritchie</w:t>
            </w:r>
          </w:p>
        </w:tc>
      </w:tr>
      <w:tr w:rsidR="0093273D" w:rsidRPr="005F7C97" w14:paraId="15C1FA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EE1CEC"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5D84AFF" w14:textId="77777777" w:rsidR="0093273D" w:rsidRPr="005F7C97" w:rsidRDefault="008C02FD" w:rsidP="00CF0D06">
            <w:r>
              <w:rPr>
                <w:sz w:val="22"/>
                <w:szCs w:val="22"/>
              </w:rPr>
              <w:t>eMERGE GWAS for GIANT meta-analysis</w:t>
            </w:r>
          </w:p>
        </w:tc>
      </w:tr>
      <w:tr w:rsidR="0093273D" w:rsidRPr="005F7C97" w14:paraId="2DB45ED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B39627"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D9442F6" w14:textId="77777777" w:rsidR="0093273D" w:rsidRDefault="0093273D" w:rsidP="00CF0D06"/>
          <w:p w14:paraId="3BD9CDAE" w14:textId="77777777" w:rsidR="0093273D" w:rsidRPr="005F7C97" w:rsidRDefault="008C02FD" w:rsidP="00CF0D06">
            <w:r>
              <w:t>TBD</w:t>
            </w:r>
          </w:p>
        </w:tc>
      </w:tr>
      <w:tr w:rsidR="0093273D" w:rsidRPr="005F7C97" w14:paraId="097CF6D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BA7DECE" w14:textId="77777777" w:rsidR="0093273D" w:rsidRPr="0074111E" w:rsidRDefault="00682869" w:rsidP="00CF0D06">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1B9093" w14:textId="77777777" w:rsidR="0093273D" w:rsidRDefault="0093273D" w:rsidP="00CF0D06"/>
          <w:p w14:paraId="26864E77" w14:textId="77777777" w:rsidR="0093273D" w:rsidRPr="005F7C97" w:rsidRDefault="008C02FD" w:rsidP="00CF0D06">
            <w:r>
              <w:rPr>
                <w:sz w:val="22"/>
              </w:rPr>
              <w:t>All eMERGE network</w:t>
            </w:r>
          </w:p>
        </w:tc>
      </w:tr>
      <w:tr w:rsidR="0093273D" w:rsidRPr="005F7C97" w14:paraId="44C6DE6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A162DC9"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E73AC7" w14:textId="77777777" w:rsidR="0093273D" w:rsidRPr="00D67D30" w:rsidRDefault="008C02FD" w:rsidP="00CF0D06">
            <w:pPr>
              <w:rPr>
                <w:color w:val="000000"/>
                <w:sz w:val="22"/>
                <w:szCs w:val="22"/>
              </w:rPr>
            </w:pPr>
            <w:r>
              <w:rPr>
                <w:sz w:val="22"/>
              </w:rPr>
              <w:t>Obesity is globally prevalent and has an increasing risk for multiple disorders, including cardiovascular disease</w:t>
            </w:r>
            <w:r>
              <w:rPr>
                <w:sz w:val="22"/>
                <w:vertAlign w:val="superscript"/>
              </w:rPr>
              <w:t xml:space="preserve"> </w:t>
            </w:r>
            <w:r>
              <w:rPr>
                <w:sz w:val="22"/>
              </w:rPr>
              <w:t>and Type II diabetes</w:t>
            </w:r>
            <w:r>
              <w:rPr>
                <w:sz w:val="22"/>
                <w:vertAlign w:val="superscript"/>
              </w:rPr>
              <w:t>1,2</w:t>
            </w:r>
            <w:r>
              <w:rPr>
                <w:sz w:val="22"/>
              </w:rPr>
              <w:t>. Nearly 40-70% of variability in body mass index (BMI), a measure which used to assess obesity, has been attributed to genetic component</w:t>
            </w:r>
            <w:r>
              <w:rPr>
                <w:sz w:val="22"/>
                <w:vertAlign w:val="superscript"/>
              </w:rPr>
              <w:t>3</w:t>
            </w:r>
            <w:r>
              <w:rPr>
                <w:sz w:val="22"/>
              </w:rPr>
              <w:t>. Genome-wide estimates imply that common variant explains for &gt;20% of BMI variation</w:t>
            </w:r>
            <w:r>
              <w:rPr>
                <w:sz w:val="22"/>
                <w:vertAlign w:val="superscript"/>
              </w:rPr>
              <w:t>4</w:t>
            </w:r>
            <w:r>
              <w:rPr>
                <w:sz w:val="22"/>
              </w:rPr>
              <w:t>. Previously identified loci only account for a limited fraction of variation in BMI</w:t>
            </w:r>
            <w:r>
              <w:rPr>
                <w:sz w:val="22"/>
                <w:vertAlign w:val="superscript"/>
              </w:rPr>
              <w:t>4</w:t>
            </w:r>
            <w:r>
              <w:rPr>
                <w:sz w:val="22"/>
              </w:rPr>
              <w:t xml:space="preserve"> and sample size is a key factor to increase power to discover associated variants</w:t>
            </w:r>
            <w:r>
              <w:rPr>
                <w:sz w:val="22"/>
                <w:vertAlign w:val="superscript"/>
              </w:rPr>
              <w:t>5</w:t>
            </w:r>
            <w:r>
              <w:rPr>
                <w:sz w:val="22"/>
              </w:rPr>
              <w:t>. Genetic Investigation of Anthropometric Traits (GIANT) consortium is establishing large-scale meta-analysis resources for BMI GWAS. With well-documented EHR and genotyped genomics data, eMERGE network phase III provides great perspectives addressing the challenge and assists to explain heritability in obesity.</w:t>
            </w:r>
          </w:p>
        </w:tc>
      </w:tr>
      <w:tr w:rsidR="0093273D" w:rsidRPr="005F7C97" w14:paraId="25809EF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4FD849"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E293672" w14:textId="77777777" w:rsidR="008C02FD" w:rsidRDefault="008C02FD" w:rsidP="008C02FD">
            <w:pPr>
              <w:numPr>
                <w:ilvl w:val="0"/>
                <w:numId w:val="1"/>
              </w:numPr>
              <w:rPr>
                <w:b/>
                <w:sz w:val="22"/>
              </w:rPr>
            </w:pPr>
            <w:r>
              <w:rPr>
                <w:b/>
                <w:sz w:val="22"/>
              </w:rPr>
              <w:t>Phenotypic modeling</w:t>
            </w:r>
          </w:p>
          <w:p w14:paraId="4E1A89A8" w14:textId="77777777" w:rsidR="008C02FD" w:rsidRDefault="008C02FD" w:rsidP="008C02FD">
            <w:pPr>
              <w:ind w:left="360"/>
              <w:rPr>
                <w:sz w:val="22"/>
              </w:rPr>
            </w:pPr>
            <w:r>
              <w:rPr>
                <w:sz w:val="22"/>
              </w:rPr>
              <w:t xml:space="preserve">Genotyped participants of all eMERGE sites (except for the ones who is younger than 18 years old, pregnant women and carry Mendelian disease) will be used in our study. BMI will be adjusted for ethnicity, sex and disease status in a linear regression model. All phenotypic traits will be inverse normal transformed after creation of residuals to facilitate proper analysis of low frequency variants. </w:t>
            </w:r>
          </w:p>
          <w:p w14:paraId="6B1FCE7E" w14:textId="77777777" w:rsidR="008C02FD" w:rsidRDefault="008C02FD" w:rsidP="008C02FD">
            <w:pPr>
              <w:numPr>
                <w:ilvl w:val="0"/>
                <w:numId w:val="1"/>
              </w:numPr>
              <w:rPr>
                <w:b/>
                <w:sz w:val="22"/>
              </w:rPr>
            </w:pPr>
            <w:r>
              <w:rPr>
                <w:b/>
                <w:sz w:val="22"/>
              </w:rPr>
              <w:t>Population stratified grouping</w:t>
            </w:r>
          </w:p>
          <w:p w14:paraId="3E419728" w14:textId="77777777" w:rsidR="008C02FD" w:rsidRDefault="008C02FD" w:rsidP="008C02FD">
            <w:pPr>
              <w:ind w:left="360"/>
              <w:rPr>
                <w:sz w:val="22"/>
                <w:lang w:eastAsia="zh-CN"/>
              </w:rPr>
            </w:pPr>
            <w:r>
              <w:rPr>
                <w:sz w:val="22"/>
                <w:lang w:eastAsia="zh-CN"/>
              </w:rPr>
              <w:t>We plan to conduct a series of genome-wide association studies for (1) all ancestries, (2) European men, (3) European women, (4) European population, respectively.</w:t>
            </w:r>
          </w:p>
          <w:p w14:paraId="7550BC35" w14:textId="77777777" w:rsidR="008C02FD" w:rsidRDefault="008C02FD" w:rsidP="008C02FD">
            <w:pPr>
              <w:numPr>
                <w:ilvl w:val="0"/>
                <w:numId w:val="1"/>
              </w:numPr>
              <w:rPr>
                <w:b/>
                <w:sz w:val="22"/>
              </w:rPr>
            </w:pPr>
            <w:r>
              <w:rPr>
                <w:b/>
                <w:sz w:val="22"/>
              </w:rPr>
              <w:t>Genomic analyses</w:t>
            </w:r>
          </w:p>
          <w:p w14:paraId="355145ED" w14:textId="77777777" w:rsidR="008C02FD" w:rsidRDefault="008C02FD" w:rsidP="008C02FD">
            <w:pPr>
              <w:numPr>
                <w:ilvl w:val="0"/>
                <w:numId w:val="2"/>
              </w:numPr>
              <w:rPr>
                <w:sz w:val="22"/>
              </w:rPr>
            </w:pPr>
            <w:r>
              <w:rPr>
                <w:sz w:val="22"/>
              </w:rPr>
              <w:t xml:space="preserve">Use eMERGE network GWAS results to calculate the common variant heritability for BMI </w:t>
            </w:r>
          </w:p>
          <w:p w14:paraId="09F45491" w14:textId="77777777" w:rsidR="008C02FD" w:rsidRDefault="008C02FD" w:rsidP="008C02FD">
            <w:pPr>
              <w:numPr>
                <w:ilvl w:val="0"/>
                <w:numId w:val="2"/>
              </w:numPr>
              <w:rPr>
                <w:sz w:val="22"/>
              </w:rPr>
            </w:pPr>
            <w:r>
              <w:rPr>
                <w:sz w:val="22"/>
              </w:rPr>
              <w:t xml:space="preserve">Perform meta-analysis using our GWAS results and GIANT studies together to re-validate and define novel associated variants. </w:t>
            </w:r>
          </w:p>
          <w:p w14:paraId="7D5CEC61" w14:textId="77777777" w:rsidR="008C02FD" w:rsidRDefault="008C02FD" w:rsidP="008C02FD">
            <w:pPr>
              <w:numPr>
                <w:ilvl w:val="0"/>
                <w:numId w:val="2"/>
              </w:numPr>
              <w:rPr>
                <w:sz w:val="22"/>
              </w:rPr>
            </w:pPr>
            <w:r>
              <w:rPr>
                <w:sz w:val="22"/>
              </w:rPr>
              <w:t xml:space="preserve">Apply functional genomic analysis on discovered variants to evaluate potential biological link to obesity -susceptibility. </w:t>
            </w:r>
          </w:p>
          <w:p w14:paraId="70E53DCC" w14:textId="77777777" w:rsidR="0093273D" w:rsidRPr="005F7C97" w:rsidRDefault="0093273D" w:rsidP="00CF0D06"/>
        </w:tc>
      </w:tr>
      <w:tr w:rsidR="0093273D" w:rsidRPr="005F7C97" w14:paraId="453CA631"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602EB2"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 xml:space="preserve">Desired Variables </w:t>
            </w:r>
          </w:p>
          <w:p w14:paraId="4EEC33E3" w14:textId="77777777"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14:paraId="568F6168"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BE388A8" w14:textId="6E45B71B" w:rsidR="00A73B2C" w:rsidRDefault="00A73B2C" w:rsidP="00A73B2C">
            <w:pPr>
              <w:rPr>
                <w:rFonts w:ascii="Times" w:hAnsi="Times"/>
              </w:rPr>
            </w:pPr>
            <w:r>
              <w:rPr>
                <w:rFonts w:ascii="Times" w:hAnsi="Times"/>
              </w:rPr>
              <w:t>We seek the following variables for our analyses:</w:t>
            </w:r>
          </w:p>
          <w:p w14:paraId="72FE6F64" w14:textId="1B83ACCC" w:rsidR="00A73B2C" w:rsidRDefault="00A73B2C" w:rsidP="00A73B2C">
            <w:pPr>
              <w:numPr>
                <w:ilvl w:val="0"/>
                <w:numId w:val="6"/>
              </w:numPr>
              <w:rPr>
                <w:rFonts w:ascii="Times" w:hAnsi="Times"/>
                <w:u w:val="single"/>
              </w:rPr>
            </w:pPr>
            <w:r>
              <w:rPr>
                <w:rFonts w:ascii="Times" w:hAnsi="Times"/>
                <w:u w:val="single"/>
              </w:rPr>
              <w:t xml:space="preserve">Primary phenotypes*: </w:t>
            </w:r>
            <w:r w:rsidRPr="00A73B2C">
              <w:rPr>
                <w:rFonts w:ascii="Times" w:hAnsi="Times"/>
              </w:rPr>
              <w:t>Computed anthropometric traits (Height (cm), Body Mass Index: mass(kg)/height2(m2), Waist-to-Hip (waist/hip circumference(cm)) Ratio adjusted for BMI, Waist-to-Hip Ratio unadjusted for BMI)</w:t>
            </w:r>
          </w:p>
          <w:p w14:paraId="260451C8" w14:textId="77777777" w:rsidR="00A73B2C" w:rsidRDefault="00A73B2C" w:rsidP="00A73B2C">
            <w:pPr>
              <w:numPr>
                <w:ilvl w:val="0"/>
                <w:numId w:val="6"/>
              </w:numPr>
              <w:rPr>
                <w:rFonts w:ascii="Times" w:hAnsi="Times"/>
              </w:rPr>
            </w:pPr>
            <w:r>
              <w:rPr>
                <w:rFonts w:ascii="Times" w:hAnsi="Times"/>
                <w:u w:val="single"/>
              </w:rPr>
              <w:t>Confounder variables*</w:t>
            </w:r>
            <w:r>
              <w:rPr>
                <w:rFonts w:ascii="Times" w:hAnsi="Times"/>
              </w:rPr>
              <w:t>: age at measurement, year of birth, sex, and race/ethnicity</w:t>
            </w:r>
          </w:p>
          <w:p w14:paraId="09E8DB95" w14:textId="1F1969A5" w:rsidR="00A73B2C" w:rsidRPr="00A73B2C" w:rsidRDefault="00A73B2C" w:rsidP="008C02FD">
            <w:pPr>
              <w:numPr>
                <w:ilvl w:val="0"/>
                <w:numId w:val="6"/>
              </w:numPr>
              <w:rPr>
                <w:rFonts w:ascii="Times" w:hAnsi="Times"/>
              </w:rPr>
            </w:pPr>
            <w:r>
              <w:rPr>
                <w:rFonts w:ascii="Times" w:hAnsi="Times"/>
                <w:u w:val="single"/>
              </w:rPr>
              <w:t>Related disease status*</w:t>
            </w:r>
            <w:r>
              <w:rPr>
                <w:rFonts w:ascii="Times" w:hAnsi="Times"/>
              </w:rPr>
              <w:t>: coronary artery disease, type II diabetes</w:t>
            </w:r>
          </w:p>
        </w:tc>
      </w:tr>
      <w:tr w:rsidR="00A73B2C" w:rsidRPr="005F7C97" w14:paraId="19C76EC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2C06F15" w14:textId="77777777" w:rsidR="00A73B2C" w:rsidRPr="0074111E" w:rsidRDefault="00A73B2C" w:rsidP="00A73B2C">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B7244D4" w14:textId="6F5DFA16" w:rsidR="00A73B2C" w:rsidRPr="005F7C97" w:rsidRDefault="00A73B2C" w:rsidP="00A73B2C">
            <w:r>
              <w:t>eMERGE-III HRC imputed data</w:t>
            </w:r>
          </w:p>
        </w:tc>
      </w:tr>
      <w:tr w:rsidR="00A73B2C" w:rsidRPr="005F7C97" w14:paraId="20B4B9F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F29CFF" w14:textId="77777777" w:rsidR="00A73B2C" w:rsidRPr="0074111E" w:rsidRDefault="00A73B2C" w:rsidP="00A73B2C">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07D930B" w14:textId="77777777" w:rsidR="00A73B2C" w:rsidRDefault="00A73B2C" w:rsidP="00A73B2C">
            <w:pPr>
              <w:rPr>
                <w:sz w:val="22"/>
                <w:szCs w:val="22"/>
              </w:rPr>
            </w:pPr>
          </w:p>
          <w:p w14:paraId="6C7ECD82" w14:textId="77777777" w:rsidR="00A73B2C" w:rsidRDefault="00A73B2C" w:rsidP="00A73B2C">
            <w:pPr>
              <w:numPr>
                <w:ilvl w:val="0"/>
                <w:numId w:val="3"/>
              </w:numPr>
              <w:rPr>
                <w:sz w:val="22"/>
              </w:rPr>
            </w:pPr>
            <w:r>
              <w:rPr>
                <w:sz w:val="22"/>
              </w:rPr>
              <w:t>Imputation and quality control separately for different genotyping array.</w:t>
            </w:r>
          </w:p>
          <w:p w14:paraId="579EDD20" w14:textId="77777777" w:rsidR="00A73B2C" w:rsidRDefault="00A73B2C" w:rsidP="00A73B2C">
            <w:pPr>
              <w:numPr>
                <w:ilvl w:val="0"/>
                <w:numId w:val="3"/>
              </w:numPr>
              <w:rPr>
                <w:sz w:val="22"/>
              </w:rPr>
            </w:pPr>
            <w:r>
              <w:rPr>
                <w:sz w:val="22"/>
              </w:rPr>
              <w:t>eMERGE genome-wide association analysis using linear regression.</w:t>
            </w:r>
          </w:p>
          <w:p w14:paraId="04960565" w14:textId="77777777" w:rsidR="00A73B2C" w:rsidRDefault="00A73B2C" w:rsidP="00A73B2C">
            <w:pPr>
              <w:numPr>
                <w:ilvl w:val="0"/>
                <w:numId w:val="3"/>
              </w:numPr>
              <w:rPr>
                <w:sz w:val="22"/>
              </w:rPr>
            </w:pPr>
            <w:r>
              <w:rPr>
                <w:sz w:val="22"/>
              </w:rPr>
              <w:t>Meta-analysis using METAL.</w:t>
            </w:r>
          </w:p>
          <w:p w14:paraId="0A59B555" w14:textId="77777777" w:rsidR="00A73B2C" w:rsidRDefault="00A73B2C" w:rsidP="00A73B2C">
            <w:r>
              <w:rPr>
                <w:sz w:val="22"/>
              </w:rPr>
              <w:t>Meta-Analysis Gene-set Enrichment of variaNT Associations (MAGENTA) and DEPICT to identify overrepresented gene sets.</w:t>
            </w:r>
          </w:p>
          <w:p w14:paraId="2E8E35DA" w14:textId="77777777" w:rsidR="00A73B2C" w:rsidRPr="005F7C97" w:rsidRDefault="00A73B2C" w:rsidP="00A73B2C"/>
        </w:tc>
      </w:tr>
      <w:tr w:rsidR="00A73B2C" w:rsidRPr="005F7C97" w14:paraId="40F3D36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4F4DC3" w14:textId="77777777" w:rsidR="00A73B2C" w:rsidRPr="0074111E" w:rsidRDefault="00A73B2C" w:rsidP="00A73B2C">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D67168C" w14:textId="77777777" w:rsidR="00A73B2C" w:rsidRDefault="00A73B2C" w:rsidP="00A73B2C"/>
          <w:p w14:paraId="46D8B121" w14:textId="77777777" w:rsidR="00A73B2C" w:rsidRDefault="00A73B2C" w:rsidP="00A73B2C">
            <w:pPr>
              <w:rPr>
                <w:sz w:val="22"/>
              </w:rPr>
            </w:pPr>
            <w:r>
              <w:rPr>
                <w:sz w:val="22"/>
              </w:rPr>
              <w:t xml:space="preserve">Genomics data and phenotypic data will be de-identified to protect confidentiality. </w:t>
            </w:r>
          </w:p>
          <w:p w14:paraId="021028A4" w14:textId="77777777" w:rsidR="00A73B2C" w:rsidRPr="005F7C97" w:rsidRDefault="00A73B2C" w:rsidP="00A73B2C"/>
        </w:tc>
      </w:tr>
      <w:tr w:rsidR="00A73B2C" w:rsidRPr="005F7C97" w14:paraId="3750C2F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501D642" w14:textId="77777777" w:rsidR="00A73B2C" w:rsidRPr="0074111E" w:rsidRDefault="00A73B2C" w:rsidP="00A73B2C">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2858988" w14:textId="77777777" w:rsidR="00A73B2C" w:rsidRDefault="00A73B2C" w:rsidP="00A73B2C"/>
          <w:p w14:paraId="27F9DAEF" w14:textId="16E7145E" w:rsidR="00A73B2C" w:rsidRPr="005F7C97" w:rsidRDefault="00A73B2C" w:rsidP="00A73B2C">
            <w:r>
              <w:t>eMERGE</w:t>
            </w:r>
          </w:p>
        </w:tc>
      </w:tr>
      <w:tr w:rsidR="00A73B2C" w:rsidRPr="005F7C97" w14:paraId="7CF0EC7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5443CA" w14:textId="77777777" w:rsidR="00A73B2C" w:rsidRPr="0074111E" w:rsidRDefault="00A73B2C" w:rsidP="00A73B2C">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395E368" w14:textId="77777777" w:rsidR="00A73B2C" w:rsidRPr="00A73B2C" w:rsidRDefault="00A73B2C" w:rsidP="00A73B2C">
            <w:pPr>
              <w:numPr>
                <w:ilvl w:val="0"/>
                <w:numId w:val="4"/>
              </w:numPr>
              <w:rPr>
                <w:sz w:val="22"/>
                <w:szCs w:val="22"/>
              </w:rPr>
            </w:pPr>
            <w:r w:rsidRPr="00A73B2C">
              <w:rPr>
                <w:sz w:val="22"/>
                <w:szCs w:val="22"/>
              </w:rPr>
              <w:t xml:space="preserve">Complete QC by mid-April </w:t>
            </w:r>
          </w:p>
          <w:p w14:paraId="4841C1E8" w14:textId="77777777" w:rsidR="00A73B2C" w:rsidRPr="00A73B2C" w:rsidRDefault="00A73B2C" w:rsidP="00A73B2C">
            <w:pPr>
              <w:numPr>
                <w:ilvl w:val="0"/>
                <w:numId w:val="4"/>
              </w:numPr>
              <w:rPr>
                <w:sz w:val="22"/>
                <w:szCs w:val="22"/>
              </w:rPr>
            </w:pPr>
            <w:r w:rsidRPr="00A73B2C">
              <w:rPr>
                <w:sz w:val="22"/>
                <w:szCs w:val="22"/>
              </w:rPr>
              <w:t>Complete association analyses by April 30 (pending receipt of phenotype data and genotype imputation on HRC by David Crosslin)</w:t>
            </w:r>
          </w:p>
          <w:p w14:paraId="1AB716C3" w14:textId="1DB8B2CE" w:rsidR="00A73B2C" w:rsidRPr="005F7C97" w:rsidRDefault="00A73B2C" w:rsidP="00A73B2C">
            <w:pPr>
              <w:numPr>
                <w:ilvl w:val="0"/>
                <w:numId w:val="4"/>
              </w:numPr>
            </w:pPr>
            <w:r w:rsidRPr="00A73B2C">
              <w:rPr>
                <w:sz w:val="22"/>
                <w:szCs w:val="22"/>
              </w:rPr>
              <w:t>Write relevant portions of the manuscript by end of Spring 2017.</w:t>
            </w:r>
          </w:p>
        </w:tc>
      </w:tr>
    </w:tbl>
    <w:p w14:paraId="41AD5359" w14:textId="77777777" w:rsidR="002142B6" w:rsidRDefault="00661333"/>
    <w:p w14:paraId="31635260" w14:textId="77777777" w:rsid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p w14:paraId="4A5C0CEF" w14:textId="77777777" w:rsidR="008C02FD" w:rsidRDefault="008C02FD" w:rsidP="0093273D">
      <w:pPr>
        <w:rPr>
          <w:rFonts w:asciiTheme="majorHAnsi" w:hAnsiTheme="majorHAnsi"/>
          <w:i/>
          <w:sz w:val="22"/>
        </w:rPr>
      </w:pPr>
    </w:p>
    <w:p w14:paraId="4869016B" w14:textId="77777777" w:rsidR="008C02FD" w:rsidRDefault="008C02FD" w:rsidP="008C02FD">
      <w:pPr>
        <w:numPr>
          <w:ilvl w:val="0"/>
          <w:numId w:val="5"/>
        </w:numPr>
        <w:rPr>
          <w:color w:val="222222"/>
          <w:sz w:val="18"/>
          <w:szCs w:val="22"/>
          <w:shd w:val="clear" w:color="auto" w:fill="FFFFFF"/>
        </w:rPr>
      </w:pPr>
      <w:r>
        <w:rPr>
          <w:color w:val="222222"/>
          <w:sz w:val="18"/>
          <w:szCs w:val="22"/>
          <w:shd w:val="clear" w:color="auto" w:fill="FFFFFF"/>
        </w:rPr>
        <w:t>Lewis, Cora E., et al. "Mortality, health outcomes, and body mass index in the overweight range."</w:t>
      </w:r>
      <w:r>
        <w:rPr>
          <w:sz w:val="18"/>
          <w:szCs w:val="22"/>
        </w:rPr>
        <w:t> </w:t>
      </w:r>
      <w:r>
        <w:rPr>
          <w:i/>
          <w:color w:val="222222"/>
          <w:sz w:val="18"/>
          <w:szCs w:val="22"/>
          <w:shd w:val="clear" w:color="auto" w:fill="FFFFFF"/>
        </w:rPr>
        <w:t>Circulation</w:t>
      </w:r>
      <w:r>
        <w:rPr>
          <w:sz w:val="18"/>
          <w:szCs w:val="22"/>
        </w:rPr>
        <w:t> </w:t>
      </w:r>
      <w:r>
        <w:rPr>
          <w:color w:val="222222"/>
          <w:sz w:val="18"/>
          <w:szCs w:val="22"/>
          <w:shd w:val="clear" w:color="auto" w:fill="FFFFFF"/>
        </w:rPr>
        <w:t>119.25 (2009): 3263-3271.</w:t>
      </w:r>
    </w:p>
    <w:p w14:paraId="7F68427B" w14:textId="77777777" w:rsidR="008C02FD" w:rsidRDefault="008C02FD" w:rsidP="008C02FD">
      <w:pPr>
        <w:numPr>
          <w:ilvl w:val="0"/>
          <w:numId w:val="5"/>
        </w:numPr>
      </w:pPr>
      <w:r>
        <w:rPr>
          <w:color w:val="222222"/>
          <w:sz w:val="18"/>
          <w:szCs w:val="22"/>
          <w:shd w:val="clear" w:color="auto" w:fill="FFFFFF"/>
        </w:rPr>
        <w:t>Pi-Sunyer, F. Xavier, et al. "Clinical guidelines on the identification, evaluation, and treatment of overweight and obesity in adults."</w:t>
      </w:r>
      <w:r>
        <w:rPr>
          <w:sz w:val="18"/>
          <w:szCs w:val="22"/>
        </w:rPr>
        <w:t> </w:t>
      </w:r>
      <w:r>
        <w:rPr>
          <w:i/>
          <w:color w:val="222222"/>
          <w:sz w:val="18"/>
          <w:szCs w:val="22"/>
          <w:shd w:val="clear" w:color="auto" w:fill="FFFFFF"/>
        </w:rPr>
        <w:t>American Journal of Clinical Nutrition</w:t>
      </w:r>
      <w:r>
        <w:rPr>
          <w:i/>
          <w:sz w:val="18"/>
          <w:szCs w:val="22"/>
        </w:rPr>
        <w:t> </w:t>
      </w:r>
      <w:r>
        <w:rPr>
          <w:color w:val="222222"/>
          <w:sz w:val="18"/>
          <w:szCs w:val="22"/>
          <w:shd w:val="clear" w:color="auto" w:fill="FFFFFF"/>
        </w:rPr>
        <w:t>68.4 (1998): 899-917.</w:t>
      </w:r>
    </w:p>
    <w:p w14:paraId="5DCB5601" w14:textId="77777777" w:rsidR="008C02FD" w:rsidRDefault="008C02FD" w:rsidP="008C02FD">
      <w:pPr>
        <w:numPr>
          <w:ilvl w:val="0"/>
          <w:numId w:val="5"/>
        </w:numPr>
      </w:pPr>
      <w:r>
        <w:rPr>
          <w:color w:val="222222"/>
          <w:sz w:val="18"/>
          <w:szCs w:val="22"/>
          <w:shd w:val="clear" w:color="auto" w:fill="FFFFFF"/>
        </w:rPr>
        <w:t>Maes, Hermine HM, Michael C. Neale, and Lindon J. Eaves. "Genetic and environmental factors in relative body weight and human adiposity."</w:t>
      </w:r>
      <w:r>
        <w:rPr>
          <w:sz w:val="18"/>
          <w:szCs w:val="22"/>
        </w:rPr>
        <w:t> </w:t>
      </w:r>
      <w:r>
        <w:rPr>
          <w:i/>
          <w:color w:val="222222"/>
          <w:sz w:val="18"/>
          <w:szCs w:val="22"/>
          <w:shd w:val="clear" w:color="auto" w:fill="FFFFFF"/>
        </w:rPr>
        <w:t>Behavior genetics</w:t>
      </w:r>
      <w:r>
        <w:rPr>
          <w:i/>
          <w:sz w:val="18"/>
          <w:szCs w:val="22"/>
        </w:rPr>
        <w:t> </w:t>
      </w:r>
      <w:r>
        <w:rPr>
          <w:color w:val="222222"/>
          <w:sz w:val="18"/>
          <w:szCs w:val="22"/>
          <w:shd w:val="clear" w:color="auto" w:fill="FFFFFF"/>
        </w:rPr>
        <w:t>27.4 (1997): 325-351.</w:t>
      </w:r>
    </w:p>
    <w:p w14:paraId="5CAF3ECD" w14:textId="77777777" w:rsidR="008C02FD" w:rsidRDefault="008C02FD" w:rsidP="008C02FD">
      <w:pPr>
        <w:numPr>
          <w:ilvl w:val="0"/>
          <w:numId w:val="5"/>
        </w:numPr>
        <w:rPr>
          <w:color w:val="222222"/>
          <w:sz w:val="22"/>
          <w:szCs w:val="22"/>
          <w:shd w:val="clear" w:color="auto" w:fill="FFFFFF"/>
        </w:rPr>
      </w:pPr>
      <w:r>
        <w:rPr>
          <w:color w:val="222222"/>
          <w:sz w:val="18"/>
          <w:szCs w:val="22"/>
          <w:shd w:val="clear" w:color="auto" w:fill="FFFFFF"/>
        </w:rPr>
        <w:t>Locke, Adam E., et al. "Genetic studies of body mass index yield new insights for obesity biology."</w:t>
      </w:r>
      <w:r>
        <w:rPr>
          <w:rStyle w:val="apple-converted-space"/>
          <w:color w:val="222222"/>
          <w:sz w:val="18"/>
          <w:szCs w:val="22"/>
          <w:shd w:val="clear" w:color="auto" w:fill="FFFFFF"/>
        </w:rPr>
        <w:t> </w:t>
      </w:r>
      <w:r>
        <w:rPr>
          <w:i/>
          <w:iCs/>
          <w:color w:val="222222"/>
          <w:sz w:val="18"/>
          <w:szCs w:val="22"/>
          <w:shd w:val="clear" w:color="auto" w:fill="FFFFFF"/>
        </w:rPr>
        <w:t>Nature</w:t>
      </w:r>
      <w:r>
        <w:rPr>
          <w:rStyle w:val="apple-converted-space"/>
          <w:color w:val="222222"/>
          <w:sz w:val="18"/>
          <w:szCs w:val="22"/>
          <w:shd w:val="clear" w:color="auto" w:fill="FFFFFF"/>
        </w:rPr>
        <w:t> </w:t>
      </w:r>
      <w:r>
        <w:rPr>
          <w:color w:val="222222"/>
          <w:sz w:val="18"/>
          <w:szCs w:val="22"/>
          <w:shd w:val="clear" w:color="auto" w:fill="FFFFFF"/>
        </w:rPr>
        <w:t>518.7538 (2015): 197-206.</w:t>
      </w:r>
    </w:p>
    <w:p w14:paraId="4A092187" w14:textId="77777777" w:rsidR="008C02FD" w:rsidRPr="0093273D" w:rsidRDefault="008C02FD" w:rsidP="008C02FD">
      <w:pPr>
        <w:rPr>
          <w:rFonts w:asciiTheme="majorHAnsi" w:hAnsiTheme="majorHAnsi"/>
          <w:i/>
          <w:sz w:val="22"/>
        </w:rPr>
      </w:pPr>
      <w:r>
        <w:rPr>
          <w:color w:val="222222"/>
          <w:sz w:val="18"/>
          <w:szCs w:val="22"/>
          <w:shd w:val="clear" w:color="auto" w:fill="FFFFFF"/>
        </w:rPr>
        <w:t>Speliotes, Elizabeth K., et al. "Association analyses of 249,796 individuals reveal 18 new loci associated with body mass index."</w:t>
      </w:r>
      <w:r>
        <w:rPr>
          <w:sz w:val="18"/>
          <w:szCs w:val="22"/>
        </w:rPr>
        <w:t> </w:t>
      </w:r>
      <w:r>
        <w:rPr>
          <w:i/>
          <w:color w:val="222222"/>
          <w:sz w:val="18"/>
          <w:szCs w:val="22"/>
          <w:shd w:val="clear" w:color="auto" w:fill="FFFFFF"/>
        </w:rPr>
        <w:t>Nature genetics</w:t>
      </w:r>
      <w:r>
        <w:rPr>
          <w:i/>
          <w:sz w:val="18"/>
          <w:szCs w:val="22"/>
        </w:rPr>
        <w:t> </w:t>
      </w:r>
      <w:r>
        <w:rPr>
          <w:color w:val="222222"/>
          <w:sz w:val="18"/>
          <w:szCs w:val="22"/>
          <w:shd w:val="clear" w:color="auto" w:fill="FFFFFF"/>
        </w:rPr>
        <w:t>42.11 (2010): 937-948.</w:t>
      </w:r>
    </w:p>
    <w:sectPr w:rsidR="008C02FD"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1A57" w14:textId="77777777" w:rsidR="008F783F" w:rsidRDefault="008F783F" w:rsidP="0093273D">
      <w:r>
        <w:separator/>
      </w:r>
    </w:p>
  </w:endnote>
  <w:endnote w:type="continuationSeparator" w:id="0">
    <w:p w14:paraId="29ADB23F" w14:textId="77777777" w:rsidR="008F783F" w:rsidRDefault="008F783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68CD37ED" w14:textId="198656C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61333">
          <w:rPr>
            <w:rFonts w:asciiTheme="majorHAnsi" w:hAnsiTheme="majorHAnsi"/>
            <w:noProof/>
            <w:sz w:val="22"/>
          </w:rPr>
          <w:t>1</w:t>
        </w:r>
        <w:r w:rsidRPr="0093273D">
          <w:rPr>
            <w:rFonts w:asciiTheme="majorHAnsi" w:hAnsiTheme="majorHAnsi"/>
            <w:noProof/>
            <w:sz w:val="22"/>
          </w:rPr>
          <w:fldChar w:fldCharType="end"/>
        </w:r>
      </w:p>
    </w:sdtContent>
  </w:sdt>
  <w:p w14:paraId="23E7744A"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7487" w14:textId="77777777" w:rsidR="008F783F" w:rsidRDefault="008F783F" w:rsidP="0093273D">
      <w:r>
        <w:separator/>
      </w:r>
    </w:p>
  </w:footnote>
  <w:footnote w:type="continuationSeparator" w:id="0">
    <w:p w14:paraId="641F1344" w14:textId="77777777" w:rsidR="008F783F" w:rsidRDefault="008F783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D50" w14:textId="77777777" w:rsidR="0093273D" w:rsidRDefault="0093273D">
    <w:pPr>
      <w:pStyle w:val="Header"/>
    </w:pPr>
    <w:r>
      <w:rPr>
        <w:noProof/>
      </w:rPr>
      <w:drawing>
        <wp:inline distT="0" distB="0" distL="0" distR="0" wp14:anchorId="08CBD24D" wp14:editId="0E4F97D3">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43D4"/>
    <w:multiLevelType w:val="hybridMultilevel"/>
    <w:tmpl w:val="3860213A"/>
    <w:lvl w:ilvl="0" w:tplc="22C67BE4">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8242F89"/>
    <w:multiLevelType w:val="hybridMultilevel"/>
    <w:tmpl w:val="2772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5A12E9"/>
    <w:multiLevelType w:val="hybridMultilevel"/>
    <w:tmpl w:val="164830F4"/>
    <w:lvl w:ilvl="0" w:tplc="852E9AF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B032CAC"/>
    <w:multiLevelType w:val="hybridMultilevel"/>
    <w:tmpl w:val="C72C8A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FE0CE1"/>
    <w:multiLevelType w:val="hybridMultilevel"/>
    <w:tmpl w:val="451008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44C04B6"/>
    <w:multiLevelType w:val="hybridMultilevel"/>
    <w:tmpl w:val="5BD2F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1613E9"/>
    <w:rsid w:val="00495AEC"/>
    <w:rsid w:val="00661333"/>
    <w:rsid w:val="00682869"/>
    <w:rsid w:val="007B1A49"/>
    <w:rsid w:val="007F3F81"/>
    <w:rsid w:val="008C02FD"/>
    <w:rsid w:val="008F783F"/>
    <w:rsid w:val="00900D3C"/>
    <w:rsid w:val="00921DFB"/>
    <w:rsid w:val="0093273D"/>
    <w:rsid w:val="00975C47"/>
    <w:rsid w:val="00A73B2C"/>
    <w:rsid w:val="00AF586E"/>
    <w:rsid w:val="00CF506A"/>
    <w:rsid w:val="00DF47BE"/>
    <w:rsid w:val="00F6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C2E47"/>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character" w:customStyle="1" w:styleId="apple-converted-space">
    <w:name w:val="apple-converted-space"/>
    <w:rsid w:val="008C02FD"/>
  </w:style>
  <w:style w:type="character" w:styleId="CommentReference">
    <w:name w:val="annotation reference"/>
    <w:basedOn w:val="DefaultParagraphFont"/>
    <w:uiPriority w:val="99"/>
    <w:semiHidden/>
    <w:unhideWhenUsed/>
    <w:rsid w:val="007B1A49"/>
    <w:rPr>
      <w:sz w:val="16"/>
      <w:szCs w:val="16"/>
    </w:rPr>
  </w:style>
  <w:style w:type="paragraph" w:styleId="CommentText">
    <w:name w:val="annotation text"/>
    <w:basedOn w:val="Normal"/>
    <w:link w:val="CommentTextChar"/>
    <w:uiPriority w:val="99"/>
    <w:semiHidden/>
    <w:unhideWhenUsed/>
    <w:rsid w:val="007B1A49"/>
    <w:rPr>
      <w:sz w:val="20"/>
      <w:szCs w:val="20"/>
    </w:rPr>
  </w:style>
  <w:style w:type="character" w:customStyle="1" w:styleId="CommentTextChar">
    <w:name w:val="Comment Text Char"/>
    <w:basedOn w:val="DefaultParagraphFont"/>
    <w:link w:val="CommentText"/>
    <w:uiPriority w:val="99"/>
    <w:semiHidden/>
    <w:rsid w:val="007B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A49"/>
    <w:rPr>
      <w:b/>
      <w:bCs/>
    </w:rPr>
  </w:style>
  <w:style w:type="character" w:customStyle="1" w:styleId="CommentSubjectChar">
    <w:name w:val="Comment Subject Char"/>
    <w:basedOn w:val="CommentTextChar"/>
    <w:link w:val="CommentSubject"/>
    <w:uiPriority w:val="99"/>
    <w:semiHidden/>
    <w:rsid w:val="007B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49"/>
    <w:rPr>
      <w:rFonts w:ascii="Segoe UI" w:eastAsia="Times New Roman" w:hAnsi="Segoe UI" w:cs="Segoe UI"/>
      <w:sz w:val="18"/>
      <w:szCs w:val="18"/>
    </w:rPr>
  </w:style>
  <w:style w:type="character" w:styleId="Hyperlink">
    <w:name w:val="Hyperlink"/>
    <w:basedOn w:val="DefaultParagraphFont"/>
    <w:uiPriority w:val="99"/>
    <w:unhideWhenUsed/>
    <w:rsid w:val="00A73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9852">
      <w:bodyDiv w:val="1"/>
      <w:marLeft w:val="0"/>
      <w:marRight w:val="0"/>
      <w:marTop w:val="0"/>
      <w:marBottom w:val="0"/>
      <w:divBdr>
        <w:top w:val="none" w:sz="0" w:space="0" w:color="auto"/>
        <w:left w:val="none" w:sz="0" w:space="0" w:color="auto"/>
        <w:bottom w:val="none" w:sz="0" w:space="0" w:color="auto"/>
        <w:right w:val="none" w:sz="0" w:space="0" w:color="auto"/>
      </w:divBdr>
    </w:div>
    <w:div w:id="271013190">
      <w:bodyDiv w:val="1"/>
      <w:marLeft w:val="0"/>
      <w:marRight w:val="0"/>
      <w:marTop w:val="0"/>
      <w:marBottom w:val="0"/>
      <w:divBdr>
        <w:top w:val="none" w:sz="0" w:space="0" w:color="auto"/>
        <w:left w:val="none" w:sz="0" w:space="0" w:color="auto"/>
        <w:bottom w:val="none" w:sz="0" w:space="0" w:color="auto"/>
        <w:right w:val="none" w:sz="0" w:space="0" w:color="auto"/>
      </w:divBdr>
    </w:div>
    <w:div w:id="854342960">
      <w:bodyDiv w:val="1"/>
      <w:marLeft w:val="0"/>
      <w:marRight w:val="0"/>
      <w:marTop w:val="0"/>
      <w:marBottom w:val="0"/>
      <w:divBdr>
        <w:top w:val="none" w:sz="0" w:space="0" w:color="auto"/>
        <w:left w:val="none" w:sz="0" w:space="0" w:color="auto"/>
        <w:bottom w:val="none" w:sz="0" w:space="0" w:color="auto"/>
        <w:right w:val="none" w:sz="0" w:space="0" w:color="auto"/>
      </w:divBdr>
    </w:div>
    <w:div w:id="1969042947">
      <w:bodyDiv w:val="1"/>
      <w:marLeft w:val="0"/>
      <w:marRight w:val="0"/>
      <w:marTop w:val="0"/>
      <w:marBottom w:val="0"/>
      <w:divBdr>
        <w:top w:val="none" w:sz="0" w:space="0" w:color="auto"/>
        <w:left w:val="none" w:sz="0" w:space="0" w:color="auto"/>
        <w:bottom w:val="none" w:sz="0" w:space="0" w:color="auto"/>
        <w:right w:val="none" w:sz="0" w:space="0" w:color="auto"/>
      </w:divBdr>
    </w:div>
    <w:div w:id="1990284832">
      <w:bodyDiv w:val="1"/>
      <w:marLeft w:val="0"/>
      <w:marRight w:val="0"/>
      <w:marTop w:val="0"/>
      <w:marBottom w:val="0"/>
      <w:divBdr>
        <w:top w:val="none" w:sz="0" w:space="0" w:color="auto"/>
        <w:left w:val="none" w:sz="0" w:space="0" w:color="auto"/>
        <w:bottom w:val="none" w:sz="0" w:space="0" w:color="auto"/>
        <w:right w:val="none" w:sz="0" w:space="0" w:color="auto"/>
      </w:divBdr>
    </w:div>
    <w:div w:id="2113240132">
      <w:bodyDiv w:val="1"/>
      <w:marLeft w:val="0"/>
      <w:marRight w:val="0"/>
      <w:marTop w:val="0"/>
      <w:marBottom w:val="0"/>
      <w:divBdr>
        <w:top w:val="none" w:sz="0" w:space="0" w:color="auto"/>
        <w:left w:val="none" w:sz="0" w:space="0" w:color="auto"/>
        <w:bottom w:val="none" w:sz="0" w:space="0" w:color="auto"/>
        <w:right w:val="none" w:sz="0" w:space="0" w:color="auto"/>
      </w:divBdr>
    </w:div>
    <w:div w:id="2138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radford@geisinger.edu" TargetMode="External"/><Relationship Id="rId3" Type="http://schemas.openxmlformats.org/officeDocument/2006/relationships/settings" Target="settings.xml"/><Relationship Id="rId7" Type="http://schemas.openxmlformats.org/officeDocument/2006/relationships/hyperlink" Target="mailto:xzhang2@geising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Derveloy, Brianne B</cp:lastModifiedBy>
  <cp:revision>7</cp:revision>
  <dcterms:created xsi:type="dcterms:W3CDTF">2017-04-11T12:29:00Z</dcterms:created>
  <dcterms:modified xsi:type="dcterms:W3CDTF">2017-04-26T19:12:00Z</dcterms:modified>
</cp:coreProperties>
</file>