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1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2988"/>
        <w:gridCol w:w="8263"/>
      </w:tblGrid>
      <w:tr w:rsidR="0093273D" w:rsidRPr="005F7C97" w:rsidTr="00900D3C">
        <w:trPr>
          <w:trHeight w:val="503"/>
        </w:trPr>
        <w:tc>
          <w:tcPr>
            <w:tcW w:w="11251" w:type="dxa"/>
            <w:gridSpan w:val="2"/>
            <w:tcBorders>
              <w:top w:val="double" w:sz="4" w:space="0" w:color="E7E6E6" w:themeColor="background2"/>
            </w:tcBorders>
            <w:shd w:val="clear" w:color="auto" w:fill="008BCC"/>
            <w:vAlign w:val="center"/>
          </w:tcPr>
          <w:p w:rsidR="0093273D" w:rsidRPr="0093273D" w:rsidRDefault="0093273D" w:rsidP="0093273D">
            <w:pPr>
              <w:spacing w:before="120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93273D">
              <w:rPr>
                <w:rFonts w:asciiTheme="majorHAnsi" w:hAnsiTheme="majorHAnsi"/>
                <w:b/>
                <w:color w:val="FFFFFF" w:themeColor="background1"/>
                <w:sz w:val="28"/>
              </w:rPr>
              <w:t>eMERGE Network: Proposal for Analysis</w:t>
            </w:r>
          </w:p>
          <w:p w:rsidR="0093273D" w:rsidRPr="0093273D" w:rsidRDefault="0093273D" w:rsidP="0093273D">
            <w:pPr>
              <w:spacing w:after="120"/>
              <w:jc w:val="center"/>
            </w:pPr>
            <w:r w:rsidRPr="0093273D">
              <w:rPr>
                <w:rFonts w:asciiTheme="majorHAnsi" w:hAnsiTheme="majorHAnsi"/>
                <w:color w:val="FFFFFF" w:themeColor="background1"/>
                <w:sz w:val="32"/>
              </w:rPr>
              <w:t>Project/Manuscript Concept Sheet</w:t>
            </w:r>
          </w:p>
        </w:tc>
      </w:tr>
      <w:tr w:rsidR="0093273D" w:rsidRPr="005F7C97" w:rsidTr="00900D3C">
        <w:trPr>
          <w:trHeight w:val="612"/>
        </w:trPr>
        <w:tc>
          <w:tcPr>
            <w:tcW w:w="2988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Reference Number</w:t>
            </w:r>
          </w:p>
        </w:tc>
        <w:tc>
          <w:tcPr>
            <w:tcW w:w="8263" w:type="dxa"/>
            <w:tcBorders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2E3F5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NT234</w:t>
            </w:r>
          </w:p>
        </w:tc>
      </w:tr>
      <w:tr w:rsidR="0093273D" w:rsidRPr="005F7C97" w:rsidTr="00900D3C">
        <w:trPr>
          <w:trHeight w:val="557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Submission Date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2E3F5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5/22/2017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Project Title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397B15" w:rsidP="00397B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GWAS of Medicare Risk Adjustment Model scores</w:t>
            </w:r>
          </w:p>
        </w:tc>
      </w:tr>
      <w:tr w:rsidR="0093273D" w:rsidRPr="005F7C97" w:rsidTr="00900D3C">
        <w:trPr>
          <w:trHeight w:val="772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Lead Investigator </w:t>
            </w:r>
            <w:r w:rsidRPr="0074111E">
              <w:rPr>
                <w:rFonts w:ascii="Calibri Light" w:hAnsi="Calibri Light"/>
                <w:i/>
                <w:sz w:val="22"/>
              </w:rPr>
              <w:t>(first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2E3F5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Scott Hebbring</w:t>
            </w:r>
            <w:bookmarkStart w:id="0" w:name="_GoBack"/>
            <w:bookmarkEnd w:id="0"/>
          </w:p>
        </w:tc>
      </w:tr>
      <w:tr w:rsidR="0093273D" w:rsidRPr="005F7C97" w:rsidTr="00900D3C">
        <w:trPr>
          <w:trHeight w:val="825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Tentative Senior Author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(last author)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2E3F54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Josh Denny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All </w:t>
            </w:r>
            <w:r w:rsidR="00900D3C">
              <w:rPr>
                <w:rFonts w:ascii="Calibri Light" w:hAnsi="Calibri Light"/>
                <w:b/>
                <w:sz w:val="22"/>
              </w:rPr>
              <w:t>Other A</w:t>
            </w:r>
            <w:r w:rsidRPr="0074111E">
              <w:rPr>
                <w:rFonts w:ascii="Calibri Light" w:hAnsi="Calibri Light"/>
                <w:b/>
                <w:sz w:val="22"/>
              </w:rPr>
              <w:t xml:space="preserve">uthors 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Pr="008673B8" w:rsidRDefault="00A12217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eMERGE collaborators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Sites Involved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5048B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48BA">
              <w:rPr>
                <w:rFonts w:asciiTheme="majorHAnsi" w:hAnsiTheme="majorHAnsi" w:cstheme="majorHAnsi"/>
                <w:sz w:val="22"/>
                <w:szCs w:val="22"/>
              </w:rPr>
              <w:t>Marshfield Clinic</w:t>
            </w:r>
          </w:p>
          <w:p w:rsidR="005048BA" w:rsidRDefault="005048B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Vanderbilt</w:t>
            </w:r>
          </w:p>
          <w:p w:rsidR="005A5FA6" w:rsidRPr="008673B8" w:rsidRDefault="005A5FA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Other eMERGE sites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Background / Significance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5048BA" w:rsidP="001B3A6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There is great public interest in understanding the relationship between human genomics and healthcare utilization. As a result,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state and federal agencies have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enacted legislation to prevent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genetic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discrimination (e.g., GINA). Federal and private payers apply predictive models to evaluate </w:t>
            </w:r>
            <w:r w:rsidR="00DE3E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population</w:t>
            </w:r>
            <w:r w:rsidR="00DE3E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’s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future </w:t>
            </w:r>
            <w:r w:rsidR="009517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risk for healthcare utilization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 estimate </w:t>
            </w:r>
            <w:r w:rsidR="001B3A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future costs</w:t>
            </w:r>
            <w:r w:rsidR="00DE3E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set premiums</w:t>
            </w:r>
            <w:r w:rsidR="009517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There are multiple published predictive models used throughout the insurance industry but one of the most standardized models include Medicare R</w:t>
            </w:r>
            <w:r w:rsidR="005A5F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isk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Adjustment Model</w:t>
            </w:r>
            <w:r w:rsidR="005A5F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(MR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AM) that can be applied to individuals</w:t>
            </w:r>
            <w:r w:rsidR="005A5F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over 65 years of age</w:t>
            </w:r>
            <w:r w:rsidR="009517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DE3E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 MRAM score can be calculated in an individual by using a patient’s ICD9 coding history, age, and sex.</w:t>
            </w:r>
          </w:p>
          <w:p w:rsidR="001B3A60" w:rsidRDefault="00DE3E34" w:rsidP="001B3A60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DCE3D2F" wp14:editId="4C0E1974">
                  <wp:extent cx="3743325" cy="2367514"/>
                  <wp:effectExtent l="0" t="0" r="0" b="0"/>
                  <wp:docPr id="2" name="Picture 2" descr="C:\Users\hebbrins\AppData\Local\Avecto\DragAndDrop\GWAS_combined_EX_ALL_HQ_health_economic_tran_LRT_Manhanttan_gp_cf0.1_thin0.8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bbrins\AppData\Local\Avecto\DragAndDrop\GWAS_combined_EX_ALL_HQ_health_economic_tran_LRT_Manhanttan_gp_cf0.1_thin0.8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508" cy="237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A60" w:rsidRDefault="00A54D6F" w:rsidP="00DE3E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Scott Hebbring</w:t>
            </w:r>
            <w:r w:rsidR="001B3A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recently conducted a pilot GWAS on MRAM scores in 5,500 PMRP participants with ICD9 coding data up to age 65 years</w:t>
            </w:r>
            <w:r w:rsidR="00DE3E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(see Figure)</w:t>
            </w:r>
            <w:r w:rsidR="001B3A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. In short, no association passed genome-wide significance and no suggestive association (p&lt;1E-5) included known disease causing variants. </w:t>
            </w:r>
            <w:r w:rsidR="008D03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This may not be a surprising results given most common variants </w:t>
            </w:r>
            <w:r w:rsidR="008D03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associated with human disease have weak effects. Regardless, t</w:t>
            </w:r>
            <w:r w:rsidR="001B3A6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his null result </w:t>
            </w:r>
            <w:r w:rsidR="008D03D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may have an important impact on how genomic data is used to evaluate healthcare utilization</w:t>
            </w:r>
            <w:r w:rsidR="00DE3E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 To follow-up these findings, we propose to expand the study across multiple eMERGE sites and to further evaluate rare pathogenic variants on MRAM</w:t>
            </w:r>
            <w:r w:rsidR="002175A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scores</w:t>
            </w:r>
            <w:r w:rsidR="00DE3E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:rsidR="00DE3E34" w:rsidRPr="008673B8" w:rsidRDefault="00DE3E34" w:rsidP="00DE3E34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Outline of Project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Default="009517F1" w:rsidP="009517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GWAS on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MRAM</w:t>
            </w:r>
          </w:p>
          <w:p w:rsidR="009517F1" w:rsidRDefault="009517F1" w:rsidP="009517F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GWAS of common variants</w:t>
            </w:r>
          </w:p>
          <w:p w:rsidR="009517F1" w:rsidRDefault="009517F1" w:rsidP="009517F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Focus on common disease causing SNPs (i.e., GWAS Catalogue SNPs)</w:t>
            </w:r>
          </w:p>
          <w:p w:rsidR="009517F1" w:rsidRDefault="005A5FA6" w:rsidP="009517F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Focus on known and rare pathogenic variants genotyped 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 xml:space="preserve">directly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by Illumina Exome array or equivalent data source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>s (exome sequencing data)</w:t>
            </w:r>
          </w:p>
          <w:p w:rsidR="005A5FA6" w:rsidRDefault="005A5FA6" w:rsidP="005A5F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Generalized linear mixed model (GLMM) and/or burden test</w:t>
            </w:r>
          </w:p>
          <w:p w:rsidR="005A5FA6" w:rsidRDefault="005A5FA6" w:rsidP="005A5F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GLMM 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>to quantify how much common variants contributes to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MRAM</w:t>
            </w:r>
            <w:r w:rsidR="00C4061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>variance</w:t>
            </w:r>
          </w:p>
          <w:p w:rsidR="007B3C72" w:rsidRDefault="007B3C72" w:rsidP="005A5F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GLMM to quantify how much common disease causing SNPs (GWAS Catalogue SNPs) contributes to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MRAM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variance </w:t>
            </w:r>
          </w:p>
          <w:p w:rsidR="005A5FA6" w:rsidRPr="005A5FA6" w:rsidRDefault="005A5FA6" w:rsidP="007B3C7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Burden test 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>to evaluate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increase n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>umber of disease causing (GWAS 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atalogue SNP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 xml:space="preserve"> and/or rare pathogenic variants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) alleles are associated with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MRAM</w:t>
            </w:r>
          </w:p>
        </w:tc>
      </w:tr>
      <w:tr w:rsidR="0093273D" w:rsidRPr="005F7C97" w:rsidTr="00900D3C">
        <w:trPr>
          <w:trHeight w:val="1033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Variables 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i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>(essential for analysis</w:t>
            </w:r>
          </w:p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i/>
                <w:sz w:val="22"/>
              </w:rPr>
              <w:t xml:space="preserve">indicated by </w:t>
            </w:r>
            <w:r w:rsidRPr="00F3610D">
              <w:rPr>
                <w:rFonts w:ascii="Calibri Light" w:hAnsi="Calibri Light"/>
                <w:b/>
                <w:i/>
                <w:sz w:val="22"/>
              </w:rPr>
              <w:t>*</w:t>
            </w:r>
            <w:r w:rsidRPr="0074111E">
              <w:rPr>
                <w:rFonts w:ascii="Calibri Light" w:hAnsi="Calibri Light"/>
                <w:i/>
                <w:sz w:val="22"/>
              </w:rPr>
              <w:t>)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7B3C72" w:rsidRDefault="007B3C7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Phenotype</w:t>
            </w:r>
            <w:r w:rsidR="00022B06">
              <w:rPr>
                <w:rFonts w:asciiTheme="majorHAnsi" w:hAnsiTheme="majorHAnsi" w:cstheme="majorHAnsi"/>
                <w:sz w:val="22"/>
                <w:szCs w:val="22"/>
              </w:rPr>
              <w:t>/demographic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data</w:t>
            </w:r>
          </w:p>
          <w:p w:rsidR="007B3C72" w:rsidRPr="007B3C72" w:rsidRDefault="00C62552" w:rsidP="007B3C7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EE3BFE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 xml:space="preserve">CD9 coding </w:t>
            </w:r>
            <w:r w:rsidR="00EE3BFE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for those with available data </w:t>
            </w:r>
            <w:r w:rsidR="00AD76BA">
              <w:rPr>
                <w:rFonts w:asciiTheme="majorHAnsi" w:hAnsiTheme="majorHAnsi" w:cstheme="majorHAnsi"/>
                <w:sz w:val="22"/>
                <w:szCs w:val="22"/>
              </w:rPr>
              <w:t>beyond, but must include,</w:t>
            </w:r>
            <w:r w:rsidR="00EE3BFE">
              <w:rPr>
                <w:rFonts w:asciiTheme="majorHAnsi" w:hAnsiTheme="majorHAnsi" w:cstheme="majorHAnsi"/>
                <w:sz w:val="22"/>
                <w:szCs w:val="22"/>
              </w:rPr>
              <w:t xml:space="preserve"> 60-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>65</w:t>
            </w:r>
            <w:r w:rsidR="00AD76BA">
              <w:rPr>
                <w:rFonts w:asciiTheme="majorHAnsi" w:hAnsiTheme="majorHAnsi" w:cstheme="majorHAnsi"/>
                <w:sz w:val="22"/>
                <w:szCs w:val="22"/>
              </w:rPr>
              <w:t xml:space="preserve"> years of age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022B06">
              <w:rPr>
                <w:rFonts w:asciiTheme="majorHAnsi" w:hAnsiTheme="majorHAnsi" w:cstheme="majorHAnsi"/>
                <w:sz w:val="22"/>
                <w:szCs w:val="22"/>
              </w:rPr>
              <w:t xml:space="preserve"> Variables need</w:t>
            </w:r>
            <w:r w:rsidR="001118AC">
              <w:rPr>
                <w:rFonts w:asciiTheme="majorHAnsi" w:hAnsiTheme="majorHAnsi" w:cstheme="majorHAnsi"/>
                <w:sz w:val="22"/>
                <w:szCs w:val="22"/>
              </w:rPr>
              <w:t>ed</w:t>
            </w:r>
            <w:r w:rsidR="00022B06">
              <w:rPr>
                <w:rFonts w:asciiTheme="majorHAnsi" w:hAnsiTheme="majorHAnsi" w:cstheme="majorHAnsi"/>
                <w:sz w:val="22"/>
                <w:szCs w:val="22"/>
              </w:rPr>
              <w:t xml:space="preserve"> include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ICD9 code </w:t>
            </w:r>
            <w:r w:rsidR="00AD76BA">
              <w:rPr>
                <w:rFonts w:asciiTheme="majorHAnsi" w:hAnsiTheme="majorHAnsi" w:cstheme="majorHAnsi"/>
                <w:sz w:val="22"/>
                <w:szCs w:val="22"/>
              </w:rPr>
              <w:t>and age at each ICD9 code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 Demographic data includes</w:t>
            </w:r>
            <w:r w:rsidR="00022B06">
              <w:rPr>
                <w:rFonts w:asciiTheme="majorHAnsi" w:hAnsiTheme="majorHAnsi" w:cstheme="majorHAnsi"/>
                <w:sz w:val="22"/>
                <w:szCs w:val="22"/>
              </w:rPr>
              <w:t xml:space="preserve"> sex and race.</w:t>
            </w:r>
          </w:p>
          <w:p w:rsidR="007B3C72" w:rsidRDefault="007B3C7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3273D" w:rsidRDefault="007B3C7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Genomic data</w:t>
            </w:r>
          </w:p>
          <w:p w:rsidR="007B3C72" w:rsidRDefault="00C62552" w:rsidP="007B3C7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7B3C72" w:rsidRPr="007B3C72">
              <w:rPr>
                <w:rFonts w:asciiTheme="majorHAnsi" w:hAnsiTheme="majorHAnsi" w:cstheme="majorHAnsi"/>
                <w:sz w:val="22"/>
                <w:szCs w:val="22"/>
              </w:rPr>
              <w:t>Imputed and QCed SNP array data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22B06">
              <w:rPr>
                <w:rFonts w:asciiTheme="majorHAnsi" w:hAnsiTheme="majorHAnsi" w:cstheme="majorHAnsi"/>
                <w:sz w:val="22"/>
                <w:szCs w:val="22"/>
              </w:rPr>
              <w:t>in patients that meet phenotypic requirements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 xml:space="preserve">pulled from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eMERGE I and II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 xml:space="preserve"> or equivalent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022B0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7B3C7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CF353B" w:rsidRPr="00C62552" w:rsidRDefault="007B3C72" w:rsidP="00C6255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QCed Exome SNP array or </w:t>
            </w:r>
            <w:r w:rsidR="00C62552">
              <w:rPr>
                <w:rFonts w:asciiTheme="majorHAnsi" w:hAnsiTheme="majorHAnsi" w:cstheme="majorHAnsi"/>
                <w:sz w:val="22"/>
                <w:szCs w:val="22"/>
              </w:rPr>
              <w:t>sequencing data (eMERGE III)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patients that meet phenotypic </w:t>
            </w:r>
            <w:r w:rsidR="00022B06">
              <w:rPr>
                <w:rFonts w:asciiTheme="majorHAnsi" w:hAnsiTheme="majorHAnsi" w:cstheme="majorHAnsi"/>
                <w:sz w:val="22"/>
                <w:szCs w:val="22"/>
              </w:rPr>
              <w:t>requirements</w:t>
            </w:r>
            <w:r w:rsidR="00CF353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900D3C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 xml:space="preserve">Desired </w:t>
            </w:r>
            <w:r w:rsidR="00900D3C">
              <w:rPr>
                <w:rFonts w:ascii="Calibri Light" w:hAnsi="Calibri Light"/>
                <w:b/>
                <w:sz w:val="22"/>
              </w:rPr>
              <w:t>D</w:t>
            </w:r>
            <w:r w:rsidRPr="0074111E">
              <w:rPr>
                <w:rFonts w:ascii="Calibri Light" w:hAnsi="Calibri Light"/>
                <w:b/>
                <w:sz w:val="22"/>
              </w:rPr>
              <w:t>ata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A54D6F" w:rsidP="00A54D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Genotype, phenotype, and demographic data</w:t>
            </w: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Planned Statistical Analyses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C94165" w:rsidRDefault="00C94165" w:rsidP="00C625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MRAM will be applied to ICD9 coding data up to age 65, other age cutoffs may be considered</w:t>
            </w:r>
          </w:p>
          <w:p w:rsidR="0093273D" w:rsidRDefault="00C62552" w:rsidP="00C625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Box-Cox transformation of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MRAM</w:t>
            </w:r>
          </w:p>
          <w:p w:rsidR="00C62552" w:rsidRDefault="00C62552" w:rsidP="00C625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GWAS by linear regression</w:t>
            </w:r>
            <w:r w:rsidR="009A6151">
              <w:rPr>
                <w:rFonts w:asciiTheme="majorHAnsi" w:hAnsiTheme="majorHAnsi" w:cstheme="majorHAnsi"/>
                <w:sz w:val="22"/>
                <w:szCs w:val="22"/>
              </w:rPr>
              <w:t>, covariates include length of EHR data, eMERGE site, and principal components.</w:t>
            </w:r>
          </w:p>
          <w:p w:rsidR="00C62552" w:rsidRDefault="00C62552" w:rsidP="00C6255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GLMM</w:t>
            </w:r>
            <w:r w:rsidR="008D03D0">
              <w:rPr>
                <w:rFonts w:asciiTheme="majorHAnsi" w:hAnsiTheme="majorHAnsi" w:cstheme="majorHAnsi"/>
                <w:sz w:val="22"/>
                <w:szCs w:val="22"/>
              </w:rPr>
              <w:t>: evaluate genome and GWAS Catalogue SNPs</w:t>
            </w:r>
          </w:p>
          <w:p w:rsidR="0093273D" w:rsidRDefault="00C62552" w:rsidP="00CF0D0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62552">
              <w:rPr>
                <w:rFonts w:asciiTheme="majorHAnsi" w:hAnsiTheme="majorHAnsi" w:cstheme="majorHAnsi"/>
                <w:sz w:val="22"/>
                <w:szCs w:val="22"/>
              </w:rPr>
              <w:t>Burden analysis</w:t>
            </w:r>
            <w:r w:rsidR="008D03D0">
              <w:rPr>
                <w:rFonts w:asciiTheme="majorHAnsi" w:hAnsiTheme="majorHAnsi" w:cstheme="majorHAnsi"/>
                <w:sz w:val="22"/>
                <w:szCs w:val="22"/>
              </w:rPr>
              <w:t>: evaluate GWAS Catalogue SNPs</w:t>
            </w:r>
          </w:p>
          <w:p w:rsidR="008D03D0" w:rsidRDefault="008D03D0" w:rsidP="008D03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Identify all disease risk SNPs from GWAS Catalogue</w:t>
            </w:r>
          </w:p>
          <w:p w:rsidR="008D03D0" w:rsidRDefault="00AD76BA" w:rsidP="008D03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Estimate allele dosage for disease causing variants. When multiple SNPs are part of a LD block (r^2&gt;0.2), a permutation routine will be implemented to randomly select</w:t>
            </w:r>
            <w:r w:rsidR="006D504A">
              <w:rPr>
                <w:rFonts w:asciiTheme="majorHAnsi" w:hAnsiTheme="majorHAnsi" w:cstheme="majorHAnsi"/>
                <w:sz w:val="22"/>
                <w:szCs w:val="22"/>
              </w:rPr>
              <w:t xml:space="preserve"> SNPs used for estimating allele dosages.  Additional considerations may be needed when multiple diseases map the same SNP/LD block.</w:t>
            </w:r>
          </w:p>
          <w:p w:rsidR="0093273D" w:rsidRPr="00AD76BA" w:rsidRDefault="0093273D" w:rsidP="00AD76B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C94165" w:rsidP="00900D3C">
            <w:pPr>
              <w:rPr>
                <w:rFonts w:ascii="Calibri Light" w:hAnsi="Calibri Light"/>
                <w:b/>
                <w:sz w:val="22"/>
              </w:rPr>
            </w:pPr>
            <w:r>
              <w:rPr>
                <w:rFonts w:ascii="Calibri Light" w:hAnsi="Calibri Light"/>
                <w:b/>
                <w:sz w:val="22"/>
              </w:rPr>
              <w:t>Ethical Considerations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8C07F6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There are no inherent ethical issues with the proposed study since all individuals will be de-identified.  Conversely, </w:t>
            </w:r>
            <w:r w:rsidR="00C94165">
              <w:rPr>
                <w:rFonts w:asciiTheme="majorHAnsi" w:hAnsiTheme="majorHAnsi" w:cstheme="majorHAnsi"/>
                <w:sz w:val="22"/>
                <w:szCs w:val="22"/>
              </w:rPr>
              <w:t>MRAM</w:t>
            </w:r>
            <w:r w:rsidR="00C62552">
              <w:rPr>
                <w:rFonts w:asciiTheme="majorHAnsi" w:hAnsiTheme="majorHAnsi" w:cstheme="majorHAnsi"/>
                <w:sz w:val="22"/>
                <w:szCs w:val="22"/>
              </w:rPr>
              <w:t xml:space="preserve"> is used by 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>healthcare</w:t>
            </w:r>
            <w:r w:rsidR="00C62552">
              <w:rPr>
                <w:rFonts w:asciiTheme="majorHAnsi" w:hAnsiTheme="majorHAnsi" w:cstheme="majorHAnsi"/>
                <w:sz w:val="22"/>
                <w:szCs w:val="22"/>
              </w:rPr>
              <w:t xml:space="preserve"> payers to evaluate 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 xml:space="preserve">future </w:t>
            </w:r>
            <w:r w:rsidR="00C62552">
              <w:rPr>
                <w:rFonts w:asciiTheme="majorHAnsi" w:hAnsiTheme="majorHAnsi" w:cstheme="majorHAnsi"/>
                <w:sz w:val="22"/>
                <w:szCs w:val="22"/>
              </w:rPr>
              <w:t>healthcare costs for the population they serve</w:t>
            </w:r>
            <w:r w:rsidR="002C726D">
              <w:rPr>
                <w:rFonts w:asciiTheme="majorHAnsi" w:hAnsiTheme="majorHAnsi" w:cstheme="majorHAnsi"/>
                <w:sz w:val="22"/>
                <w:szCs w:val="22"/>
              </w:rPr>
              <w:t xml:space="preserve"> and to set premiums</w:t>
            </w:r>
            <w:r w:rsidR="00C62552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C94165">
              <w:rPr>
                <w:rFonts w:asciiTheme="majorHAnsi" w:hAnsiTheme="majorHAnsi" w:cstheme="majorHAnsi"/>
                <w:sz w:val="22"/>
                <w:szCs w:val="22"/>
              </w:rPr>
              <w:t>Given the topic being studied, p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>ositive or negative r</w:t>
            </w:r>
            <w:r w:rsidR="00C62552">
              <w:rPr>
                <w:rFonts w:asciiTheme="majorHAnsi" w:hAnsiTheme="majorHAnsi" w:cstheme="majorHAnsi"/>
                <w:sz w:val="22"/>
                <w:szCs w:val="22"/>
              </w:rPr>
              <w:t xml:space="preserve">esults 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>could lead to inappropriate</w:t>
            </w:r>
            <w:r w:rsidR="00C94165">
              <w:rPr>
                <w:rFonts w:asciiTheme="majorHAnsi" w:hAnsiTheme="majorHAnsi" w:cstheme="majorHAnsi"/>
                <w:sz w:val="22"/>
                <w:szCs w:val="22"/>
              </w:rPr>
              <w:t xml:space="preserve"> and biased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 xml:space="preserve"> conclusion</w:t>
            </w:r>
            <w:r w:rsidR="00C94165">
              <w:rPr>
                <w:rFonts w:asciiTheme="majorHAnsi" w:hAnsiTheme="majorHAnsi" w:cstheme="majorHAnsi"/>
                <w:sz w:val="22"/>
                <w:szCs w:val="22"/>
              </w:rPr>
              <w:t>s by others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>.  For example, a positive or negative result could be used politically to justify weakening current laws that prevent genetic discrimination (e.g., GINA).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lastRenderedPageBreak/>
              <w:t>Target Journal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93273D" w:rsidRPr="008673B8" w:rsidRDefault="00C62552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High impact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3273D" w:rsidRPr="005F7C97" w:rsidTr="00900D3C">
        <w:trPr>
          <w:trHeight w:val="669"/>
        </w:trPr>
        <w:tc>
          <w:tcPr>
            <w:tcW w:w="298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93273D" w:rsidRPr="0074111E" w:rsidRDefault="0093273D" w:rsidP="00CF0D06">
            <w:pPr>
              <w:rPr>
                <w:rFonts w:ascii="Calibri Light" w:hAnsi="Calibri Light"/>
                <w:b/>
                <w:sz w:val="22"/>
              </w:rPr>
            </w:pPr>
            <w:r w:rsidRPr="0074111E">
              <w:rPr>
                <w:rFonts w:ascii="Calibri Light" w:hAnsi="Calibri Light"/>
                <w:b/>
                <w:sz w:val="22"/>
              </w:rPr>
              <w:t>Milestones**</w:t>
            </w:r>
          </w:p>
        </w:tc>
        <w:tc>
          <w:tcPr>
            <w:tcW w:w="826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6D504A" w:rsidRDefault="006D504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Completion </w:t>
            </w:r>
            <w:r w:rsidR="000B0091">
              <w:rPr>
                <w:rFonts w:asciiTheme="majorHAnsi" w:hAnsiTheme="majorHAnsi" w:cstheme="majorHAnsi"/>
                <w:sz w:val="22"/>
                <w:szCs w:val="22"/>
              </w:rPr>
              <w:t>with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 one year</w:t>
            </w:r>
          </w:p>
          <w:p w:rsidR="0093273D" w:rsidRDefault="006D504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Month 1: 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>Obtain genetic and phenotypic data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 xml:space="preserve"> across </w:t>
            </w:r>
            <w:r w:rsidR="000B0091">
              <w:rPr>
                <w:rFonts w:asciiTheme="majorHAnsi" w:hAnsiTheme="majorHAnsi" w:cstheme="majorHAnsi"/>
                <w:sz w:val="22"/>
                <w:szCs w:val="22"/>
              </w:rPr>
              <w:t xml:space="preserve">participating 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>eMERGE sites</w:t>
            </w:r>
          </w:p>
          <w:p w:rsidR="000044B4" w:rsidRDefault="006D504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Month 3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 xml:space="preserve">: Calculate </w:t>
            </w:r>
            <w:r w:rsidR="00C4061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MRAM across eMERGE sites</w:t>
            </w:r>
          </w:p>
          <w:p w:rsidR="000044B4" w:rsidRDefault="006D504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Month 5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>: Initial GWAS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 xml:space="preserve"> of common variants </w:t>
            </w:r>
            <w:r w:rsidR="000B0091">
              <w:rPr>
                <w:rFonts w:asciiTheme="majorHAnsi" w:hAnsiTheme="majorHAnsi" w:cstheme="majorHAnsi"/>
                <w:sz w:val="22"/>
                <w:szCs w:val="22"/>
              </w:rPr>
              <w:t>including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 xml:space="preserve"> GWAS Catalogue SNPs</w:t>
            </w:r>
          </w:p>
          <w:p w:rsidR="000044B4" w:rsidRDefault="006D504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Month 8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>: E</w:t>
            </w:r>
            <w:r w:rsidR="000044B4">
              <w:rPr>
                <w:rFonts w:asciiTheme="majorHAnsi" w:hAnsiTheme="majorHAnsi" w:cstheme="majorHAnsi"/>
                <w:sz w:val="22"/>
                <w:szCs w:val="22"/>
              </w:rPr>
              <w:t xml:space="preserve">valuations of rare variants, 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>burden test, and GLMM</w:t>
            </w:r>
          </w:p>
          <w:p w:rsidR="000044B4" w:rsidRDefault="006D504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Month 10</w:t>
            </w:r>
            <w:r w:rsidR="00BD55F4">
              <w:rPr>
                <w:rFonts w:asciiTheme="majorHAnsi" w:hAnsiTheme="majorHAnsi" w:cstheme="majorHAnsi"/>
                <w:sz w:val="22"/>
                <w:szCs w:val="22"/>
              </w:rPr>
              <w:t>: First draft of manuscript</w:t>
            </w:r>
          </w:p>
          <w:p w:rsidR="006D504A" w:rsidRPr="008673B8" w:rsidRDefault="006D504A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Month 11: Second draft of manuscript</w:t>
            </w:r>
          </w:p>
          <w:p w:rsidR="0093273D" w:rsidRPr="008673B8" w:rsidRDefault="0093273D" w:rsidP="00CF0D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2142B6" w:rsidRDefault="002E3F54"/>
    <w:p w:rsidR="0093273D" w:rsidRPr="0093273D" w:rsidRDefault="0093273D" w:rsidP="0093273D">
      <w:pPr>
        <w:rPr>
          <w:rFonts w:asciiTheme="majorHAnsi" w:hAnsiTheme="majorHAnsi"/>
          <w:i/>
          <w:sz w:val="22"/>
        </w:rPr>
      </w:pPr>
      <w:r w:rsidRPr="0093273D">
        <w:rPr>
          <w:rFonts w:asciiTheme="majorHAnsi" w:hAnsiTheme="majorHAnsi"/>
          <w:b/>
          <w:i/>
          <w:sz w:val="22"/>
        </w:rPr>
        <w:t xml:space="preserve">** </w:t>
      </w:r>
      <w:r w:rsidRPr="0093273D">
        <w:rPr>
          <w:rFonts w:asciiTheme="majorHAnsi" w:hAnsiTheme="majorHAnsi"/>
          <w:i/>
          <w:sz w:val="22"/>
        </w:rPr>
        <w:t>This section</w:t>
      </w:r>
      <w:r>
        <w:rPr>
          <w:rFonts w:asciiTheme="majorHAnsi" w:hAnsiTheme="majorHAnsi"/>
          <w:i/>
          <w:sz w:val="22"/>
        </w:rPr>
        <w:t xml:space="preserve"> should include the t</w:t>
      </w:r>
      <w:r w:rsidRPr="0093273D">
        <w:rPr>
          <w:rFonts w:asciiTheme="majorHAnsi" w:hAnsiTheme="majorHAnsi"/>
          <w:i/>
          <w:sz w:val="22"/>
        </w:rPr>
        <w:t>im</w:t>
      </w:r>
      <w:r>
        <w:rPr>
          <w:rFonts w:asciiTheme="majorHAnsi" w:hAnsiTheme="majorHAnsi"/>
          <w:i/>
          <w:sz w:val="22"/>
        </w:rPr>
        <w:t xml:space="preserve">eline for completion of project, </w:t>
      </w:r>
      <w:r w:rsidRPr="0093273D">
        <w:rPr>
          <w:rFonts w:asciiTheme="majorHAnsi" w:hAnsiTheme="majorHAnsi"/>
          <w:i/>
          <w:sz w:val="22"/>
        </w:rPr>
        <w:t>including</w:t>
      </w:r>
      <w:r>
        <w:rPr>
          <w:rFonts w:asciiTheme="majorHAnsi" w:hAnsiTheme="majorHAnsi"/>
          <w:i/>
          <w:sz w:val="22"/>
        </w:rPr>
        <w:t>:</w:t>
      </w:r>
      <w:r w:rsidRPr="0093273D">
        <w:rPr>
          <w:rFonts w:asciiTheme="majorHAnsi" w:hAnsiTheme="majorHAnsi"/>
          <w:i/>
          <w:sz w:val="22"/>
        </w:rPr>
        <w:t xml:space="preserve"> approval, project duration, first and second draft of the paper and submission.</w:t>
      </w:r>
    </w:p>
    <w:sectPr w:rsidR="0093273D" w:rsidRPr="0093273D" w:rsidSect="009327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D6" w:rsidRDefault="008170D6" w:rsidP="0093273D">
      <w:r>
        <w:separator/>
      </w:r>
    </w:p>
  </w:endnote>
  <w:endnote w:type="continuationSeparator" w:id="0">
    <w:p w:rsidR="008170D6" w:rsidRDefault="008170D6" w:rsidP="0093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</w:rPr>
      <w:id w:val="-817099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73D" w:rsidRPr="0093273D" w:rsidRDefault="0093273D">
        <w:pPr>
          <w:pStyle w:val="Footer"/>
          <w:jc w:val="center"/>
          <w:rPr>
            <w:rFonts w:asciiTheme="majorHAnsi" w:hAnsiTheme="majorHAnsi"/>
            <w:sz w:val="22"/>
          </w:rPr>
        </w:pPr>
        <w:r w:rsidRPr="0093273D">
          <w:rPr>
            <w:rFonts w:asciiTheme="majorHAnsi" w:hAnsiTheme="majorHAnsi"/>
            <w:sz w:val="22"/>
          </w:rPr>
          <w:fldChar w:fldCharType="begin"/>
        </w:r>
        <w:r w:rsidRPr="0093273D">
          <w:rPr>
            <w:rFonts w:asciiTheme="majorHAnsi" w:hAnsiTheme="majorHAnsi"/>
            <w:sz w:val="22"/>
          </w:rPr>
          <w:instrText xml:space="preserve"> PAGE   \* MERGEFORMAT </w:instrText>
        </w:r>
        <w:r w:rsidRPr="0093273D">
          <w:rPr>
            <w:rFonts w:asciiTheme="majorHAnsi" w:hAnsiTheme="majorHAnsi"/>
            <w:sz w:val="22"/>
          </w:rPr>
          <w:fldChar w:fldCharType="separate"/>
        </w:r>
        <w:r w:rsidR="002E3F54">
          <w:rPr>
            <w:rFonts w:asciiTheme="majorHAnsi" w:hAnsiTheme="majorHAnsi"/>
            <w:noProof/>
            <w:sz w:val="22"/>
          </w:rPr>
          <w:t>1</w:t>
        </w:r>
        <w:r w:rsidRPr="0093273D">
          <w:rPr>
            <w:rFonts w:asciiTheme="majorHAnsi" w:hAnsiTheme="majorHAnsi"/>
            <w:noProof/>
            <w:sz w:val="22"/>
          </w:rPr>
          <w:fldChar w:fldCharType="end"/>
        </w:r>
      </w:p>
    </w:sdtContent>
  </w:sdt>
  <w:p w:rsidR="0093273D" w:rsidRDefault="0093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D6" w:rsidRDefault="008170D6" w:rsidP="0093273D">
      <w:r>
        <w:separator/>
      </w:r>
    </w:p>
  </w:footnote>
  <w:footnote w:type="continuationSeparator" w:id="0">
    <w:p w:rsidR="008170D6" w:rsidRDefault="008170D6" w:rsidP="0093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3D" w:rsidRDefault="0093273D">
    <w:pPr>
      <w:pStyle w:val="Header"/>
    </w:pPr>
    <w:r>
      <w:rPr>
        <w:noProof/>
      </w:rPr>
      <w:drawing>
        <wp:inline distT="0" distB="0" distL="0" distR="0">
          <wp:extent cx="1454263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RGE logo (blu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03" cy="182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37BA"/>
    <w:multiLevelType w:val="hybridMultilevel"/>
    <w:tmpl w:val="1D10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30D5"/>
    <w:multiLevelType w:val="hybridMultilevel"/>
    <w:tmpl w:val="9A52B9DA"/>
    <w:lvl w:ilvl="0" w:tplc="DE98F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E22FA"/>
    <w:multiLevelType w:val="hybridMultilevel"/>
    <w:tmpl w:val="226E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E6BE3"/>
    <w:multiLevelType w:val="hybridMultilevel"/>
    <w:tmpl w:val="C376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2C33"/>
    <w:multiLevelType w:val="hybridMultilevel"/>
    <w:tmpl w:val="7884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24FF7"/>
    <w:multiLevelType w:val="hybridMultilevel"/>
    <w:tmpl w:val="852E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09A"/>
    <w:multiLevelType w:val="hybridMultilevel"/>
    <w:tmpl w:val="7980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D"/>
    <w:rsid w:val="000044B4"/>
    <w:rsid w:val="00022B06"/>
    <w:rsid w:val="000B0091"/>
    <w:rsid w:val="00106340"/>
    <w:rsid w:val="001118AC"/>
    <w:rsid w:val="001603C5"/>
    <w:rsid w:val="001B3A60"/>
    <w:rsid w:val="002175A7"/>
    <w:rsid w:val="002C726D"/>
    <w:rsid w:val="002E3F54"/>
    <w:rsid w:val="002F1DD5"/>
    <w:rsid w:val="00331891"/>
    <w:rsid w:val="00397B15"/>
    <w:rsid w:val="00415A3F"/>
    <w:rsid w:val="005048BA"/>
    <w:rsid w:val="00584247"/>
    <w:rsid w:val="005A5FA6"/>
    <w:rsid w:val="006D504A"/>
    <w:rsid w:val="006E793A"/>
    <w:rsid w:val="007778EA"/>
    <w:rsid w:val="007B3C72"/>
    <w:rsid w:val="007E36F7"/>
    <w:rsid w:val="007F3F81"/>
    <w:rsid w:val="008170D6"/>
    <w:rsid w:val="008673B8"/>
    <w:rsid w:val="008C07F6"/>
    <w:rsid w:val="008D03D0"/>
    <w:rsid w:val="00900D3C"/>
    <w:rsid w:val="0093273D"/>
    <w:rsid w:val="009517F1"/>
    <w:rsid w:val="009A6151"/>
    <w:rsid w:val="00A12217"/>
    <w:rsid w:val="00A54D6F"/>
    <w:rsid w:val="00A674F0"/>
    <w:rsid w:val="00AD76BA"/>
    <w:rsid w:val="00AF586E"/>
    <w:rsid w:val="00B83487"/>
    <w:rsid w:val="00BC30C1"/>
    <w:rsid w:val="00BD55F4"/>
    <w:rsid w:val="00C40615"/>
    <w:rsid w:val="00C62552"/>
    <w:rsid w:val="00C94165"/>
    <w:rsid w:val="00CF353B"/>
    <w:rsid w:val="00DE3E34"/>
    <w:rsid w:val="00E40553"/>
    <w:rsid w:val="00E93C93"/>
    <w:rsid w:val="00E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165D31-2764-4730-A946-DEA01A58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Howell</dc:creator>
  <cp:lastModifiedBy>Mapes, Brandy M</cp:lastModifiedBy>
  <cp:revision>2</cp:revision>
  <dcterms:created xsi:type="dcterms:W3CDTF">2017-05-22T14:31:00Z</dcterms:created>
  <dcterms:modified xsi:type="dcterms:W3CDTF">2017-05-22T14:31:00Z</dcterms:modified>
</cp:coreProperties>
</file>