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8087E2" w14:textId="77777777" w:rsidR="00AB0E5A" w:rsidRDefault="00025543">
      <w:pPr>
        <w:spacing w:before="100" w:after="100"/>
        <w:jc w:val="center"/>
        <w:rPr>
          <w:sz w:val="28"/>
          <w:szCs w:val="28"/>
        </w:rPr>
      </w:pPr>
      <w:r>
        <w:rPr>
          <w:b/>
          <w:sz w:val="28"/>
          <w:szCs w:val="28"/>
        </w:rPr>
        <w:t>eMERGE Network Proposal for Analysis</w:t>
      </w:r>
    </w:p>
    <w:p w14:paraId="40E9B2C2" w14:textId="77777777" w:rsidR="00AB0E5A" w:rsidRDefault="00025543">
      <w:pPr>
        <w:tabs>
          <w:tab w:val="right" w:pos="8640"/>
        </w:tabs>
        <w:spacing w:line="360" w:lineRule="auto"/>
        <w:jc w:val="center"/>
      </w:pPr>
      <w:r>
        <w:rPr>
          <w:sz w:val="28"/>
          <w:szCs w:val="28"/>
        </w:rPr>
        <w:t>Project/Manuscript Concept Sheet</w:t>
      </w:r>
    </w:p>
    <w:tbl>
      <w:tblPr>
        <w:tblStyle w:val="a"/>
        <w:tblW w:w="80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04"/>
        <w:gridCol w:w="5760"/>
      </w:tblGrid>
      <w:tr w:rsidR="00A61850" w14:paraId="57506611" w14:textId="77777777">
        <w:tc>
          <w:tcPr>
            <w:tcW w:w="2304" w:type="dxa"/>
            <w:vAlign w:val="center"/>
          </w:tcPr>
          <w:p w14:paraId="753D6964" w14:textId="42686BFF" w:rsidR="00A61850" w:rsidRDefault="00A61850">
            <w:pPr>
              <w:rPr>
                <w:b/>
              </w:rPr>
            </w:pPr>
            <w:r>
              <w:rPr>
                <w:b/>
              </w:rPr>
              <w:t>Reference Number</w:t>
            </w:r>
          </w:p>
        </w:tc>
        <w:tc>
          <w:tcPr>
            <w:tcW w:w="5760" w:type="dxa"/>
          </w:tcPr>
          <w:p w14:paraId="50012760" w14:textId="3B03FCF7" w:rsidR="00A61850" w:rsidRDefault="00A61850">
            <w:pPr>
              <w:rPr>
                <w:sz w:val="22"/>
                <w:szCs w:val="22"/>
              </w:rPr>
            </w:pPr>
            <w:r>
              <w:rPr>
                <w:sz w:val="22"/>
                <w:szCs w:val="22"/>
              </w:rPr>
              <w:t>NT163</w:t>
            </w:r>
          </w:p>
        </w:tc>
      </w:tr>
      <w:tr w:rsidR="00AB0E5A" w14:paraId="6B49A682" w14:textId="77777777">
        <w:tc>
          <w:tcPr>
            <w:tcW w:w="2304" w:type="dxa"/>
            <w:vAlign w:val="center"/>
          </w:tcPr>
          <w:p w14:paraId="607B8528" w14:textId="77777777" w:rsidR="00AB0E5A" w:rsidRDefault="00025543">
            <w:r>
              <w:rPr>
                <w:b/>
              </w:rPr>
              <w:t>Submission Date</w:t>
            </w:r>
          </w:p>
        </w:tc>
        <w:tc>
          <w:tcPr>
            <w:tcW w:w="5760" w:type="dxa"/>
          </w:tcPr>
          <w:p w14:paraId="7DB030B6" w14:textId="2B4119FC" w:rsidR="00AB0E5A" w:rsidRDefault="00A61850">
            <w:r>
              <w:rPr>
                <w:sz w:val="22"/>
                <w:szCs w:val="22"/>
              </w:rPr>
              <w:t xml:space="preserve">Revised: 6.21.2017; Original: </w:t>
            </w:r>
            <w:r w:rsidR="00025543">
              <w:rPr>
                <w:sz w:val="22"/>
                <w:szCs w:val="22"/>
              </w:rPr>
              <w:t>June 11, 2015</w:t>
            </w:r>
          </w:p>
        </w:tc>
      </w:tr>
      <w:tr w:rsidR="00AB0E5A" w14:paraId="6AC0A049" w14:textId="77777777">
        <w:trPr>
          <w:trHeight w:val="720"/>
        </w:trPr>
        <w:tc>
          <w:tcPr>
            <w:tcW w:w="2304" w:type="dxa"/>
            <w:vAlign w:val="center"/>
          </w:tcPr>
          <w:p w14:paraId="0385B4C1" w14:textId="77777777" w:rsidR="00AB0E5A" w:rsidRDefault="00025543">
            <w:r>
              <w:rPr>
                <w:b/>
              </w:rPr>
              <w:t>Project Title</w:t>
            </w:r>
          </w:p>
        </w:tc>
        <w:tc>
          <w:tcPr>
            <w:tcW w:w="5760" w:type="dxa"/>
          </w:tcPr>
          <w:p w14:paraId="3B73F667" w14:textId="77777777" w:rsidR="00AB0E5A" w:rsidRDefault="00025543">
            <w:pPr>
              <w:rPr>
                <w:sz w:val="22"/>
                <w:szCs w:val="22"/>
              </w:rPr>
            </w:pPr>
            <w:r>
              <w:rPr>
                <w:sz w:val="22"/>
                <w:szCs w:val="22"/>
              </w:rPr>
              <w:t>The identification of adverse events in the eMERGE PGx cohort using the electronic health record data and machine learning analytical techniques, and assessing the contribution of genetic variation in the 84 pharmacogenes.</w:t>
            </w:r>
          </w:p>
        </w:tc>
      </w:tr>
      <w:tr w:rsidR="00AB0E5A" w14:paraId="2F48ED09" w14:textId="77777777">
        <w:tc>
          <w:tcPr>
            <w:tcW w:w="2304" w:type="dxa"/>
            <w:vAlign w:val="center"/>
          </w:tcPr>
          <w:p w14:paraId="7AD20CAC" w14:textId="77777777" w:rsidR="00AB0E5A" w:rsidRDefault="00025543">
            <w:r>
              <w:rPr>
                <w:b/>
              </w:rPr>
              <w:t>Tentative Lead Investigator (first author)</w:t>
            </w:r>
          </w:p>
        </w:tc>
        <w:tc>
          <w:tcPr>
            <w:tcW w:w="5760" w:type="dxa"/>
          </w:tcPr>
          <w:p w14:paraId="673D21DC" w14:textId="77777777" w:rsidR="00AB0E5A" w:rsidRDefault="00025543">
            <w:pPr>
              <w:rPr>
                <w:color w:val="333333"/>
                <w:highlight w:val="white"/>
              </w:rPr>
            </w:pPr>
            <w:r>
              <w:rPr>
                <w:sz w:val="22"/>
                <w:szCs w:val="22"/>
              </w:rPr>
              <w:t>Jared Erwin</w:t>
            </w:r>
          </w:p>
        </w:tc>
      </w:tr>
      <w:tr w:rsidR="00AB0E5A" w14:paraId="67492F53" w14:textId="77777777">
        <w:tc>
          <w:tcPr>
            <w:tcW w:w="2304" w:type="dxa"/>
            <w:vAlign w:val="center"/>
          </w:tcPr>
          <w:p w14:paraId="1BBA2C44" w14:textId="77777777" w:rsidR="00AB0E5A" w:rsidRDefault="00025543">
            <w:r>
              <w:rPr>
                <w:b/>
              </w:rPr>
              <w:t>Tentative Senior Author (last author)</w:t>
            </w:r>
          </w:p>
        </w:tc>
        <w:tc>
          <w:tcPr>
            <w:tcW w:w="5760" w:type="dxa"/>
          </w:tcPr>
          <w:p w14:paraId="5040F6CE" w14:textId="77777777" w:rsidR="00AB0E5A" w:rsidRDefault="00025543">
            <w:pPr>
              <w:rPr>
                <w:sz w:val="20"/>
                <w:szCs w:val="20"/>
              </w:rPr>
            </w:pPr>
            <w:r>
              <w:rPr>
                <w:sz w:val="22"/>
                <w:szCs w:val="22"/>
              </w:rPr>
              <w:t xml:space="preserve">Gail Jarvik, David Crosslin </w:t>
            </w:r>
          </w:p>
        </w:tc>
      </w:tr>
      <w:tr w:rsidR="00AB0E5A" w14:paraId="673BCF50" w14:textId="77777777">
        <w:tc>
          <w:tcPr>
            <w:tcW w:w="2304" w:type="dxa"/>
            <w:vAlign w:val="center"/>
          </w:tcPr>
          <w:p w14:paraId="7DA971F8" w14:textId="77777777" w:rsidR="00AB0E5A" w:rsidRDefault="00025543">
            <w:r>
              <w:rPr>
                <w:b/>
              </w:rPr>
              <w:t xml:space="preserve">All other authors </w:t>
            </w:r>
          </w:p>
        </w:tc>
        <w:tc>
          <w:tcPr>
            <w:tcW w:w="5760" w:type="dxa"/>
          </w:tcPr>
          <w:p w14:paraId="688629BB" w14:textId="1DDC84CF" w:rsidR="00AB0E5A" w:rsidRDefault="00025543">
            <w:pPr>
              <w:rPr>
                <w:sz w:val="22"/>
                <w:szCs w:val="22"/>
              </w:rPr>
            </w:pPr>
            <w:r>
              <w:rPr>
                <w:sz w:val="22"/>
                <w:szCs w:val="22"/>
              </w:rPr>
              <w:t>Ian Stanaway, Iftikhar Kullo, Josh Denny, Joshua Smith, Sarah Stallings, Peggy D. Robertson, David S. Carrell, Adam S. Gordon, Mariza de Andrade, Paul K. Crane</w:t>
            </w:r>
            <w:bookmarkStart w:id="0" w:name="_GoBack"/>
            <w:bookmarkEnd w:id="0"/>
            <w:r>
              <w:rPr>
                <w:sz w:val="22"/>
                <w:szCs w:val="22"/>
              </w:rPr>
              <w:t>, Michael O. Dorschner, Eric B. Larson, Deborah A. Nickerson, Jodell Jackson</w:t>
            </w:r>
          </w:p>
          <w:p w14:paraId="7DFBE7D6" w14:textId="77777777" w:rsidR="00AB0E5A" w:rsidRDefault="00AB0E5A"/>
          <w:p w14:paraId="43F9F514" w14:textId="77777777" w:rsidR="00AB0E5A" w:rsidRDefault="00025543">
            <w:r>
              <w:rPr>
                <w:b/>
                <w:i/>
                <w:sz w:val="22"/>
                <w:szCs w:val="22"/>
              </w:rPr>
              <w:t>Any eMERGE II or III authors interested in participating</w:t>
            </w:r>
            <w:r>
              <w:rPr>
                <w:sz w:val="22"/>
                <w:szCs w:val="22"/>
              </w:rPr>
              <w:t>.</w:t>
            </w:r>
          </w:p>
        </w:tc>
      </w:tr>
      <w:tr w:rsidR="00AB0E5A" w14:paraId="6CF04456" w14:textId="77777777">
        <w:trPr>
          <w:trHeight w:val="500"/>
        </w:trPr>
        <w:tc>
          <w:tcPr>
            <w:tcW w:w="2304" w:type="dxa"/>
            <w:vAlign w:val="center"/>
          </w:tcPr>
          <w:p w14:paraId="7C8D221A" w14:textId="77777777" w:rsidR="00AB0E5A" w:rsidRDefault="00025543">
            <w:r>
              <w:rPr>
                <w:b/>
              </w:rPr>
              <w:t>Sites Involved</w:t>
            </w:r>
          </w:p>
        </w:tc>
        <w:tc>
          <w:tcPr>
            <w:tcW w:w="5760" w:type="dxa"/>
          </w:tcPr>
          <w:p w14:paraId="4D622AD1" w14:textId="77777777" w:rsidR="00AB0E5A" w:rsidRDefault="00025543">
            <w:pPr>
              <w:rPr>
                <w:sz w:val="22"/>
                <w:szCs w:val="22"/>
              </w:rPr>
            </w:pPr>
            <w:r>
              <w:rPr>
                <w:sz w:val="22"/>
                <w:szCs w:val="22"/>
              </w:rPr>
              <w:t>University of Washington/Group Health, Seattle, WA;</w:t>
            </w:r>
          </w:p>
          <w:p w14:paraId="4A117901" w14:textId="77777777" w:rsidR="00AB0E5A" w:rsidRDefault="00025543">
            <w:pPr>
              <w:rPr>
                <w:sz w:val="22"/>
                <w:szCs w:val="22"/>
              </w:rPr>
            </w:pPr>
            <w:r>
              <w:rPr>
                <w:sz w:val="22"/>
                <w:szCs w:val="22"/>
              </w:rPr>
              <w:t xml:space="preserve">Mayo Clinic, Rochester, MN; </w:t>
            </w:r>
          </w:p>
          <w:p w14:paraId="1B5BF67B" w14:textId="77777777" w:rsidR="00AB0E5A" w:rsidRDefault="00025543">
            <w:pPr>
              <w:rPr>
                <w:sz w:val="22"/>
                <w:szCs w:val="22"/>
              </w:rPr>
            </w:pPr>
            <w:r>
              <w:rPr>
                <w:sz w:val="22"/>
                <w:szCs w:val="22"/>
              </w:rPr>
              <w:t xml:space="preserve">Marshfield Clinic Research Foundation, Marshfield, WI; </w:t>
            </w:r>
          </w:p>
          <w:p w14:paraId="320B7B5D" w14:textId="77777777" w:rsidR="00AB0E5A" w:rsidRDefault="00025543">
            <w:pPr>
              <w:rPr>
                <w:sz w:val="22"/>
                <w:szCs w:val="22"/>
              </w:rPr>
            </w:pPr>
            <w:r>
              <w:rPr>
                <w:sz w:val="22"/>
                <w:szCs w:val="22"/>
              </w:rPr>
              <w:t>Northwestern University, Chicago, IL;</w:t>
            </w:r>
          </w:p>
          <w:p w14:paraId="7D887ED7" w14:textId="77777777" w:rsidR="00AB0E5A" w:rsidRDefault="00025543">
            <w:pPr>
              <w:rPr>
                <w:sz w:val="22"/>
                <w:szCs w:val="22"/>
              </w:rPr>
            </w:pPr>
            <w:r>
              <w:rPr>
                <w:sz w:val="22"/>
                <w:szCs w:val="22"/>
              </w:rPr>
              <w:t>Vanderbilt University, Nashville, TN;</w:t>
            </w:r>
          </w:p>
          <w:p w14:paraId="7876F90F" w14:textId="77777777" w:rsidR="00AB0E5A" w:rsidRDefault="00025543">
            <w:pPr>
              <w:rPr>
                <w:sz w:val="22"/>
                <w:szCs w:val="22"/>
              </w:rPr>
            </w:pPr>
            <w:r>
              <w:rPr>
                <w:sz w:val="22"/>
                <w:szCs w:val="22"/>
              </w:rPr>
              <w:t xml:space="preserve">Center for Inherited Disease Research, Johns Hopkins University, Baltimore, MD; and </w:t>
            </w:r>
          </w:p>
          <w:p w14:paraId="073DB781" w14:textId="77777777" w:rsidR="00AB0E5A" w:rsidRDefault="00025543">
            <w:pPr>
              <w:rPr>
                <w:sz w:val="22"/>
                <w:szCs w:val="22"/>
              </w:rPr>
            </w:pPr>
            <w:r>
              <w:rPr>
                <w:sz w:val="22"/>
                <w:szCs w:val="22"/>
              </w:rPr>
              <w:t>Broad Institute of Harvard &amp; MIT; Cambridge, MA.</w:t>
            </w:r>
          </w:p>
          <w:p w14:paraId="65B57780" w14:textId="77777777" w:rsidR="00AB0E5A" w:rsidRDefault="00025543">
            <w:pPr>
              <w:rPr>
                <w:sz w:val="22"/>
                <w:szCs w:val="22"/>
              </w:rPr>
            </w:pPr>
            <w:r>
              <w:rPr>
                <w:sz w:val="22"/>
                <w:szCs w:val="22"/>
              </w:rPr>
              <w:t>Essentia Health; Duluth, MN.</w:t>
            </w:r>
          </w:p>
          <w:p w14:paraId="7DB646B5" w14:textId="77777777" w:rsidR="00AB0E5A" w:rsidRDefault="00025543">
            <w:pPr>
              <w:rPr>
                <w:sz w:val="22"/>
                <w:szCs w:val="22"/>
              </w:rPr>
            </w:pPr>
            <w:r>
              <w:rPr>
                <w:sz w:val="22"/>
                <w:szCs w:val="22"/>
              </w:rPr>
              <w:t xml:space="preserve">Geisinger, Danville, PA. </w:t>
            </w:r>
          </w:p>
          <w:p w14:paraId="54C38C75" w14:textId="77777777" w:rsidR="00AB0E5A" w:rsidRDefault="00025543">
            <w:r>
              <w:rPr>
                <w:sz w:val="22"/>
                <w:szCs w:val="22"/>
              </w:rPr>
              <w:t>The Mt. Sinai Hospital; New York, NY.</w:t>
            </w:r>
          </w:p>
        </w:tc>
      </w:tr>
      <w:tr w:rsidR="00AB0E5A" w14:paraId="3D2DA2B1" w14:textId="77777777">
        <w:trPr>
          <w:trHeight w:val="860"/>
        </w:trPr>
        <w:tc>
          <w:tcPr>
            <w:tcW w:w="2304" w:type="dxa"/>
            <w:vAlign w:val="center"/>
          </w:tcPr>
          <w:p w14:paraId="587A7D4B" w14:textId="77777777" w:rsidR="00AB0E5A" w:rsidRDefault="00025543">
            <w:r>
              <w:rPr>
                <w:b/>
              </w:rPr>
              <w:t>Background / Significance</w:t>
            </w:r>
          </w:p>
        </w:tc>
        <w:tc>
          <w:tcPr>
            <w:tcW w:w="5760" w:type="dxa"/>
          </w:tcPr>
          <w:p w14:paraId="6E258F5E" w14:textId="77777777" w:rsidR="00AB0E5A" w:rsidRDefault="00025543">
            <w:pPr>
              <w:rPr>
                <w:sz w:val="22"/>
                <w:szCs w:val="22"/>
              </w:rPr>
            </w:pPr>
            <w:r>
              <w:rPr>
                <w:sz w:val="22"/>
                <w:szCs w:val="22"/>
              </w:rPr>
              <w:t xml:space="preserve">Some 9,000 participants in the eMERGE Network were sequenced with the targeted Pharmacogenomics Research Network sequence platform (PGRNseq), thus linking electronic health records (EHR) to pharmacogenetic variant data to ultimately return actionable results.  PGRNseq contains the coding regions, UTRs, and 2kb upstream for 84 pharmacogenes.  </w:t>
            </w:r>
          </w:p>
          <w:p w14:paraId="31FA0348" w14:textId="77777777" w:rsidR="00AB0E5A" w:rsidRDefault="00AB0E5A">
            <w:pPr>
              <w:rPr>
                <w:sz w:val="22"/>
                <w:szCs w:val="22"/>
              </w:rPr>
            </w:pPr>
          </w:p>
          <w:p w14:paraId="5F5CBDFE" w14:textId="77777777" w:rsidR="00AB0E5A" w:rsidRDefault="00025543">
            <w:pPr>
              <w:rPr>
                <w:sz w:val="22"/>
                <w:szCs w:val="22"/>
              </w:rPr>
            </w:pPr>
            <w:r>
              <w:rPr>
                <w:sz w:val="22"/>
                <w:szCs w:val="22"/>
              </w:rPr>
              <w:t xml:space="preserve">Our goal is to identify adverse events in the eMERGE PGx cohort using the electronic health record data and machine learning analytical techniques, and assess the contribution of genetic variation in the 84 pharmacogenes.  </w:t>
            </w:r>
          </w:p>
          <w:p w14:paraId="03F19524" w14:textId="77777777" w:rsidR="00AB0E5A" w:rsidRDefault="00AB0E5A">
            <w:pPr>
              <w:rPr>
                <w:b/>
                <w:sz w:val="22"/>
                <w:szCs w:val="22"/>
              </w:rPr>
            </w:pPr>
          </w:p>
          <w:p w14:paraId="0F46351D" w14:textId="77777777" w:rsidR="00AB0E5A" w:rsidRDefault="00025543">
            <w:pPr>
              <w:rPr>
                <w:sz w:val="22"/>
                <w:szCs w:val="22"/>
              </w:rPr>
            </w:pPr>
            <w:r>
              <w:rPr>
                <w:sz w:val="22"/>
                <w:szCs w:val="22"/>
              </w:rPr>
              <w:t xml:space="preserve">We will analyze Rx data and diagnosis code data using the Drug Event Base provided by Joshua Smith from Vanderbilt.  This will identify a set of possible adverse drug events for all </w:t>
            </w:r>
            <w:r>
              <w:rPr>
                <w:sz w:val="22"/>
                <w:szCs w:val="22"/>
              </w:rPr>
              <w:lastRenderedPageBreak/>
              <w:t>subjects with appropriate data.  These adverse events can be used both in unsupervised machine learning to look for interesting grouping among the clinical data and the pharmacogenetic variation.  The adverse events could also be used as phenotypes to explore association to the pharmacogentic data.</w:t>
            </w:r>
          </w:p>
          <w:p w14:paraId="137046A5" w14:textId="77777777" w:rsidR="00A114D8" w:rsidRDefault="00A114D8">
            <w:pPr>
              <w:rPr>
                <w:sz w:val="22"/>
                <w:szCs w:val="22"/>
              </w:rPr>
            </w:pPr>
          </w:p>
          <w:p w14:paraId="68B81285" w14:textId="06C2D4F9" w:rsidR="00A114D8" w:rsidRDefault="00A114D8">
            <w:pPr>
              <w:rPr>
                <w:sz w:val="22"/>
                <w:szCs w:val="22"/>
              </w:rPr>
            </w:pPr>
            <w:r>
              <w:rPr>
                <w:sz w:val="22"/>
                <w:szCs w:val="22"/>
              </w:rPr>
              <w:t>Illustration of early results can be found here looking at the first 4 PCs of the ADE correlation matrix:</w:t>
            </w:r>
          </w:p>
          <w:p w14:paraId="65F32DB7" w14:textId="590DF026" w:rsidR="00A114D8" w:rsidRDefault="00A114D8">
            <w:pPr>
              <w:rPr>
                <w:sz w:val="22"/>
                <w:szCs w:val="22"/>
              </w:rPr>
            </w:pPr>
            <w:r w:rsidRPr="00A114D8">
              <w:rPr>
                <w:sz w:val="22"/>
                <w:szCs w:val="22"/>
              </w:rPr>
              <w:t>http://rpubs.com/feordin/ADE</w:t>
            </w:r>
          </w:p>
        </w:tc>
      </w:tr>
      <w:tr w:rsidR="00AB0E5A" w14:paraId="177CF572" w14:textId="77777777">
        <w:trPr>
          <w:trHeight w:val="860"/>
        </w:trPr>
        <w:tc>
          <w:tcPr>
            <w:tcW w:w="2304" w:type="dxa"/>
            <w:vAlign w:val="center"/>
          </w:tcPr>
          <w:p w14:paraId="1AC738A5" w14:textId="77777777" w:rsidR="00AB0E5A" w:rsidRDefault="00025543">
            <w:r>
              <w:rPr>
                <w:b/>
              </w:rPr>
              <w:lastRenderedPageBreak/>
              <w:t>Outline of Project</w:t>
            </w:r>
          </w:p>
        </w:tc>
        <w:tc>
          <w:tcPr>
            <w:tcW w:w="5760" w:type="dxa"/>
          </w:tcPr>
          <w:p w14:paraId="67D4CB56" w14:textId="77777777" w:rsidR="00AB0E5A" w:rsidRDefault="00025543">
            <w:pPr>
              <w:numPr>
                <w:ilvl w:val="0"/>
                <w:numId w:val="2"/>
              </w:numPr>
              <w:ind w:hanging="360"/>
              <w:contextualSpacing/>
              <w:rPr>
                <w:sz w:val="22"/>
                <w:szCs w:val="22"/>
              </w:rPr>
            </w:pPr>
            <w:r>
              <w:rPr>
                <w:sz w:val="22"/>
                <w:szCs w:val="22"/>
              </w:rPr>
              <w:t>PGRNseq 9000 eMERGE participants</w:t>
            </w:r>
          </w:p>
          <w:p w14:paraId="69898153"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Annotate variants with SnpEff and SeattleSeq</w:t>
            </w:r>
          </w:p>
          <w:p w14:paraId="5B333A3F"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Anaylize Rx and diagnosis codes with adverse event database</w:t>
            </w:r>
          </w:p>
          <w:p w14:paraId="574E6EB5"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Explore possible AEs and clinical data with unsupervised machine learning (ML)</w:t>
            </w:r>
          </w:p>
          <w:p w14:paraId="76F9FE33"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Merge possible adverse events (AE), demog, and genetic data</w:t>
            </w:r>
          </w:p>
          <w:p w14:paraId="6F99F2AB" w14:textId="77777777" w:rsidR="00AB0E5A" w:rsidRDefault="00025543">
            <w:pPr>
              <w:numPr>
                <w:ilvl w:val="0"/>
                <w:numId w:val="2"/>
              </w:numPr>
              <w:ind w:hanging="360"/>
              <w:contextualSpacing/>
              <w:rPr>
                <w:rFonts w:ascii="Times" w:eastAsia="Times" w:hAnsi="Times" w:cs="Times"/>
                <w:sz w:val="22"/>
                <w:szCs w:val="22"/>
              </w:rPr>
            </w:pPr>
            <w:r>
              <w:rPr>
                <w:sz w:val="22"/>
                <w:szCs w:val="22"/>
              </w:rPr>
              <w:t>If ML analysis shows interesting grouping, focus on those AEs for association</w:t>
            </w:r>
          </w:p>
          <w:p w14:paraId="7FFF8BF8"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Merge in demographic, generate genetically determined ancestry</w:t>
            </w:r>
          </w:p>
          <w:p w14:paraId="09A9A10F" w14:textId="77777777" w:rsidR="00AB0E5A" w:rsidRDefault="00025543">
            <w:pPr>
              <w:numPr>
                <w:ilvl w:val="0"/>
                <w:numId w:val="2"/>
              </w:numPr>
              <w:ind w:hanging="360"/>
              <w:contextualSpacing/>
              <w:rPr>
                <w:rFonts w:ascii="Times" w:eastAsia="Times" w:hAnsi="Times" w:cs="Times"/>
                <w:sz w:val="22"/>
                <w:szCs w:val="22"/>
              </w:rPr>
            </w:pPr>
            <w:r>
              <w:rPr>
                <w:rFonts w:ascii="Times" w:eastAsia="Times" w:hAnsi="Times" w:cs="Times"/>
                <w:sz w:val="22"/>
                <w:szCs w:val="22"/>
              </w:rPr>
              <w:t>Assess trends of association of AE’s with 84 PGx genes.  Also, stratify by ancestry and assess trends.</w:t>
            </w:r>
          </w:p>
          <w:p w14:paraId="4B946895" w14:textId="77777777" w:rsidR="00AB0E5A" w:rsidRDefault="00025543">
            <w:pPr>
              <w:numPr>
                <w:ilvl w:val="0"/>
                <w:numId w:val="2"/>
              </w:numPr>
              <w:ind w:hanging="360"/>
              <w:contextualSpacing/>
              <w:rPr>
                <w:rFonts w:ascii="Times" w:eastAsia="Times" w:hAnsi="Times" w:cs="Times"/>
                <w:sz w:val="22"/>
                <w:szCs w:val="22"/>
              </w:rPr>
            </w:pPr>
            <w:r>
              <w:rPr>
                <w:sz w:val="22"/>
                <w:szCs w:val="22"/>
              </w:rPr>
              <w:t xml:space="preserve">Summarize data and </w:t>
            </w:r>
            <w:r>
              <w:rPr>
                <w:rFonts w:ascii="Times" w:eastAsia="Times" w:hAnsi="Times" w:cs="Times"/>
                <w:sz w:val="22"/>
                <w:szCs w:val="22"/>
              </w:rPr>
              <w:t>write manuscript</w:t>
            </w:r>
          </w:p>
        </w:tc>
      </w:tr>
      <w:tr w:rsidR="00AB0E5A" w14:paraId="03D86CD0" w14:textId="77777777">
        <w:trPr>
          <w:trHeight w:val="840"/>
        </w:trPr>
        <w:tc>
          <w:tcPr>
            <w:tcW w:w="2304" w:type="dxa"/>
            <w:vAlign w:val="center"/>
          </w:tcPr>
          <w:p w14:paraId="2FE0DDAC" w14:textId="77777777" w:rsidR="00AB0E5A" w:rsidRDefault="00025543">
            <w:r>
              <w:rPr>
                <w:b/>
              </w:rPr>
              <w:t>Desired</w:t>
            </w:r>
          </w:p>
          <w:p w14:paraId="60A4DF5B" w14:textId="77777777" w:rsidR="00AB0E5A" w:rsidRDefault="00025543">
            <w:r>
              <w:rPr>
                <w:b/>
              </w:rPr>
              <w:t>Variables (essential for analysis</w:t>
            </w:r>
          </w:p>
          <w:p w14:paraId="30199807" w14:textId="77777777" w:rsidR="00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single"/>
              </w:rPr>
              <w:t>Phenotypes:</w:t>
            </w:r>
          </w:p>
          <w:p w14:paraId="0C71F742" w14:textId="77777777" w:rsidR="00AB0E5A" w:rsidRDefault="00025543">
            <w:pPr>
              <w:numPr>
                <w:ilvl w:val="0"/>
                <w:numId w:val="1"/>
              </w:numPr>
              <w:ind w:hanging="360"/>
              <w:rPr>
                <w:sz w:val="22"/>
                <w:szCs w:val="22"/>
              </w:rPr>
            </w:pPr>
            <w:r>
              <w:rPr>
                <w:sz w:val="22"/>
                <w:szCs w:val="22"/>
              </w:rPr>
              <w:t>PheWAS codes, Rx data, AEs identified by merging Rx data, diagnosis codes and Drug Evidence Base</w:t>
            </w:r>
          </w:p>
          <w:p w14:paraId="0B274C63" w14:textId="77777777" w:rsidR="00AB0E5A" w:rsidRDefault="00025543">
            <w:pPr>
              <w:rPr>
                <w:sz w:val="22"/>
                <w:szCs w:val="22"/>
                <w:u w:val="single"/>
              </w:rPr>
            </w:pPr>
            <w:r>
              <w:rPr>
                <w:b/>
                <w:sz w:val="22"/>
                <w:szCs w:val="22"/>
                <w:u w:val="single"/>
              </w:rPr>
              <w:t>Covariates:</w:t>
            </w:r>
          </w:p>
          <w:p w14:paraId="7DAA2849" w14:textId="77777777" w:rsidR="00AB0E5A" w:rsidRDefault="00025543">
            <w:pPr>
              <w:numPr>
                <w:ilvl w:val="0"/>
                <w:numId w:val="3"/>
              </w:numPr>
              <w:ind w:hanging="360"/>
            </w:pPr>
            <w:r>
              <w:rPr>
                <w:sz w:val="22"/>
                <w:szCs w:val="22"/>
              </w:rPr>
              <w:t>Basic demog data will be derived from the CC, and ancestry will be computed using PCA.</w:t>
            </w:r>
          </w:p>
        </w:tc>
      </w:tr>
      <w:tr w:rsidR="00AB0E5A" w14:paraId="27CD4EFA" w14:textId="77777777">
        <w:trPr>
          <w:trHeight w:val="920"/>
        </w:trPr>
        <w:tc>
          <w:tcPr>
            <w:tcW w:w="2304" w:type="dxa"/>
            <w:vAlign w:val="center"/>
          </w:tcPr>
          <w:p w14:paraId="20D31772" w14:textId="77777777" w:rsidR="00AB0E5A" w:rsidRDefault="00025543">
            <w:r>
              <w:rPr>
                <w:b/>
              </w:rPr>
              <w:t>Desired data</w:t>
            </w:r>
          </w:p>
        </w:tc>
        <w:tc>
          <w:tcPr>
            <w:tcW w:w="5760" w:type="dxa"/>
          </w:tcPr>
          <w:p w14:paraId="5D372683" w14:textId="77777777" w:rsidR="00AB0E5A" w:rsidRDefault="00025543">
            <w:r>
              <w:rPr>
                <w:sz w:val="22"/>
                <w:szCs w:val="22"/>
              </w:rPr>
              <w:t>PGRNseq data (ongoing), annotated target sequence, Rx data, demog, diagnosis codes (ICD9 codes)</w:t>
            </w:r>
          </w:p>
        </w:tc>
      </w:tr>
      <w:tr w:rsidR="00AB0E5A" w14:paraId="3CAECEA9" w14:textId="77777777">
        <w:trPr>
          <w:trHeight w:val="440"/>
        </w:trPr>
        <w:tc>
          <w:tcPr>
            <w:tcW w:w="2304" w:type="dxa"/>
            <w:vAlign w:val="center"/>
          </w:tcPr>
          <w:p w14:paraId="0A5B8911" w14:textId="77777777" w:rsidR="00AB0E5A" w:rsidRDefault="00025543">
            <w:r>
              <w:rPr>
                <w:b/>
              </w:rPr>
              <w:t>Planned Statistical Analyses</w:t>
            </w:r>
          </w:p>
        </w:tc>
        <w:tc>
          <w:tcPr>
            <w:tcW w:w="5760" w:type="dxa"/>
          </w:tcPr>
          <w:p w14:paraId="74A60626" w14:textId="77777777" w:rsidR="00AB0E5A" w:rsidRDefault="00025543">
            <w:pPr>
              <w:numPr>
                <w:ilvl w:val="0"/>
                <w:numId w:val="4"/>
              </w:numPr>
              <w:ind w:hanging="360"/>
            </w:pPr>
            <w:r>
              <w:rPr>
                <w:sz w:val="22"/>
                <w:szCs w:val="22"/>
              </w:rPr>
              <w:t>Generate PCA from PGx data using SNPRelate.</w:t>
            </w:r>
          </w:p>
          <w:p w14:paraId="2046C9C1" w14:textId="77777777" w:rsidR="00AB0E5A" w:rsidRDefault="00025543">
            <w:pPr>
              <w:numPr>
                <w:ilvl w:val="0"/>
                <w:numId w:val="4"/>
              </w:numPr>
              <w:ind w:hanging="360"/>
            </w:pPr>
            <w:r>
              <w:rPr>
                <w:rFonts w:ascii="Times" w:eastAsia="Times" w:hAnsi="Times" w:cs="Times"/>
                <w:sz w:val="22"/>
                <w:szCs w:val="22"/>
              </w:rPr>
              <w:t>Assess patterns of AE’s using k-means clustering and other unsupervised clustering algorithms.</w:t>
            </w:r>
          </w:p>
          <w:p w14:paraId="56B6C4F5" w14:textId="77777777" w:rsidR="00AB0E5A" w:rsidRDefault="00025543">
            <w:pPr>
              <w:numPr>
                <w:ilvl w:val="0"/>
                <w:numId w:val="4"/>
              </w:numPr>
              <w:ind w:hanging="360"/>
              <w:rPr>
                <w:rFonts w:ascii="Times" w:eastAsia="Times" w:hAnsi="Times" w:cs="Times"/>
                <w:sz w:val="22"/>
                <w:szCs w:val="22"/>
              </w:rPr>
            </w:pPr>
            <w:r>
              <w:rPr>
                <w:rFonts w:ascii="Times" w:eastAsia="Times" w:hAnsi="Times" w:cs="Times"/>
                <w:sz w:val="22"/>
                <w:szCs w:val="22"/>
              </w:rPr>
              <w:t xml:space="preserve">Add single variant, gene, and pathway variation data to assess the contribution when clustering </w:t>
            </w:r>
          </w:p>
        </w:tc>
      </w:tr>
      <w:tr w:rsidR="00AB0E5A" w14:paraId="27842062" w14:textId="77777777">
        <w:trPr>
          <w:trHeight w:val="860"/>
        </w:trPr>
        <w:tc>
          <w:tcPr>
            <w:tcW w:w="2304" w:type="dxa"/>
            <w:vAlign w:val="center"/>
          </w:tcPr>
          <w:p w14:paraId="193AF334" w14:textId="77777777" w:rsidR="00AB0E5A" w:rsidRDefault="00025543">
            <w:r>
              <w:rPr>
                <w:b/>
              </w:rPr>
              <w:t>Ethical considerations</w:t>
            </w:r>
          </w:p>
        </w:tc>
        <w:tc>
          <w:tcPr>
            <w:tcW w:w="5760" w:type="dxa"/>
          </w:tcPr>
          <w:p w14:paraId="0590C226" w14:textId="77777777" w:rsidR="00AB0E5A" w:rsidRDefault="00AB0E5A"/>
          <w:p w14:paraId="1D74DE62" w14:textId="77777777" w:rsidR="00AB0E5A" w:rsidRDefault="00025543">
            <w:pPr>
              <w:rPr>
                <w:sz w:val="22"/>
                <w:szCs w:val="22"/>
              </w:rPr>
            </w:pPr>
            <w:r>
              <w:rPr>
                <w:sz w:val="22"/>
                <w:szCs w:val="22"/>
              </w:rPr>
              <w:t>There are no physical risks involved.</w:t>
            </w:r>
          </w:p>
        </w:tc>
      </w:tr>
      <w:tr w:rsidR="00AB0E5A" w14:paraId="300A780D" w14:textId="77777777">
        <w:tc>
          <w:tcPr>
            <w:tcW w:w="2304" w:type="dxa"/>
            <w:vAlign w:val="center"/>
          </w:tcPr>
          <w:p w14:paraId="12DB0DB8" w14:textId="77777777" w:rsidR="00AB0E5A" w:rsidRDefault="00025543">
            <w:r>
              <w:rPr>
                <w:b/>
              </w:rPr>
              <w:t>Target Journal(s)</w:t>
            </w:r>
          </w:p>
        </w:tc>
        <w:tc>
          <w:tcPr>
            <w:tcW w:w="5760" w:type="dxa"/>
          </w:tcPr>
          <w:p w14:paraId="78AA1592" w14:textId="77777777" w:rsidR="00AB0E5A" w:rsidRDefault="00AB0E5A">
            <w:pPr>
              <w:rPr>
                <w:sz w:val="22"/>
                <w:szCs w:val="22"/>
              </w:rPr>
            </w:pPr>
          </w:p>
        </w:tc>
      </w:tr>
      <w:tr w:rsidR="00AB0E5A" w14:paraId="5E424E33" w14:textId="77777777">
        <w:tc>
          <w:tcPr>
            <w:tcW w:w="2304" w:type="dxa"/>
            <w:vAlign w:val="center"/>
          </w:tcPr>
          <w:p w14:paraId="1CAC67DC" w14:textId="77777777" w:rsidR="00AB0E5A" w:rsidRDefault="00025543">
            <w:r>
              <w:rPr>
                <w:b/>
              </w:rPr>
              <w:t>Milestones**</w:t>
            </w:r>
          </w:p>
        </w:tc>
        <w:tc>
          <w:tcPr>
            <w:tcW w:w="5760" w:type="dxa"/>
          </w:tcPr>
          <w:p w14:paraId="1D19344C" w14:textId="77777777" w:rsidR="00AB0E5A" w:rsidRDefault="00025543">
            <w:r>
              <w:t xml:space="preserve">Project duration: 3 months; </w:t>
            </w:r>
          </w:p>
          <w:p w14:paraId="6AF80520" w14:textId="77777777" w:rsidR="00AB0E5A" w:rsidRDefault="00025543">
            <w:r>
              <w:t>First draft: August, 2017</w:t>
            </w:r>
          </w:p>
          <w:p w14:paraId="47E97B56" w14:textId="77777777" w:rsidR="00AB0E5A" w:rsidRDefault="00AB0E5A"/>
          <w:p w14:paraId="632D5C7F" w14:textId="77777777" w:rsidR="00AB0E5A" w:rsidRDefault="00AB0E5A"/>
        </w:tc>
      </w:tr>
    </w:tbl>
    <w:p w14:paraId="30BEE11B" w14:textId="77777777" w:rsidR="00AB0E5A" w:rsidRDefault="00025543">
      <w:r>
        <w:rPr>
          <w:b/>
        </w:rPr>
        <w:t>**</w:t>
      </w:r>
      <w:r>
        <w:t xml:space="preserve"> This section should include:  Timeline for completion of project, including approval, project </w:t>
      </w:r>
      <w:r>
        <w:lastRenderedPageBreak/>
        <w:t xml:space="preserve">duration, first and second draft of the paper and submission. </w:t>
      </w:r>
    </w:p>
    <w:p w14:paraId="25CE95D6" w14:textId="77777777" w:rsidR="00AB0E5A" w:rsidRDefault="00AB0E5A"/>
    <w:p w14:paraId="01570218" w14:textId="77777777" w:rsidR="00AB0E5A" w:rsidRDefault="00AB0E5A"/>
    <w:sectPr w:rsidR="00AB0E5A">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E736" w14:textId="77777777" w:rsidR="00E10AB8" w:rsidRDefault="00E10AB8">
      <w:r>
        <w:separator/>
      </w:r>
    </w:p>
  </w:endnote>
  <w:endnote w:type="continuationSeparator" w:id="0">
    <w:p w14:paraId="5300CE1F" w14:textId="77777777" w:rsidR="00E10AB8" w:rsidRDefault="00E1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A948" w14:textId="77777777" w:rsidR="00AB0E5A" w:rsidRDefault="00025543">
    <w:pPr>
      <w:tabs>
        <w:tab w:val="center" w:pos="4320"/>
        <w:tab w:val="right" w:pos="8640"/>
      </w:tabs>
      <w:spacing w:after="720"/>
      <w:jc w:val="center"/>
    </w:pPr>
    <w:r>
      <w:fldChar w:fldCharType="begin"/>
    </w:r>
    <w:r>
      <w:instrText>PAGE</w:instrText>
    </w:r>
    <w:r>
      <w:fldChar w:fldCharType="separate"/>
    </w:r>
    <w:r w:rsidR="004154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8430" w14:textId="77777777" w:rsidR="00E10AB8" w:rsidRDefault="00E10AB8">
      <w:r>
        <w:separator/>
      </w:r>
    </w:p>
  </w:footnote>
  <w:footnote w:type="continuationSeparator" w:id="0">
    <w:p w14:paraId="7A09F549" w14:textId="77777777" w:rsidR="00E10AB8" w:rsidRDefault="00E1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C4D9C"/>
    <w:multiLevelType w:val="multilevel"/>
    <w:tmpl w:val="4CD4D926"/>
    <w:lvl w:ilvl="0">
      <w:start w:val="1"/>
      <w:numFmt w:val="decimal"/>
      <w:lvlText w:val="%1."/>
      <w:lvlJc w:val="left"/>
      <w:pPr>
        <w:ind w:left="720" w:firstLine="360"/>
      </w:pPr>
      <w:rPr>
        <w:rFonts w:ascii="Times New Roman" w:eastAsia="Times New Roman" w:hAnsi="Times New Roman" w:cs="Times New Roman"/>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ADB6919"/>
    <w:multiLevelType w:val="multilevel"/>
    <w:tmpl w:val="707E0118"/>
    <w:lvl w:ilvl="0">
      <w:start w:val="1"/>
      <w:numFmt w:val="decimal"/>
      <w:lvlText w:val="%1."/>
      <w:lvlJc w:val="left"/>
      <w:pPr>
        <w:ind w:left="720" w:firstLine="360"/>
      </w:pPr>
      <w:rPr>
        <w:color w:val="00000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C8D09D0"/>
    <w:multiLevelType w:val="multilevel"/>
    <w:tmpl w:val="2D3CA1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CAB7288"/>
    <w:multiLevelType w:val="multilevel"/>
    <w:tmpl w:val="14963C06"/>
    <w:lvl w:ilvl="0">
      <w:start w:val="1"/>
      <w:numFmt w:val="decimal"/>
      <w:lvlText w:val="%1."/>
      <w:lvlJc w:val="left"/>
      <w:pPr>
        <w:ind w:left="720" w:firstLine="360"/>
      </w:pPr>
      <w:rPr>
        <w:color w:val="00000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0E5A"/>
    <w:rsid w:val="00025543"/>
    <w:rsid w:val="00415489"/>
    <w:rsid w:val="00573A2A"/>
    <w:rsid w:val="00A114D8"/>
    <w:rsid w:val="00A61850"/>
    <w:rsid w:val="00AB0E5A"/>
    <w:rsid w:val="00E1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A0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7"/>
      <w:szCs w:val="27"/>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Mapes, Brandy M</cp:lastModifiedBy>
  <cp:revision>5</cp:revision>
  <dcterms:created xsi:type="dcterms:W3CDTF">2017-06-20T18:05:00Z</dcterms:created>
  <dcterms:modified xsi:type="dcterms:W3CDTF">2017-06-21T19:23:00Z</dcterms:modified>
</cp:coreProperties>
</file>