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7BC1" w:rsidRDefault="00CF34B9">
      <w:pPr>
        <w:spacing w:before="100" w:after="100"/>
        <w:jc w:val="center"/>
        <w:rPr>
          <w:b/>
          <w:sz w:val="28"/>
          <w:szCs w:val="28"/>
        </w:rPr>
      </w:pPr>
      <w:proofErr w:type="gramStart"/>
      <w:r>
        <w:rPr>
          <w:b/>
          <w:sz w:val="28"/>
          <w:szCs w:val="28"/>
        </w:rPr>
        <w:t>eMERGE</w:t>
      </w:r>
      <w:proofErr w:type="gramEnd"/>
      <w:r>
        <w:rPr>
          <w:b/>
          <w:sz w:val="28"/>
          <w:szCs w:val="28"/>
        </w:rPr>
        <w:t xml:space="preserve"> Network Proposal for Analysis</w:t>
      </w:r>
    </w:p>
    <w:p w:rsidR="006A7BC1" w:rsidRDefault="00CF34B9">
      <w:pPr>
        <w:tabs>
          <w:tab w:val="right" w:pos="8640"/>
        </w:tabs>
        <w:spacing w:line="360" w:lineRule="auto"/>
        <w:jc w:val="center"/>
      </w:pPr>
      <w:r>
        <w:rPr>
          <w:sz w:val="28"/>
          <w:szCs w:val="28"/>
        </w:rPr>
        <w:t>Project/Manuscript Concept Sheet</w:t>
      </w:r>
    </w:p>
    <w:tbl>
      <w:tblPr>
        <w:tblStyle w:val="a"/>
        <w:tblW w:w="9558"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78"/>
        <w:gridCol w:w="6480"/>
      </w:tblGrid>
      <w:tr w:rsidR="00C70C8E">
        <w:tc>
          <w:tcPr>
            <w:tcW w:w="3078" w:type="dxa"/>
            <w:vAlign w:val="center"/>
          </w:tcPr>
          <w:p w:rsidR="00C70C8E" w:rsidRDefault="00C70C8E">
            <w:pPr>
              <w:rPr>
                <w:b/>
              </w:rPr>
            </w:pPr>
            <w:r>
              <w:rPr>
                <w:b/>
              </w:rPr>
              <w:t>Reference Number</w:t>
            </w:r>
          </w:p>
        </w:tc>
        <w:tc>
          <w:tcPr>
            <w:tcW w:w="6480" w:type="dxa"/>
          </w:tcPr>
          <w:p w:rsidR="00C70C8E" w:rsidRDefault="00C70C8E">
            <w:pPr>
              <w:rPr>
                <w:rFonts w:ascii="Arial" w:eastAsia="Arial" w:hAnsi="Arial" w:cs="Arial"/>
                <w:sz w:val="20"/>
                <w:szCs w:val="20"/>
              </w:rPr>
            </w:pPr>
            <w:r>
              <w:rPr>
                <w:rFonts w:ascii="Arial" w:eastAsia="Arial" w:hAnsi="Arial" w:cs="Arial"/>
                <w:sz w:val="20"/>
                <w:szCs w:val="20"/>
              </w:rPr>
              <w:t>NT244</w:t>
            </w:r>
          </w:p>
        </w:tc>
      </w:tr>
      <w:tr w:rsidR="006A7BC1">
        <w:tc>
          <w:tcPr>
            <w:tcW w:w="3078" w:type="dxa"/>
            <w:vAlign w:val="center"/>
          </w:tcPr>
          <w:p w:rsidR="006A7BC1" w:rsidRDefault="00CF34B9">
            <w:pPr>
              <w:rPr>
                <w:b/>
              </w:rPr>
            </w:pPr>
            <w:r>
              <w:rPr>
                <w:b/>
              </w:rPr>
              <w:t>Submission Date</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July 17, 2017</w:t>
            </w:r>
          </w:p>
        </w:tc>
      </w:tr>
      <w:tr w:rsidR="006A7BC1">
        <w:trPr>
          <w:trHeight w:val="780"/>
        </w:trPr>
        <w:tc>
          <w:tcPr>
            <w:tcW w:w="3078" w:type="dxa"/>
            <w:vAlign w:val="center"/>
          </w:tcPr>
          <w:p w:rsidR="006A7BC1" w:rsidRDefault="00CF34B9">
            <w:pPr>
              <w:rPr>
                <w:b/>
              </w:rPr>
            </w:pPr>
            <w:r>
              <w:rPr>
                <w:b/>
              </w:rPr>
              <w:t>Project Title</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Harmonizing the Sequencing and Interpretation Approach for the eMERGE III Return of Results Program</w:t>
            </w:r>
          </w:p>
        </w:tc>
      </w:tr>
      <w:tr w:rsidR="006A7BC1">
        <w:tc>
          <w:tcPr>
            <w:tcW w:w="3078" w:type="dxa"/>
            <w:vAlign w:val="center"/>
          </w:tcPr>
          <w:p w:rsidR="006A7BC1" w:rsidRDefault="00CF34B9">
            <w:pPr>
              <w:rPr>
                <w:b/>
              </w:rPr>
            </w:pPr>
            <w:r>
              <w:rPr>
                <w:b/>
              </w:rPr>
              <w:t>Authorship approach</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In addition to an overall author list, we will also detail author groupings that will have separate first and last authors for each major subtopic -</w:t>
            </w:r>
          </w:p>
          <w:p w:rsidR="006A7BC1" w:rsidRDefault="00CF34B9">
            <w:pPr>
              <w:rPr>
                <w:rFonts w:ascii="Arial" w:eastAsia="Arial" w:hAnsi="Arial" w:cs="Arial"/>
                <w:sz w:val="20"/>
                <w:szCs w:val="20"/>
                <w:highlight w:val="white"/>
              </w:rPr>
            </w:pPr>
            <w:r>
              <w:rPr>
                <w:rFonts w:ascii="Arial" w:eastAsia="Arial" w:hAnsi="Arial" w:cs="Arial"/>
                <w:sz w:val="20"/>
                <w:szCs w:val="20"/>
              </w:rPr>
              <w:t xml:space="preserve">See </w:t>
            </w:r>
            <w:r>
              <w:rPr>
                <w:rFonts w:ascii="Arial" w:eastAsia="Arial" w:hAnsi="Arial" w:cs="Arial"/>
                <w:sz w:val="20"/>
                <w:szCs w:val="20"/>
                <w:highlight w:val="white"/>
              </w:rPr>
              <w:t>PMID:17095691 for an example of this approach</w:t>
            </w:r>
          </w:p>
          <w:p w:rsidR="006A7BC1" w:rsidRDefault="00CF34B9">
            <w:pPr>
              <w:rPr>
                <w:rFonts w:ascii="Arial" w:eastAsia="Arial" w:hAnsi="Arial" w:cs="Arial"/>
                <w:sz w:val="20"/>
                <w:szCs w:val="20"/>
              </w:rPr>
            </w:pPr>
            <w:r>
              <w:rPr>
                <w:rFonts w:ascii="Arial" w:eastAsia="Arial" w:hAnsi="Arial" w:cs="Arial"/>
                <w:color w:val="575757"/>
                <w:sz w:val="18"/>
                <w:szCs w:val="18"/>
                <w:highlight w:val="white"/>
              </w:rPr>
              <w:t xml:space="preserve"> </w:t>
            </w:r>
            <w:r>
              <w:rPr>
                <w:rFonts w:ascii="Arial" w:eastAsia="Arial" w:hAnsi="Arial" w:cs="Arial"/>
                <w:sz w:val="20"/>
                <w:szCs w:val="20"/>
              </w:rPr>
              <w:t xml:space="preserve"> </w:t>
            </w:r>
          </w:p>
        </w:tc>
      </w:tr>
      <w:tr w:rsidR="006A7BC1">
        <w:tc>
          <w:tcPr>
            <w:tcW w:w="3078" w:type="dxa"/>
            <w:vAlign w:val="center"/>
          </w:tcPr>
          <w:p w:rsidR="006A7BC1" w:rsidRDefault="00CF34B9">
            <w:pPr>
              <w:rPr>
                <w:b/>
              </w:rPr>
            </w:pPr>
            <w:r>
              <w:rPr>
                <w:b/>
              </w:rPr>
              <w:t>Tentative Lead Investigator (first author)</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Partners/Broad, BCM, CC representatives</w:t>
            </w:r>
          </w:p>
        </w:tc>
      </w:tr>
      <w:tr w:rsidR="006A7BC1">
        <w:trPr>
          <w:trHeight w:val="460"/>
        </w:trPr>
        <w:tc>
          <w:tcPr>
            <w:tcW w:w="3078" w:type="dxa"/>
            <w:vAlign w:val="center"/>
          </w:tcPr>
          <w:p w:rsidR="006A7BC1" w:rsidRDefault="00CF34B9">
            <w:pPr>
              <w:rPr>
                <w:b/>
              </w:rPr>
            </w:pPr>
            <w:r>
              <w:rPr>
                <w:b/>
              </w:rPr>
              <w:t>Tentative Senior Author (last author)</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BCM, Partners-Broad and CC PIs</w:t>
            </w:r>
          </w:p>
        </w:tc>
      </w:tr>
      <w:tr w:rsidR="006A7BC1">
        <w:tc>
          <w:tcPr>
            <w:tcW w:w="3078" w:type="dxa"/>
            <w:vAlign w:val="center"/>
          </w:tcPr>
          <w:p w:rsidR="006A7BC1" w:rsidRDefault="00CF34B9">
            <w:pPr>
              <w:rPr>
                <w:b/>
              </w:rPr>
            </w:pPr>
            <w:r>
              <w:rPr>
                <w:b/>
              </w:rPr>
              <w:t xml:space="preserve">All other authors </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 xml:space="preserve">Relevant staff from BCM, Partners-Broad, CC, NHGRI and sites </w:t>
            </w:r>
          </w:p>
        </w:tc>
      </w:tr>
      <w:tr w:rsidR="006A7BC1">
        <w:trPr>
          <w:trHeight w:val="500"/>
        </w:trPr>
        <w:tc>
          <w:tcPr>
            <w:tcW w:w="3078" w:type="dxa"/>
            <w:vAlign w:val="center"/>
          </w:tcPr>
          <w:p w:rsidR="006A7BC1" w:rsidRDefault="00CF34B9">
            <w:pPr>
              <w:rPr>
                <w:b/>
              </w:rPr>
            </w:pPr>
            <w:r>
              <w:rPr>
                <w:b/>
              </w:rPr>
              <w:t>Sites Involved</w:t>
            </w:r>
          </w:p>
        </w:tc>
        <w:tc>
          <w:tcPr>
            <w:tcW w:w="6480" w:type="dxa"/>
          </w:tcPr>
          <w:p w:rsidR="006A7BC1" w:rsidRDefault="006A7BC1">
            <w:pPr>
              <w:rPr>
                <w:rFonts w:ascii="Arial" w:eastAsia="Arial" w:hAnsi="Arial" w:cs="Arial"/>
                <w:sz w:val="20"/>
                <w:szCs w:val="20"/>
              </w:rPr>
            </w:pPr>
          </w:p>
          <w:p w:rsidR="006A7BC1" w:rsidRDefault="00CF34B9">
            <w:pPr>
              <w:rPr>
                <w:rFonts w:ascii="Arial" w:eastAsia="Arial" w:hAnsi="Arial" w:cs="Arial"/>
                <w:sz w:val="20"/>
                <w:szCs w:val="20"/>
              </w:rPr>
            </w:pPr>
            <w:r>
              <w:rPr>
                <w:rFonts w:ascii="Arial" w:eastAsia="Arial" w:hAnsi="Arial" w:cs="Arial"/>
                <w:sz w:val="20"/>
                <w:szCs w:val="20"/>
              </w:rPr>
              <w:t>Partners-Broad, BCM, NHGRI, all sites</w:t>
            </w:r>
          </w:p>
          <w:p w:rsidR="006A7BC1" w:rsidRDefault="006A7BC1">
            <w:pPr>
              <w:rPr>
                <w:rFonts w:ascii="Arial" w:eastAsia="Arial" w:hAnsi="Arial" w:cs="Arial"/>
                <w:sz w:val="20"/>
                <w:szCs w:val="20"/>
              </w:rPr>
            </w:pPr>
          </w:p>
        </w:tc>
      </w:tr>
      <w:tr w:rsidR="006A7BC1">
        <w:trPr>
          <w:trHeight w:val="860"/>
        </w:trPr>
        <w:tc>
          <w:tcPr>
            <w:tcW w:w="3078" w:type="dxa"/>
            <w:vAlign w:val="center"/>
          </w:tcPr>
          <w:p w:rsidR="006A7BC1" w:rsidRDefault="00CF34B9">
            <w:pPr>
              <w:rPr>
                <w:b/>
              </w:rPr>
            </w:pPr>
            <w:r>
              <w:rPr>
                <w:b/>
              </w:rPr>
              <w:t>Background / Significance</w:t>
            </w:r>
          </w:p>
        </w:tc>
        <w:tc>
          <w:tcPr>
            <w:tcW w:w="6480" w:type="dxa"/>
          </w:tcPr>
          <w:p w:rsidR="006A7BC1" w:rsidRDefault="00CF34B9">
            <w:pPr>
              <w:rPr>
                <w:rFonts w:ascii="Arial" w:eastAsia="Arial" w:hAnsi="Arial" w:cs="Arial"/>
                <w:sz w:val="20"/>
                <w:szCs w:val="20"/>
              </w:rPr>
            </w:pPr>
            <w:proofErr w:type="gramStart"/>
            <w:r>
              <w:rPr>
                <w:rFonts w:ascii="Arial" w:eastAsia="Arial" w:hAnsi="Arial" w:cs="Arial"/>
                <w:sz w:val="20"/>
                <w:szCs w:val="20"/>
              </w:rPr>
              <w:t>One  aim</w:t>
            </w:r>
            <w:proofErr w:type="gramEnd"/>
            <w:r>
              <w:rPr>
                <w:rFonts w:ascii="Arial" w:eastAsia="Arial" w:hAnsi="Arial" w:cs="Arial"/>
                <w:sz w:val="20"/>
                <w:szCs w:val="20"/>
              </w:rPr>
              <w:t xml:space="preserve"> of eMERGE phase III is to sequence, interpret and return clinically relevant variants in 25,000 individuals using a NGS-based sequencing panel. The eMERGE III </w:t>
            </w:r>
            <w:proofErr w:type="spellStart"/>
            <w:r>
              <w:rPr>
                <w:rFonts w:ascii="Arial" w:eastAsia="Arial" w:hAnsi="Arial" w:cs="Arial"/>
                <w:sz w:val="20"/>
                <w:szCs w:val="20"/>
              </w:rPr>
              <w:t>Seq</w:t>
            </w:r>
            <w:proofErr w:type="spellEnd"/>
            <w:r>
              <w:rPr>
                <w:rFonts w:ascii="Arial" w:eastAsia="Arial" w:hAnsi="Arial" w:cs="Arial"/>
                <w:sz w:val="20"/>
                <w:szCs w:val="20"/>
              </w:rPr>
              <w:t xml:space="preserve"> panel was developed and validated by two CLIA laboratories</w:t>
            </w:r>
            <w:r>
              <w:rPr>
                <w:rFonts w:ascii="Arial" w:eastAsia="Arial" w:hAnsi="Arial" w:cs="Arial"/>
                <w:sz w:val="20"/>
                <w:szCs w:val="20"/>
              </w:rPr>
              <w:t xml:space="preserve"> and comprises the original 56 ACMG genes as well 53 genes and individual variants submitted for inclusion by participating sites. Comparable test performance and consistency in interpretation in reporting approaches are key to establishing equivalency acr</w:t>
            </w:r>
            <w:r>
              <w:rPr>
                <w:rFonts w:ascii="Arial" w:eastAsia="Arial" w:hAnsi="Arial" w:cs="Arial"/>
                <w:sz w:val="20"/>
                <w:szCs w:val="20"/>
              </w:rPr>
              <w:t xml:space="preserve">oss both centers. Here we describe the design and implementation of </w:t>
            </w:r>
            <w:proofErr w:type="gramStart"/>
            <w:r>
              <w:rPr>
                <w:rFonts w:ascii="Arial" w:eastAsia="Arial" w:hAnsi="Arial" w:cs="Arial"/>
                <w:sz w:val="20"/>
                <w:szCs w:val="20"/>
              </w:rPr>
              <w:t>the eMERGE</w:t>
            </w:r>
            <w:proofErr w:type="gramEnd"/>
            <w:r>
              <w:rPr>
                <w:rFonts w:ascii="Arial" w:eastAsia="Arial" w:hAnsi="Arial" w:cs="Arial"/>
                <w:sz w:val="20"/>
                <w:szCs w:val="20"/>
              </w:rPr>
              <w:t xml:space="preserve"> sequencing panel for eMERGE III. We aim to cover the entire process, in order to contextualize the many issues that have needed to be addressed in order to make a fully function</w:t>
            </w:r>
            <w:r>
              <w:rPr>
                <w:rFonts w:ascii="Arial" w:eastAsia="Arial" w:hAnsi="Arial" w:cs="Arial"/>
                <w:sz w:val="20"/>
                <w:szCs w:val="20"/>
              </w:rPr>
              <w:t xml:space="preserve">al data flow. This high-level manuscript is expected to complement some of the more detailed efforts in specific areas. </w:t>
            </w:r>
          </w:p>
          <w:p w:rsidR="006A7BC1" w:rsidRDefault="006A7BC1">
            <w:pPr>
              <w:rPr>
                <w:rFonts w:ascii="Arial" w:eastAsia="Arial" w:hAnsi="Arial" w:cs="Arial"/>
                <w:sz w:val="20"/>
                <w:szCs w:val="20"/>
              </w:rPr>
            </w:pPr>
          </w:p>
        </w:tc>
      </w:tr>
      <w:tr w:rsidR="006A7BC1">
        <w:trPr>
          <w:trHeight w:val="1240"/>
        </w:trPr>
        <w:tc>
          <w:tcPr>
            <w:tcW w:w="3078" w:type="dxa"/>
            <w:vAlign w:val="center"/>
          </w:tcPr>
          <w:p w:rsidR="006A7BC1" w:rsidRDefault="00CF34B9">
            <w:pPr>
              <w:rPr>
                <w:b/>
              </w:rPr>
            </w:pPr>
            <w:r>
              <w:rPr>
                <w:b/>
              </w:rPr>
              <w:t>Outline of Project</w:t>
            </w:r>
          </w:p>
        </w:tc>
        <w:tc>
          <w:tcPr>
            <w:tcW w:w="6480" w:type="dxa"/>
          </w:tcPr>
          <w:p w:rsidR="006A7BC1" w:rsidRDefault="00CF34B9">
            <w:pPr>
              <w:numPr>
                <w:ilvl w:val="0"/>
                <w:numId w:val="1"/>
              </w:numPr>
              <w:ind w:hanging="360"/>
              <w:contextualSpacing/>
              <w:rPr>
                <w:sz w:val="20"/>
                <w:szCs w:val="20"/>
              </w:rPr>
            </w:pPr>
            <w:r>
              <w:rPr>
                <w:rFonts w:ascii="Arial" w:eastAsia="Arial" w:hAnsi="Arial" w:cs="Arial"/>
                <w:sz w:val="20"/>
                <w:szCs w:val="20"/>
              </w:rPr>
              <w:t>Process for choosing content for the eMERGE sequencing panel: ACMG56 and Site’s Top6 and SNPs</w:t>
            </w:r>
          </w:p>
          <w:p w:rsidR="006A7BC1" w:rsidRDefault="00CF34B9">
            <w:pPr>
              <w:numPr>
                <w:ilvl w:val="1"/>
                <w:numId w:val="1"/>
              </w:numPr>
              <w:ind w:hanging="360"/>
              <w:contextualSpacing/>
              <w:rPr>
                <w:sz w:val="20"/>
                <w:szCs w:val="20"/>
              </w:rPr>
            </w:pPr>
            <w:r>
              <w:rPr>
                <w:rFonts w:ascii="Arial" w:eastAsia="Arial" w:hAnsi="Arial" w:cs="Arial"/>
                <w:sz w:val="20"/>
                <w:szCs w:val="20"/>
              </w:rPr>
              <w:t>Significant contribu</w:t>
            </w:r>
            <w:r>
              <w:rPr>
                <w:rFonts w:ascii="Arial" w:eastAsia="Arial" w:hAnsi="Arial" w:cs="Arial"/>
                <w:sz w:val="20"/>
                <w:szCs w:val="20"/>
              </w:rPr>
              <w:t>tors: Gail Jarvik, Adam Gordon</w:t>
            </w:r>
          </w:p>
          <w:p w:rsidR="006A7BC1" w:rsidRDefault="00CF34B9">
            <w:pPr>
              <w:numPr>
                <w:ilvl w:val="0"/>
                <w:numId w:val="1"/>
              </w:numPr>
              <w:ind w:hanging="360"/>
              <w:contextualSpacing/>
              <w:rPr>
                <w:sz w:val="20"/>
                <w:szCs w:val="20"/>
              </w:rPr>
            </w:pPr>
            <w:r>
              <w:rPr>
                <w:rFonts w:ascii="Arial" w:eastAsia="Arial" w:hAnsi="Arial" w:cs="Arial"/>
                <w:sz w:val="20"/>
                <w:szCs w:val="20"/>
              </w:rPr>
              <w:t>Analytical test design, validation, performance metric tracking</w:t>
            </w:r>
          </w:p>
          <w:p w:rsidR="006A7BC1" w:rsidRDefault="00CF34B9">
            <w:pPr>
              <w:numPr>
                <w:ilvl w:val="1"/>
                <w:numId w:val="1"/>
              </w:numPr>
              <w:ind w:hanging="360"/>
              <w:contextualSpacing/>
              <w:rPr>
                <w:sz w:val="20"/>
                <w:szCs w:val="20"/>
              </w:rPr>
            </w:pPr>
            <w:r>
              <w:rPr>
                <w:rFonts w:ascii="Arial" w:eastAsia="Arial" w:hAnsi="Arial" w:cs="Arial"/>
                <w:sz w:val="20"/>
                <w:szCs w:val="20"/>
              </w:rPr>
              <w:t xml:space="preserve">Significant contributors: Niall Lennon, Birgit Funke, Donna </w:t>
            </w:r>
            <w:proofErr w:type="spellStart"/>
            <w:r>
              <w:rPr>
                <w:rFonts w:ascii="Arial" w:eastAsia="Arial" w:hAnsi="Arial" w:cs="Arial"/>
                <w:sz w:val="20"/>
                <w:szCs w:val="20"/>
              </w:rPr>
              <w:t>Muzny</w:t>
            </w:r>
            <w:proofErr w:type="spellEnd"/>
            <w:r>
              <w:rPr>
                <w:rFonts w:ascii="Arial" w:eastAsia="Arial" w:hAnsi="Arial" w:cs="Arial"/>
                <w:sz w:val="20"/>
                <w:szCs w:val="20"/>
              </w:rPr>
              <w:t xml:space="preserve">, Kim Walker, </w:t>
            </w:r>
            <w:proofErr w:type="spellStart"/>
            <w:r>
              <w:rPr>
                <w:rFonts w:ascii="Arial" w:eastAsia="Arial" w:hAnsi="Arial" w:cs="Arial"/>
                <w:sz w:val="20"/>
                <w:szCs w:val="20"/>
              </w:rPr>
              <w:t>Jianhong</w:t>
            </w:r>
            <w:proofErr w:type="spellEnd"/>
            <w:r>
              <w:rPr>
                <w:rFonts w:ascii="Arial" w:eastAsia="Arial" w:hAnsi="Arial" w:cs="Arial"/>
                <w:sz w:val="20"/>
                <w:szCs w:val="20"/>
              </w:rPr>
              <w:t xml:space="preserve"> Hu</w:t>
            </w:r>
          </w:p>
          <w:p w:rsidR="006A7BC1" w:rsidRDefault="00CF34B9">
            <w:pPr>
              <w:numPr>
                <w:ilvl w:val="0"/>
                <w:numId w:val="1"/>
              </w:numPr>
              <w:ind w:hanging="360"/>
              <w:contextualSpacing/>
              <w:rPr>
                <w:sz w:val="20"/>
                <w:szCs w:val="20"/>
              </w:rPr>
            </w:pPr>
            <w:r>
              <w:rPr>
                <w:rFonts w:ascii="Arial" w:eastAsia="Arial" w:hAnsi="Arial" w:cs="Arial"/>
                <w:sz w:val="20"/>
                <w:szCs w:val="20"/>
              </w:rPr>
              <w:t>CNV Detection</w:t>
            </w:r>
          </w:p>
          <w:p w:rsidR="006A7BC1" w:rsidRDefault="00CF34B9">
            <w:pPr>
              <w:numPr>
                <w:ilvl w:val="1"/>
                <w:numId w:val="1"/>
              </w:numPr>
              <w:ind w:hanging="360"/>
              <w:contextualSpacing/>
              <w:rPr>
                <w:sz w:val="20"/>
                <w:szCs w:val="20"/>
              </w:rPr>
            </w:pPr>
            <w:r>
              <w:rPr>
                <w:rFonts w:ascii="Arial" w:eastAsia="Arial" w:hAnsi="Arial" w:cs="Arial"/>
                <w:sz w:val="20"/>
                <w:szCs w:val="20"/>
              </w:rPr>
              <w:t xml:space="preserve">Significant contributors: </w:t>
            </w:r>
          </w:p>
          <w:p w:rsidR="006A7BC1" w:rsidRDefault="00CF34B9">
            <w:pPr>
              <w:numPr>
                <w:ilvl w:val="0"/>
                <w:numId w:val="1"/>
              </w:numPr>
              <w:ind w:hanging="360"/>
              <w:contextualSpacing/>
              <w:rPr>
                <w:sz w:val="20"/>
                <w:szCs w:val="20"/>
              </w:rPr>
            </w:pPr>
            <w:r>
              <w:rPr>
                <w:rFonts w:ascii="Arial" w:eastAsia="Arial" w:hAnsi="Arial" w:cs="Arial"/>
                <w:sz w:val="20"/>
                <w:szCs w:val="20"/>
              </w:rPr>
              <w:t xml:space="preserve">Clinical validity </w:t>
            </w:r>
            <w:r>
              <w:rPr>
                <w:rFonts w:ascii="Arial" w:eastAsia="Arial" w:hAnsi="Arial" w:cs="Arial"/>
                <w:sz w:val="20"/>
                <w:szCs w:val="20"/>
              </w:rPr>
              <w:t>assessment for all genes and SNPs</w:t>
            </w:r>
          </w:p>
          <w:p w:rsidR="006A7BC1" w:rsidRDefault="00CF34B9">
            <w:pPr>
              <w:numPr>
                <w:ilvl w:val="1"/>
                <w:numId w:val="1"/>
              </w:numPr>
              <w:ind w:hanging="360"/>
              <w:contextualSpacing/>
              <w:rPr>
                <w:sz w:val="20"/>
                <w:szCs w:val="20"/>
              </w:rPr>
            </w:pPr>
            <w:r>
              <w:rPr>
                <w:rFonts w:ascii="Arial" w:eastAsia="Arial" w:hAnsi="Arial" w:cs="Arial"/>
                <w:sz w:val="20"/>
                <w:szCs w:val="20"/>
              </w:rPr>
              <w:t xml:space="preserve">Significant contributors: Emily </w:t>
            </w:r>
            <w:proofErr w:type="spellStart"/>
            <w:r>
              <w:rPr>
                <w:rFonts w:ascii="Arial" w:eastAsia="Arial" w:hAnsi="Arial" w:cs="Arial"/>
                <w:sz w:val="20"/>
                <w:szCs w:val="20"/>
              </w:rPr>
              <w:t>Kudalkar</w:t>
            </w:r>
            <w:proofErr w:type="spellEnd"/>
            <w:r>
              <w:rPr>
                <w:rFonts w:ascii="Arial" w:eastAsia="Arial" w:hAnsi="Arial" w:cs="Arial"/>
                <w:sz w:val="20"/>
                <w:szCs w:val="20"/>
              </w:rPr>
              <w:t xml:space="preserve">, Birgit Funke, Heidi Rehm, Gail Jarvik, Clinical Annotation WG, Magalie Leduc, Christine </w:t>
            </w:r>
            <w:proofErr w:type="spellStart"/>
            <w:r>
              <w:rPr>
                <w:rFonts w:ascii="Arial" w:eastAsia="Arial" w:hAnsi="Arial" w:cs="Arial"/>
                <w:sz w:val="20"/>
                <w:szCs w:val="20"/>
              </w:rPr>
              <w:t>Eng</w:t>
            </w:r>
            <w:proofErr w:type="spellEnd"/>
          </w:p>
          <w:p w:rsidR="006A7BC1" w:rsidRDefault="00CF34B9">
            <w:pPr>
              <w:numPr>
                <w:ilvl w:val="0"/>
                <w:numId w:val="1"/>
              </w:numPr>
              <w:ind w:hanging="360"/>
              <w:contextualSpacing/>
              <w:rPr>
                <w:sz w:val="20"/>
                <w:szCs w:val="20"/>
              </w:rPr>
            </w:pPr>
            <w:proofErr w:type="spellStart"/>
            <w:r>
              <w:rPr>
                <w:rFonts w:ascii="Arial" w:eastAsia="Arial" w:hAnsi="Arial" w:cs="Arial"/>
                <w:sz w:val="20"/>
                <w:szCs w:val="20"/>
              </w:rPr>
              <w:t>A</w:t>
            </w:r>
            <w:r>
              <w:rPr>
                <w:rFonts w:ascii="Arial" w:eastAsia="Arial" w:hAnsi="Arial" w:cs="Arial"/>
                <w:sz w:val="20"/>
                <w:szCs w:val="20"/>
              </w:rPr>
              <w:t>ctionability</w:t>
            </w:r>
            <w:proofErr w:type="spellEnd"/>
            <w:r>
              <w:rPr>
                <w:rFonts w:ascii="Arial" w:eastAsia="Arial" w:hAnsi="Arial" w:cs="Arial"/>
                <w:sz w:val="20"/>
                <w:szCs w:val="20"/>
              </w:rPr>
              <w:t xml:space="preserve"> </w:t>
            </w:r>
            <w:r>
              <w:rPr>
                <w:rFonts w:ascii="Arial" w:eastAsia="Arial" w:hAnsi="Arial" w:cs="Arial"/>
                <w:sz w:val="20"/>
                <w:szCs w:val="20"/>
              </w:rPr>
              <w:t>assessment for all genes and SNPs</w:t>
            </w:r>
          </w:p>
          <w:p w:rsidR="006A7BC1" w:rsidRDefault="00CF34B9">
            <w:pPr>
              <w:numPr>
                <w:ilvl w:val="1"/>
                <w:numId w:val="1"/>
              </w:numPr>
              <w:ind w:hanging="360"/>
              <w:contextualSpacing/>
              <w:rPr>
                <w:sz w:val="20"/>
                <w:szCs w:val="20"/>
              </w:rPr>
            </w:pPr>
            <w:r>
              <w:rPr>
                <w:rFonts w:ascii="Arial" w:eastAsia="Arial" w:hAnsi="Arial" w:cs="Arial"/>
                <w:sz w:val="20"/>
                <w:szCs w:val="20"/>
              </w:rPr>
              <w:t>Site-specific ROR plans</w:t>
            </w:r>
          </w:p>
          <w:p w:rsidR="006A7BC1" w:rsidRDefault="00CF34B9">
            <w:pPr>
              <w:numPr>
                <w:ilvl w:val="2"/>
                <w:numId w:val="1"/>
              </w:numPr>
              <w:ind w:hanging="360"/>
              <w:contextualSpacing/>
              <w:rPr>
                <w:rFonts w:ascii="Arial" w:eastAsia="Arial" w:hAnsi="Arial" w:cs="Arial"/>
                <w:sz w:val="20"/>
                <w:szCs w:val="20"/>
              </w:rPr>
            </w:pPr>
            <w:r>
              <w:rPr>
                <w:rFonts w:ascii="Arial" w:eastAsia="Arial" w:hAnsi="Arial" w:cs="Arial"/>
                <w:sz w:val="20"/>
                <w:szCs w:val="20"/>
              </w:rPr>
              <w:t>Mayo polygenic r</w:t>
            </w:r>
            <w:r>
              <w:rPr>
                <w:rFonts w:ascii="Arial" w:eastAsia="Arial" w:hAnsi="Arial" w:cs="Arial"/>
                <w:sz w:val="20"/>
                <w:szCs w:val="20"/>
              </w:rPr>
              <w:t>isk score</w:t>
            </w:r>
          </w:p>
          <w:p w:rsidR="006A7BC1" w:rsidRDefault="00CF34B9">
            <w:pPr>
              <w:numPr>
                <w:ilvl w:val="1"/>
                <w:numId w:val="1"/>
              </w:numPr>
              <w:ind w:hanging="360"/>
              <w:contextualSpacing/>
              <w:rPr>
                <w:sz w:val="20"/>
                <w:szCs w:val="20"/>
              </w:rPr>
            </w:pPr>
            <w:r>
              <w:rPr>
                <w:rFonts w:ascii="Arial" w:eastAsia="Arial" w:hAnsi="Arial" w:cs="Arial"/>
                <w:sz w:val="20"/>
                <w:szCs w:val="20"/>
              </w:rPr>
              <w:t xml:space="preserve">Significant contributors: Adam Gordon, Gail Jarvik, Hana Zouk, Birgit </w:t>
            </w:r>
            <w:proofErr w:type="spellStart"/>
            <w:r>
              <w:rPr>
                <w:rFonts w:ascii="Arial" w:eastAsia="Arial" w:hAnsi="Arial" w:cs="Arial"/>
                <w:sz w:val="20"/>
                <w:szCs w:val="20"/>
              </w:rPr>
              <w:t>Funke,Magalie</w:t>
            </w:r>
            <w:proofErr w:type="spellEnd"/>
            <w:r>
              <w:rPr>
                <w:rFonts w:ascii="Arial" w:eastAsia="Arial" w:hAnsi="Arial" w:cs="Arial"/>
                <w:sz w:val="20"/>
                <w:szCs w:val="20"/>
              </w:rPr>
              <w:t xml:space="preserve"> Leduc, Clinical </w:t>
            </w:r>
            <w:r>
              <w:rPr>
                <w:rFonts w:ascii="Arial" w:eastAsia="Arial" w:hAnsi="Arial" w:cs="Arial"/>
                <w:sz w:val="20"/>
                <w:szCs w:val="20"/>
              </w:rPr>
              <w:lastRenderedPageBreak/>
              <w:t>Annotation WG</w:t>
            </w:r>
          </w:p>
          <w:p w:rsidR="006A7BC1" w:rsidRDefault="00CF34B9">
            <w:pPr>
              <w:numPr>
                <w:ilvl w:val="0"/>
                <w:numId w:val="1"/>
              </w:numPr>
              <w:ind w:hanging="360"/>
              <w:contextualSpacing/>
              <w:rPr>
                <w:sz w:val="20"/>
                <w:szCs w:val="20"/>
              </w:rPr>
            </w:pPr>
            <w:r>
              <w:rPr>
                <w:rFonts w:ascii="Arial" w:eastAsia="Arial" w:hAnsi="Arial" w:cs="Arial"/>
                <w:sz w:val="20"/>
                <w:szCs w:val="20"/>
              </w:rPr>
              <w:t>P</w:t>
            </w:r>
            <w:r>
              <w:rPr>
                <w:rFonts w:ascii="Arial" w:eastAsia="Arial" w:hAnsi="Arial" w:cs="Arial"/>
                <w:sz w:val="20"/>
                <w:szCs w:val="20"/>
              </w:rPr>
              <w:t xml:space="preserve">re-test launch and post-launch variant </w:t>
            </w:r>
            <w:r>
              <w:rPr>
                <w:rFonts w:ascii="Arial" w:eastAsia="Arial" w:hAnsi="Arial" w:cs="Arial"/>
                <w:sz w:val="20"/>
                <w:szCs w:val="20"/>
              </w:rPr>
              <w:t>interpretation</w:t>
            </w:r>
            <w:r>
              <w:rPr>
                <w:rFonts w:ascii="Arial" w:eastAsia="Arial" w:hAnsi="Arial" w:cs="Arial"/>
                <w:sz w:val="20"/>
                <w:szCs w:val="20"/>
              </w:rPr>
              <w:t xml:space="preserve"> harmonization </w:t>
            </w:r>
            <w:r>
              <w:rPr>
                <w:rFonts w:ascii="Arial" w:eastAsia="Arial" w:hAnsi="Arial" w:cs="Arial"/>
                <w:sz w:val="20"/>
                <w:szCs w:val="20"/>
              </w:rPr>
              <w:t xml:space="preserve">approaches </w:t>
            </w:r>
            <w:r>
              <w:rPr>
                <w:rFonts w:ascii="Arial" w:eastAsia="Arial" w:hAnsi="Arial" w:cs="Arial"/>
                <w:sz w:val="20"/>
                <w:szCs w:val="20"/>
              </w:rPr>
              <w:t>across CSGs to ensure and maintain consistency in va</w:t>
            </w:r>
            <w:r>
              <w:rPr>
                <w:rFonts w:ascii="Arial" w:eastAsia="Arial" w:hAnsi="Arial" w:cs="Arial"/>
                <w:sz w:val="20"/>
                <w:szCs w:val="20"/>
              </w:rPr>
              <w:t>riant interpretation</w:t>
            </w:r>
          </w:p>
          <w:p w:rsidR="006A7BC1" w:rsidRDefault="00CF34B9">
            <w:pPr>
              <w:numPr>
                <w:ilvl w:val="1"/>
                <w:numId w:val="1"/>
              </w:numPr>
              <w:ind w:hanging="360"/>
              <w:contextualSpacing/>
              <w:rPr>
                <w:rFonts w:ascii="Arial" w:eastAsia="Arial" w:hAnsi="Arial" w:cs="Arial"/>
                <w:sz w:val="20"/>
                <w:szCs w:val="20"/>
              </w:rPr>
            </w:pPr>
            <w:r>
              <w:rPr>
                <w:rFonts w:ascii="Arial" w:eastAsia="Arial" w:hAnsi="Arial" w:cs="Arial"/>
                <w:sz w:val="20"/>
                <w:szCs w:val="20"/>
              </w:rPr>
              <w:t>Significant contributors: Hana Zouk, Birgit Funke, Heidi Rehm, Clinical Annotation WG, Magalie Leduc, Eric Venner</w:t>
            </w:r>
          </w:p>
          <w:p w:rsidR="006A7BC1" w:rsidRDefault="00CF34B9">
            <w:pPr>
              <w:numPr>
                <w:ilvl w:val="0"/>
                <w:numId w:val="1"/>
              </w:numPr>
              <w:ind w:hanging="360"/>
              <w:contextualSpacing/>
              <w:rPr>
                <w:sz w:val="20"/>
                <w:szCs w:val="20"/>
              </w:rPr>
            </w:pPr>
            <w:r>
              <w:rPr>
                <w:rFonts w:ascii="Arial" w:eastAsia="Arial" w:hAnsi="Arial" w:cs="Arial"/>
                <w:sz w:val="20"/>
                <w:szCs w:val="20"/>
              </w:rPr>
              <w:t>A</w:t>
            </w:r>
            <w:r>
              <w:rPr>
                <w:rFonts w:ascii="Arial" w:eastAsia="Arial" w:hAnsi="Arial" w:cs="Arial"/>
                <w:sz w:val="20"/>
                <w:szCs w:val="20"/>
              </w:rPr>
              <w:t>pproaches for return of PGx data to sites</w:t>
            </w:r>
          </w:p>
          <w:p w:rsidR="006A7BC1" w:rsidRDefault="00CF34B9">
            <w:pPr>
              <w:numPr>
                <w:ilvl w:val="1"/>
                <w:numId w:val="1"/>
              </w:numPr>
              <w:ind w:hanging="360"/>
              <w:contextualSpacing/>
              <w:rPr>
                <w:rFonts w:ascii="Arial" w:eastAsia="Arial" w:hAnsi="Arial" w:cs="Arial"/>
                <w:sz w:val="20"/>
                <w:szCs w:val="20"/>
              </w:rPr>
            </w:pPr>
            <w:r>
              <w:rPr>
                <w:rFonts w:ascii="Arial" w:eastAsia="Arial" w:hAnsi="Arial" w:cs="Arial"/>
                <w:sz w:val="20"/>
                <w:szCs w:val="20"/>
              </w:rPr>
              <w:t xml:space="preserve">Significant contributors: Hana Zouk, Birgit Funke, Barb </w:t>
            </w:r>
            <w:proofErr w:type="spellStart"/>
            <w:r>
              <w:rPr>
                <w:rFonts w:ascii="Arial" w:eastAsia="Arial" w:hAnsi="Arial" w:cs="Arial"/>
                <w:sz w:val="20"/>
                <w:szCs w:val="20"/>
              </w:rPr>
              <w:t>Klanderman</w:t>
            </w:r>
            <w:proofErr w:type="spellEnd"/>
            <w:r>
              <w:rPr>
                <w:rFonts w:ascii="Arial" w:eastAsia="Arial" w:hAnsi="Arial" w:cs="Arial"/>
                <w:sz w:val="20"/>
                <w:szCs w:val="20"/>
              </w:rPr>
              <w:t>, Magalie Le</w:t>
            </w:r>
            <w:r>
              <w:rPr>
                <w:rFonts w:ascii="Arial" w:eastAsia="Arial" w:hAnsi="Arial" w:cs="Arial"/>
                <w:sz w:val="20"/>
                <w:szCs w:val="20"/>
              </w:rPr>
              <w:t xml:space="preserve">duc, Eric Venner, Donna </w:t>
            </w:r>
            <w:proofErr w:type="spellStart"/>
            <w:r>
              <w:rPr>
                <w:rFonts w:ascii="Arial" w:eastAsia="Arial" w:hAnsi="Arial" w:cs="Arial"/>
                <w:sz w:val="20"/>
                <w:szCs w:val="20"/>
              </w:rPr>
              <w:t>Muzny</w:t>
            </w:r>
            <w:proofErr w:type="spellEnd"/>
            <w:r>
              <w:rPr>
                <w:rFonts w:ascii="Arial" w:eastAsia="Arial" w:hAnsi="Arial" w:cs="Arial"/>
                <w:sz w:val="20"/>
                <w:szCs w:val="20"/>
              </w:rPr>
              <w:t>, Richard Gibbs, Steve Scherer,</w:t>
            </w:r>
          </w:p>
          <w:p w:rsidR="006A7BC1" w:rsidRDefault="00CF34B9">
            <w:pPr>
              <w:numPr>
                <w:ilvl w:val="0"/>
                <w:numId w:val="1"/>
              </w:numPr>
              <w:ind w:hanging="360"/>
              <w:contextualSpacing/>
              <w:rPr>
                <w:rFonts w:ascii="Arial" w:eastAsia="Arial" w:hAnsi="Arial" w:cs="Arial"/>
                <w:sz w:val="20"/>
                <w:szCs w:val="20"/>
              </w:rPr>
            </w:pPr>
            <w:r>
              <w:rPr>
                <w:rFonts w:ascii="Arial" w:eastAsia="Arial" w:hAnsi="Arial" w:cs="Arial"/>
                <w:sz w:val="20"/>
                <w:szCs w:val="20"/>
              </w:rPr>
              <w:t xml:space="preserve">Data Delivery - </w:t>
            </w:r>
          </w:p>
          <w:p w:rsidR="006A7BC1" w:rsidRDefault="00CF34B9">
            <w:pPr>
              <w:numPr>
                <w:ilvl w:val="1"/>
                <w:numId w:val="1"/>
              </w:numPr>
              <w:ind w:hanging="360"/>
              <w:contextualSpacing/>
              <w:rPr>
                <w:rFonts w:ascii="Arial" w:eastAsia="Arial" w:hAnsi="Arial" w:cs="Arial"/>
                <w:sz w:val="20"/>
                <w:szCs w:val="20"/>
              </w:rPr>
            </w:pPr>
            <w:r>
              <w:rPr>
                <w:rFonts w:ascii="Arial" w:eastAsia="Arial" w:hAnsi="Arial" w:cs="Arial"/>
                <w:sz w:val="20"/>
                <w:szCs w:val="20"/>
              </w:rPr>
              <w:t xml:space="preserve">research; raw data </w:t>
            </w:r>
          </w:p>
          <w:p w:rsidR="006A7BC1" w:rsidRDefault="00CF34B9">
            <w:pPr>
              <w:numPr>
                <w:ilvl w:val="1"/>
                <w:numId w:val="1"/>
              </w:numPr>
              <w:ind w:hanging="360"/>
              <w:contextualSpacing/>
              <w:rPr>
                <w:rFonts w:ascii="Arial" w:eastAsia="Arial" w:hAnsi="Arial" w:cs="Arial"/>
                <w:sz w:val="20"/>
                <w:szCs w:val="20"/>
              </w:rPr>
            </w:pPr>
            <w:r>
              <w:rPr>
                <w:rFonts w:ascii="Arial" w:eastAsia="Arial" w:hAnsi="Arial" w:cs="Arial"/>
                <w:sz w:val="20"/>
                <w:szCs w:val="20"/>
              </w:rPr>
              <w:t>clinical; EHR integration</w:t>
            </w:r>
          </w:p>
          <w:p w:rsidR="006A7BC1" w:rsidRDefault="00CF34B9">
            <w:pPr>
              <w:numPr>
                <w:ilvl w:val="1"/>
                <w:numId w:val="1"/>
              </w:numPr>
              <w:ind w:hanging="360"/>
              <w:contextualSpacing/>
              <w:rPr>
                <w:rFonts w:ascii="Arial" w:eastAsia="Arial" w:hAnsi="Arial" w:cs="Arial"/>
                <w:sz w:val="20"/>
                <w:szCs w:val="20"/>
              </w:rPr>
            </w:pPr>
            <w:r>
              <w:rPr>
                <w:rFonts w:ascii="Arial" w:eastAsia="Arial" w:hAnsi="Arial" w:cs="Arial"/>
                <w:sz w:val="20"/>
                <w:szCs w:val="20"/>
              </w:rPr>
              <w:t>bridging research and clinical</w:t>
            </w:r>
          </w:p>
          <w:p w:rsidR="006A7BC1" w:rsidRDefault="00CF34B9">
            <w:pPr>
              <w:numPr>
                <w:ilvl w:val="1"/>
                <w:numId w:val="1"/>
              </w:numPr>
              <w:ind w:hanging="360"/>
              <w:contextualSpacing/>
              <w:rPr>
                <w:sz w:val="20"/>
                <w:szCs w:val="20"/>
              </w:rPr>
            </w:pPr>
            <w:r>
              <w:rPr>
                <w:rFonts w:ascii="Arial" w:eastAsia="Arial" w:hAnsi="Arial" w:cs="Arial"/>
                <w:sz w:val="20"/>
                <w:szCs w:val="20"/>
              </w:rPr>
              <w:t>Significant contributors: Larry Babb, Sandy Aronson, EHR WG, Eric Venner, Richard Gibbs, Darren Ames,</w:t>
            </w:r>
            <w:r>
              <w:rPr>
                <w:rFonts w:ascii="Arial" w:eastAsia="Arial" w:hAnsi="Arial" w:cs="Arial"/>
                <w:sz w:val="20"/>
                <w:szCs w:val="20"/>
              </w:rPr>
              <w:t xml:space="preserve"> </w:t>
            </w:r>
            <w:proofErr w:type="spellStart"/>
            <w:r>
              <w:rPr>
                <w:rFonts w:ascii="Arial" w:eastAsia="Arial" w:hAnsi="Arial" w:cs="Arial"/>
                <w:sz w:val="20"/>
                <w:szCs w:val="20"/>
              </w:rPr>
              <w:t>Mullai</w:t>
            </w:r>
            <w:proofErr w:type="spellEnd"/>
            <w:r>
              <w:rPr>
                <w:rFonts w:ascii="Arial" w:eastAsia="Arial" w:hAnsi="Arial" w:cs="Arial"/>
                <w:sz w:val="20"/>
                <w:szCs w:val="20"/>
              </w:rPr>
              <w:t xml:space="preserve"> </w:t>
            </w:r>
            <w:proofErr w:type="spellStart"/>
            <w:r>
              <w:rPr>
                <w:rFonts w:ascii="Arial" w:eastAsia="Arial" w:hAnsi="Arial" w:cs="Arial"/>
                <w:sz w:val="20"/>
                <w:szCs w:val="20"/>
              </w:rPr>
              <w:t>Murugan</w:t>
            </w:r>
            <w:proofErr w:type="spellEnd"/>
            <w:r>
              <w:rPr>
                <w:rFonts w:ascii="Arial" w:eastAsia="Arial" w:hAnsi="Arial" w:cs="Arial"/>
                <w:sz w:val="20"/>
                <w:szCs w:val="20"/>
              </w:rPr>
              <w:t>, William Salerno</w:t>
            </w:r>
          </w:p>
          <w:p w:rsidR="006A7BC1" w:rsidRDefault="00CF34B9">
            <w:pPr>
              <w:numPr>
                <w:ilvl w:val="0"/>
                <w:numId w:val="1"/>
              </w:numPr>
              <w:ind w:hanging="360"/>
              <w:contextualSpacing/>
              <w:rPr>
                <w:sz w:val="20"/>
                <w:szCs w:val="20"/>
              </w:rPr>
            </w:pPr>
            <w:r>
              <w:rPr>
                <w:rFonts w:ascii="Arial" w:eastAsia="Arial" w:hAnsi="Arial" w:cs="Arial"/>
                <w:sz w:val="20"/>
                <w:szCs w:val="20"/>
              </w:rPr>
              <w:t xml:space="preserve">Discuss range of sequencing results being returned to patients including </w:t>
            </w:r>
            <w:r>
              <w:rPr>
                <w:rFonts w:ascii="Arial" w:eastAsia="Arial" w:hAnsi="Arial" w:cs="Arial"/>
                <w:sz w:val="20"/>
                <w:szCs w:val="20"/>
              </w:rPr>
              <w:t xml:space="preserve">Indication-based returnable results, non-indication-based consensus returnable results, and </w:t>
            </w:r>
            <w:proofErr w:type="spellStart"/>
            <w:r>
              <w:rPr>
                <w:rFonts w:ascii="Arial" w:eastAsia="Arial" w:hAnsi="Arial" w:cs="Arial"/>
                <w:sz w:val="20"/>
                <w:szCs w:val="20"/>
              </w:rPr>
              <w:t>non indication</w:t>
            </w:r>
            <w:proofErr w:type="spellEnd"/>
            <w:r>
              <w:rPr>
                <w:rFonts w:ascii="Arial" w:eastAsia="Arial" w:hAnsi="Arial" w:cs="Arial"/>
                <w:sz w:val="20"/>
                <w:szCs w:val="20"/>
              </w:rPr>
              <w:t>-based site-specific returnable results.</w:t>
            </w:r>
          </w:p>
          <w:p w:rsidR="006A7BC1" w:rsidRDefault="00CF34B9">
            <w:pPr>
              <w:numPr>
                <w:ilvl w:val="1"/>
                <w:numId w:val="1"/>
              </w:numPr>
              <w:ind w:hanging="360"/>
              <w:contextualSpacing/>
              <w:rPr>
                <w:rFonts w:ascii="Arial" w:eastAsia="Arial" w:hAnsi="Arial" w:cs="Arial"/>
                <w:sz w:val="20"/>
                <w:szCs w:val="20"/>
              </w:rPr>
            </w:pPr>
            <w:r>
              <w:rPr>
                <w:rFonts w:ascii="Arial" w:eastAsia="Arial" w:hAnsi="Arial" w:cs="Arial"/>
                <w:sz w:val="20"/>
                <w:szCs w:val="20"/>
              </w:rPr>
              <w:t xml:space="preserve">Significant contributors: Hana Zouk, Heidi Rehm, Magalie Leduc, Christine </w:t>
            </w:r>
            <w:proofErr w:type="spellStart"/>
            <w:r>
              <w:rPr>
                <w:rFonts w:ascii="Arial" w:eastAsia="Arial" w:hAnsi="Arial" w:cs="Arial"/>
                <w:sz w:val="20"/>
                <w:szCs w:val="20"/>
              </w:rPr>
              <w:t>Eng</w:t>
            </w:r>
            <w:proofErr w:type="spellEnd"/>
            <w:r>
              <w:rPr>
                <w:rFonts w:ascii="Arial" w:eastAsia="Arial" w:hAnsi="Arial" w:cs="Arial"/>
                <w:sz w:val="20"/>
                <w:szCs w:val="20"/>
              </w:rPr>
              <w:t xml:space="preserve">, </w:t>
            </w:r>
            <w:proofErr w:type="spellStart"/>
            <w:r>
              <w:rPr>
                <w:rFonts w:ascii="Arial" w:eastAsia="Arial" w:hAnsi="Arial" w:cs="Arial"/>
                <w:sz w:val="20"/>
                <w:szCs w:val="20"/>
              </w:rPr>
              <w:t>Yaping</w:t>
            </w:r>
            <w:proofErr w:type="spellEnd"/>
            <w:r>
              <w:rPr>
                <w:rFonts w:ascii="Arial" w:eastAsia="Arial" w:hAnsi="Arial" w:cs="Arial"/>
                <w:sz w:val="20"/>
                <w:szCs w:val="20"/>
              </w:rPr>
              <w:t xml:space="preserve"> Yang, </w:t>
            </w:r>
            <w:proofErr w:type="spellStart"/>
            <w:r>
              <w:rPr>
                <w:rFonts w:ascii="Arial" w:eastAsia="Arial" w:hAnsi="Arial" w:cs="Arial"/>
                <w:sz w:val="20"/>
                <w:szCs w:val="20"/>
              </w:rPr>
              <w:t>Yunyun</w:t>
            </w:r>
            <w:proofErr w:type="spellEnd"/>
            <w:r>
              <w:rPr>
                <w:rFonts w:ascii="Arial" w:eastAsia="Arial" w:hAnsi="Arial" w:cs="Arial"/>
                <w:sz w:val="20"/>
                <w:szCs w:val="20"/>
              </w:rPr>
              <w:t xml:space="preserve"> Jiang</w:t>
            </w:r>
          </w:p>
          <w:p w:rsidR="006A7BC1" w:rsidRDefault="006A7BC1">
            <w:pPr>
              <w:ind w:left="720"/>
              <w:rPr>
                <w:rFonts w:ascii="Arial" w:eastAsia="Arial" w:hAnsi="Arial" w:cs="Arial"/>
                <w:sz w:val="20"/>
                <w:szCs w:val="20"/>
              </w:rPr>
            </w:pPr>
          </w:p>
        </w:tc>
      </w:tr>
      <w:tr w:rsidR="006A7BC1">
        <w:trPr>
          <w:trHeight w:val="1160"/>
        </w:trPr>
        <w:tc>
          <w:tcPr>
            <w:tcW w:w="3078" w:type="dxa"/>
            <w:vAlign w:val="center"/>
          </w:tcPr>
          <w:p w:rsidR="006A7BC1" w:rsidRDefault="00CF34B9">
            <w:pPr>
              <w:rPr>
                <w:b/>
              </w:rPr>
            </w:pPr>
            <w:r>
              <w:rPr>
                <w:b/>
              </w:rPr>
              <w:lastRenderedPageBreak/>
              <w:t>Desired</w:t>
            </w:r>
          </w:p>
          <w:p w:rsidR="006A7BC1" w:rsidRDefault="00CF34B9">
            <w:pPr>
              <w:rPr>
                <w:b/>
              </w:rPr>
            </w:pPr>
            <w:r>
              <w:rPr>
                <w:b/>
              </w:rPr>
              <w:t xml:space="preserve">Variables </w:t>
            </w:r>
          </w:p>
          <w:p w:rsidR="006A7BC1" w:rsidRDefault="00CF34B9">
            <w:pPr>
              <w:rPr>
                <w:b/>
                <w:sz w:val="16"/>
                <w:szCs w:val="16"/>
              </w:rPr>
            </w:pPr>
            <w:r>
              <w:rPr>
                <w:b/>
                <w:sz w:val="16"/>
                <w:szCs w:val="16"/>
              </w:rPr>
              <w:t>(essential for analysis</w:t>
            </w:r>
          </w:p>
          <w:p w:rsidR="006A7BC1" w:rsidRDefault="00CF34B9">
            <w:pPr>
              <w:rPr>
                <w:b/>
              </w:rPr>
            </w:pPr>
            <w:r>
              <w:rPr>
                <w:b/>
                <w:sz w:val="16"/>
                <w:szCs w:val="16"/>
              </w:rPr>
              <w:t>indicated by *)</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Analytical test validation parameters</w:t>
            </w:r>
          </w:p>
          <w:p w:rsidR="006A7BC1" w:rsidRDefault="00CF34B9">
            <w:pPr>
              <w:rPr>
                <w:rFonts w:ascii="Arial" w:eastAsia="Arial" w:hAnsi="Arial" w:cs="Arial"/>
                <w:sz w:val="20"/>
                <w:szCs w:val="20"/>
              </w:rPr>
            </w:pPr>
            <w:r>
              <w:rPr>
                <w:rFonts w:ascii="Arial" w:eastAsia="Arial" w:hAnsi="Arial" w:cs="Arial"/>
                <w:sz w:val="20"/>
                <w:szCs w:val="20"/>
              </w:rPr>
              <w:t>Gene-disease strength of association for each panel gene</w:t>
            </w:r>
          </w:p>
          <w:p w:rsidR="006A7BC1" w:rsidRDefault="00CF34B9">
            <w:pPr>
              <w:rPr>
                <w:rFonts w:ascii="Arial" w:eastAsia="Arial" w:hAnsi="Arial" w:cs="Arial"/>
                <w:sz w:val="20"/>
                <w:szCs w:val="20"/>
              </w:rPr>
            </w:pPr>
            <w:r>
              <w:rPr>
                <w:rFonts w:ascii="Arial" w:eastAsia="Arial" w:hAnsi="Arial" w:cs="Arial"/>
                <w:sz w:val="20"/>
                <w:szCs w:val="20"/>
              </w:rPr>
              <w:t>SNV pathogenicity</w:t>
            </w:r>
            <w:r>
              <w:rPr>
                <w:rFonts w:ascii="Arial" w:eastAsia="Arial" w:hAnsi="Arial" w:cs="Arial"/>
                <w:b/>
                <w:sz w:val="20"/>
                <w:szCs w:val="20"/>
              </w:rPr>
              <w:t xml:space="preserve"> </w:t>
            </w:r>
            <w:r>
              <w:rPr>
                <w:rFonts w:ascii="Arial" w:eastAsia="Arial" w:hAnsi="Arial" w:cs="Arial"/>
                <w:sz w:val="20"/>
                <w:szCs w:val="20"/>
              </w:rPr>
              <w:t>calls for designed panel</w:t>
            </w:r>
          </w:p>
          <w:p w:rsidR="006A7BC1" w:rsidRDefault="00CF34B9">
            <w:pPr>
              <w:rPr>
                <w:rFonts w:ascii="Arial" w:eastAsia="Arial" w:hAnsi="Arial" w:cs="Arial"/>
                <w:sz w:val="20"/>
                <w:szCs w:val="20"/>
              </w:rPr>
            </w:pPr>
            <w:r>
              <w:rPr>
                <w:rFonts w:ascii="Arial" w:eastAsia="Arial" w:hAnsi="Arial" w:cs="Arial"/>
                <w:sz w:val="20"/>
                <w:szCs w:val="20"/>
              </w:rPr>
              <w:t>CSG interpretations for variants in genes</w:t>
            </w:r>
          </w:p>
          <w:p w:rsidR="006A7BC1" w:rsidRDefault="006A7BC1">
            <w:pPr>
              <w:rPr>
                <w:rFonts w:ascii="Arial" w:eastAsia="Arial" w:hAnsi="Arial" w:cs="Arial"/>
                <w:sz w:val="20"/>
                <w:szCs w:val="20"/>
              </w:rPr>
            </w:pPr>
          </w:p>
        </w:tc>
      </w:tr>
      <w:tr w:rsidR="006A7BC1">
        <w:trPr>
          <w:trHeight w:val="700"/>
        </w:trPr>
        <w:tc>
          <w:tcPr>
            <w:tcW w:w="3078" w:type="dxa"/>
            <w:vAlign w:val="center"/>
          </w:tcPr>
          <w:p w:rsidR="006A7BC1" w:rsidRDefault="00CF34B9">
            <w:pPr>
              <w:rPr>
                <w:b/>
              </w:rPr>
            </w:pPr>
            <w:r>
              <w:rPr>
                <w:b/>
              </w:rPr>
              <w:t>Desired Data</w:t>
            </w:r>
          </w:p>
        </w:tc>
        <w:tc>
          <w:tcPr>
            <w:tcW w:w="6480" w:type="dxa"/>
          </w:tcPr>
          <w:p w:rsidR="006A7BC1" w:rsidRDefault="00CF34B9">
            <w:pPr>
              <w:rPr>
                <w:rFonts w:ascii="Arial" w:eastAsia="Arial" w:hAnsi="Arial" w:cs="Arial"/>
                <w:sz w:val="20"/>
                <w:szCs w:val="20"/>
              </w:rPr>
            </w:pPr>
            <w:r>
              <w:rPr>
                <w:rFonts w:ascii="Arial" w:eastAsia="Arial" w:hAnsi="Arial" w:cs="Arial"/>
                <w:sz w:val="20"/>
                <w:szCs w:val="20"/>
              </w:rPr>
              <w:t>Data from variables listed above - all available from CSGs and Clinical Annotation WG</w:t>
            </w:r>
          </w:p>
        </w:tc>
      </w:tr>
      <w:tr w:rsidR="006A7BC1">
        <w:trPr>
          <w:trHeight w:val="800"/>
        </w:trPr>
        <w:tc>
          <w:tcPr>
            <w:tcW w:w="3078" w:type="dxa"/>
            <w:vAlign w:val="center"/>
          </w:tcPr>
          <w:p w:rsidR="006A7BC1" w:rsidRDefault="00CF34B9">
            <w:pPr>
              <w:rPr>
                <w:b/>
              </w:rPr>
            </w:pPr>
            <w:r>
              <w:rPr>
                <w:b/>
              </w:rPr>
              <w:t>Planned Statistical Analyses</w:t>
            </w:r>
          </w:p>
        </w:tc>
        <w:tc>
          <w:tcPr>
            <w:tcW w:w="6480" w:type="dxa"/>
          </w:tcPr>
          <w:p w:rsidR="006A7BC1" w:rsidRDefault="006A7BC1">
            <w:pPr>
              <w:rPr>
                <w:rFonts w:ascii="Arial" w:eastAsia="Arial" w:hAnsi="Arial" w:cs="Arial"/>
                <w:sz w:val="20"/>
                <w:szCs w:val="20"/>
              </w:rPr>
            </w:pPr>
          </w:p>
          <w:p w:rsidR="006A7BC1" w:rsidRDefault="00CF34B9">
            <w:pPr>
              <w:rPr>
                <w:rFonts w:ascii="Arial" w:eastAsia="Arial" w:hAnsi="Arial" w:cs="Arial"/>
                <w:sz w:val="20"/>
                <w:szCs w:val="20"/>
              </w:rPr>
            </w:pPr>
            <w:r>
              <w:rPr>
                <w:rFonts w:ascii="Arial" w:eastAsia="Arial" w:hAnsi="Arial" w:cs="Arial"/>
                <w:sz w:val="20"/>
                <w:szCs w:val="20"/>
              </w:rPr>
              <w:t>TBD</w:t>
            </w:r>
          </w:p>
        </w:tc>
      </w:tr>
      <w:tr w:rsidR="006A7BC1">
        <w:trPr>
          <w:trHeight w:val="1260"/>
        </w:trPr>
        <w:tc>
          <w:tcPr>
            <w:tcW w:w="3078" w:type="dxa"/>
            <w:vAlign w:val="center"/>
          </w:tcPr>
          <w:p w:rsidR="006A7BC1" w:rsidRDefault="00CF34B9">
            <w:pPr>
              <w:rPr>
                <w:b/>
              </w:rPr>
            </w:pPr>
            <w:r>
              <w:rPr>
                <w:b/>
              </w:rPr>
              <w:t>Ethical considerations</w:t>
            </w:r>
          </w:p>
        </w:tc>
        <w:tc>
          <w:tcPr>
            <w:tcW w:w="6480" w:type="dxa"/>
          </w:tcPr>
          <w:p w:rsidR="006A7BC1" w:rsidRDefault="006A7BC1">
            <w:pPr>
              <w:rPr>
                <w:rFonts w:ascii="Arial" w:eastAsia="Arial" w:hAnsi="Arial" w:cs="Arial"/>
                <w:sz w:val="20"/>
                <w:szCs w:val="20"/>
              </w:rPr>
            </w:pPr>
          </w:p>
          <w:p w:rsidR="006A7BC1" w:rsidRDefault="00CF34B9">
            <w:pPr>
              <w:rPr>
                <w:rFonts w:ascii="Arial" w:eastAsia="Arial" w:hAnsi="Arial" w:cs="Arial"/>
                <w:sz w:val="20"/>
                <w:szCs w:val="20"/>
              </w:rPr>
            </w:pPr>
            <w:r>
              <w:rPr>
                <w:rFonts w:ascii="Arial" w:eastAsia="Arial" w:hAnsi="Arial" w:cs="Arial"/>
                <w:sz w:val="20"/>
                <w:szCs w:val="20"/>
              </w:rPr>
              <w:t>none</w:t>
            </w:r>
          </w:p>
        </w:tc>
      </w:tr>
      <w:tr w:rsidR="006A7BC1">
        <w:trPr>
          <w:trHeight w:val="340"/>
        </w:trPr>
        <w:tc>
          <w:tcPr>
            <w:tcW w:w="3078" w:type="dxa"/>
            <w:vAlign w:val="center"/>
          </w:tcPr>
          <w:p w:rsidR="006A7BC1" w:rsidRDefault="00CF34B9">
            <w:pPr>
              <w:rPr>
                <w:b/>
              </w:rPr>
            </w:pPr>
            <w:r>
              <w:rPr>
                <w:b/>
              </w:rPr>
              <w:t>Target Journal</w:t>
            </w:r>
          </w:p>
        </w:tc>
        <w:tc>
          <w:tcPr>
            <w:tcW w:w="6480" w:type="dxa"/>
          </w:tcPr>
          <w:p w:rsidR="006A7BC1" w:rsidRDefault="00CF34B9">
            <w:pPr>
              <w:rPr>
                <w:rFonts w:ascii="Arial" w:eastAsia="Arial" w:hAnsi="Arial" w:cs="Arial"/>
                <w:sz w:val="20"/>
                <w:szCs w:val="20"/>
              </w:rPr>
            </w:pPr>
            <w:bookmarkStart w:id="0" w:name="_GoBack"/>
            <w:r>
              <w:rPr>
                <w:rFonts w:ascii="Arial" w:eastAsia="Arial" w:hAnsi="Arial" w:cs="Arial"/>
                <w:sz w:val="20"/>
                <w:szCs w:val="20"/>
              </w:rPr>
              <w:t>Science Translational Medicine (1st)</w:t>
            </w:r>
          </w:p>
          <w:p w:rsidR="006A7BC1" w:rsidRDefault="00CF34B9">
            <w:pPr>
              <w:rPr>
                <w:rFonts w:ascii="Arial" w:eastAsia="Arial" w:hAnsi="Arial" w:cs="Arial"/>
                <w:sz w:val="20"/>
                <w:szCs w:val="20"/>
              </w:rPr>
            </w:pPr>
            <w:r>
              <w:rPr>
                <w:rFonts w:ascii="Arial" w:eastAsia="Arial" w:hAnsi="Arial" w:cs="Arial"/>
                <w:sz w:val="20"/>
                <w:szCs w:val="20"/>
              </w:rPr>
              <w:t>AJHG (2nd)</w:t>
            </w:r>
          </w:p>
          <w:p w:rsidR="006A7BC1" w:rsidRDefault="00CF34B9">
            <w:pPr>
              <w:rPr>
                <w:rFonts w:ascii="Arial" w:eastAsia="Arial" w:hAnsi="Arial" w:cs="Arial"/>
                <w:sz w:val="20"/>
                <w:szCs w:val="20"/>
              </w:rPr>
            </w:pPr>
            <w:r>
              <w:rPr>
                <w:rFonts w:ascii="Arial" w:eastAsia="Arial" w:hAnsi="Arial" w:cs="Arial"/>
                <w:sz w:val="20"/>
                <w:szCs w:val="20"/>
              </w:rPr>
              <w:t>Genetics in Medicine (3rd)</w:t>
            </w:r>
            <w:bookmarkEnd w:id="0"/>
          </w:p>
        </w:tc>
      </w:tr>
      <w:tr w:rsidR="006A7BC1" w:rsidTr="00CF34B9">
        <w:trPr>
          <w:trHeight w:val="728"/>
        </w:trPr>
        <w:tc>
          <w:tcPr>
            <w:tcW w:w="3078" w:type="dxa"/>
            <w:vAlign w:val="center"/>
          </w:tcPr>
          <w:p w:rsidR="006A7BC1" w:rsidRDefault="00CF34B9">
            <w:pPr>
              <w:rPr>
                <w:b/>
              </w:rPr>
            </w:pPr>
            <w:r>
              <w:rPr>
                <w:b/>
              </w:rPr>
              <w:t>Milestones**</w:t>
            </w:r>
          </w:p>
        </w:tc>
        <w:tc>
          <w:tcPr>
            <w:tcW w:w="6480" w:type="dxa"/>
          </w:tcPr>
          <w:p w:rsidR="006A7BC1" w:rsidRDefault="006A7BC1">
            <w:pPr>
              <w:rPr>
                <w:rFonts w:ascii="Arial" w:eastAsia="Arial" w:hAnsi="Arial" w:cs="Arial"/>
                <w:sz w:val="20"/>
                <w:szCs w:val="20"/>
              </w:rPr>
            </w:pPr>
          </w:p>
          <w:p w:rsidR="006A7BC1" w:rsidRDefault="00CF34B9">
            <w:pPr>
              <w:rPr>
                <w:rFonts w:ascii="Arial" w:eastAsia="Arial" w:hAnsi="Arial" w:cs="Arial"/>
                <w:sz w:val="20"/>
                <w:szCs w:val="20"/>
              </w:rPr>
            </w:pPr>
            <w:r>
              <w:rPr>
                <w:rFonts w:ascii="Arial" w:eastAsia="Arial" w:hAnsi="Arial" w:cs="Arial"/>
                <w:b/>
                <w:sz w:val="20"/>
                <w:szCs w:val="20"/>
              </w:rPr>
              <w:t xml:space="preserve">Finalize publication strategy and delineation of author subgroup </w:t>
            </w:r>
            <w:proofErr w:type="spellStart"/>
            <w:r>
              <w:rPr>
                <w:rFonts w:ascii="Arial" w:eastAsia="Arial" w:hAnsi="Arial" w:cs="Arial"/>
                <w:b/>
                <w:sz w:val="20"/>
                <w:szCs w:val="20"/>
              </w:rPr>
              <w:t>leads:</w:t>
            </w:r>
            <w:r>
              <w:rPr>
                <w:rFonts w:ascii="Arial" w:eastAsia="Arial" w:hAnsi="Arial" w:cs="Arial"/>
                <w:sz w:val="20"/>
                <w:szCs w:val="20"/>
              </w:rPr>
              <w:t>July</w:t>
            </w:r>
            <w:proofErr w:type="spellEnd"/>
            <w:r>
              <w:rPr>
                <w:rFonts w:ascii="Arial" w:eastAsia="Arial" w:hAnsi="Arial" w:cs="Arial"/>
                <w:sz w:val="20"/>
                <w:szCs w:val="20"/>
              </w:rPr>
              <w:t xml:space="preserve"> 2017</w:t>
            </w:r>
          </w:p>
          <w:p w:rsidR="006A7BC1" w:rsidRDefault="006A7BC1">
            <w:pPr>
              <w:rPr>
                <w:rFonts w:ascii="Arial" w:eastAsia="Arial" w:hAnsi="Arial" w:cs="Arial"/>
                <w:sz w:val="20"/>
                <w:szCs w:val="20"/>
              </w:rPr>
            </w:pPr>
          </w:p>
          <w:p w:rsidR="006A7BC1" w:rsidRDefault="00CF34B9">
            <w:pPr>
              <w:rPr>
                <w:rFonts w:ascii="Arial" w:eastAsia="Arial" w:hAnsi="Arial" w:cs="Arial"/>
                <w:sz w:val="20"/>
                <w:szCs w:val="20"/>
              </w:rPr>
            </w:pPr>
            <w:r>
              <w:rPr>
                <w:rFonts w:ascii="Arial" w:eastAsia="Arial" w:hAnsi="Arial" w:cs="Arial"/>
                <w:sz w:val="20"/>
                <w:szCs w:val="20"/>
              </w:rPr>
              <w:t>First draft:  Fall 2017</w:t>
            </w:r>
          </w:p>
          <w:p w:rsidR="006A7BC1" w:rsidRDefault="006A7BC1">
            <w:pPr>
              <w:rPr>
                <w:rFonts w:ascii="Arial" w:eastAsia="Arial" w:hAnsi="Arial" w:cs="Arial"/>
                <w:sz w:val="20"/>
                <w:szCs w:val="20"/>
              </w:rPr>
            </w:pPr>
          </w:p>
          <w:p w:rsidR="006A7BC1" w:rsidRDefault="00CF34B9">
            <w:pPr>
              <w:rPr>
                <w:rFonts w:ascii="Arial" w:eastAsia="Arial" w:hAnsi="Arial" w:cs="Arial"/>
                <w:sz w:val="20"/>
                <w:szCs w:val="20"/>
              </w:rPr>
            </w:pPr>
            <w:r>
              <w:rPr>
                <w:rFonts w:ascii="Arial" w:eastAsia="Arial" w:hAnsi="Arial" w:cs="Arial"/>
                <w:sz w:val="20"/>
                <w:szCs w:val="20"/>
              </w:rPr>
              <w:t>Submission: Winter 2018</w:t>
            </w:r>
          </w:p>
        </w:tc>
      </w:tr>
    </w:tbl>
    <w:p w:rsidR="006A7BC1" w:rsidRDefault="00CF34B9">
      <w:pPr>
        <w:rPr>
          <w:sz w:val="18"/>
          <w:szCs w:val="18"/>
        </w:rPr>
      </w:pPr>
      <w:r>
        <w:rPr>
          <w:b/>
          <w:sz w:val="18"/>
          <w:szCs w:val="18"/>
        </w:rPr>
        <w:t>**</w:t>
      </w:r>
      <w:r>
        <w:rPr>
          <w:sz w:val="18"/>
          <w:szCs w:val="18"/>
        </w:rPr>
        <w:t xml:space="preserve"> This section should include:  Timeline for completion of project, including approval, project duration, first and second draft of </w:t>
      </w:r>
      <w:r>
        <w:rPr>
          <w:sz w:val="18"/>
          <w:szCs w:val="18"/>
        </w:rPr>
        <w:lastRenderedPageBreak/>
        <w:t xml:space="preserve">the paper and submission. </w:t>
      </w:r>
    </w:p>
    <w:p w:rsidR="006A7BC1" w:rsidRDefault="006A7BC1"/>
    <w:p w:rsidR="006A7BC1" w:rsidRDefault="006A7BC1"/>
    <w:p w:rsidR="006A7BC1" w:rsidRDefault="006A7BC1"/>
    <w:sectPr w:rsidR="006A7BC1">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34B9">
      <w:r>
        <w:separator/>
      </w:r>
    </w:p>
  </w:endnote>
  <w:endnote w:type="continuationSeparator" w:id="0">
    <w:p w:rsidR="00000000" w:rsidRDefault="00CF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BC1" w:rsidRDefault="00CF34B9">
    <w:pPr>
      <w:tabs>
        <w:tab w:val="center" w:pos="4320"/>
        <w:tab w:val="right" w:pos="8640"/>
      </w:tabs>
      <w:spacing w:after="720"/>
      <w:jc w:val="center"/>
    </w:pPr>
    <w:r>
      <w:fldChar w:fldCharType="begin"/>
    </w:r>
    <w:r>
      <w:instrText>PAGE</w:instrText>
    </w:r>
    <w:r w:rsidR="003A0253">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34B9">
      <w:r>
        <w:separator/>
      </w:r>
    </w:p>
  </w:footnote>
  <w:footnote w:type="continuationSeparator" w:id="0">
    <w:p w:rsidR="00000000" w:rsidRDefault="00CF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C4E39"/>
    <w:multiLevelType w:val="multilevel"/>
    <w:tmpl w:val="2DEE5D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C1"/>
    <w:rsid w:val="003A0253"/>
    <w:rsid w:val="006A7BC1"/>
    <w:rsid w:val="00C70C8E"/>
    <w:rsid w:val="00C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3844"/>
  <w15:docId w15:val="{D56FC776-5AFD-418A-8DEF-D408D65E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7"/>
      <w:szCs w:val="27"/>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Brittany</dc:creator>
  <cp:lastModifiedBy>City, Brittany</cp:lastModifiedBy>
  <cp:revision>4</cp:revision>
  <dcterms:created xsi:type="dcterms:W3CDTF">2017-07-19T14:11:00Z</dcterms:created>
  <dcterms:modified xsi:type="dcterms:W3CDTF">2017-07-19T14:15:00Z</dcterms:modified>
</cp:coreProperties>
</file>