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FF3" w:rsidRDefault="00795FF3" w:rsidP="009C57EC">
      <w:pPr>
        <w:pStyle w:val="NormalWeb"/>
        <w:jc w:val="center"/>
        <w:rPr>
          <w:b/>
          <w:sz w:val="28"/>
          <w:szCs w:val="28"/>
        </w:rPr>
      </w:pPr>
      <w:r>
        <w:rPr>
          <w:b/>
          <w:sz w:val="28"/>
          <w:szCs w:val="28"/>
        </w:rPr>
        <w:t>eMERGE Network Proposal for Analysis</w:t>
      </w:r>
    </w:p>
    <w:p w:rsidR="000225D2" w:rsidRDefault="003D3121" w:rsidP="000225D2">
      <w:pPr>
        <w:tabs>
          <w:tab w:val="right" w:leader="underscore" w:pos="8640"/>
        </w:tabs>
        <w:spacing w:line="360" w:lineRule="auto"/>
        <w:jc w:val="center"/>
      </w:pPr>
      <w:r>
        <w:rPr>
          <w:sz w:val="28"/>
          <w:szCs w:val="28"/>
        </w:rPr>
        <w:t>Project/</w:t>
      </w:r>
      <w:r w:rsidR="00795FF3">
        <w:rPr>
          <w:sz w:val="28"/>
          <w:szCs w:val="28"/>
        </w:rPr>
        <w: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5760"/>
      </w:tblGrid>
      <w:tr w:rsidR="000225D2" w:rsidRPr="005F7C97" w:rsidTr="00574935">
        <w:tc>
          <w:tcPr>
            <w:tcW w:w="2304" w:type="dxa"/>
            <w:vAlign w:val="center"/>
          </w:tcPr>
          <w:p w:rsidR="000225D2" w:rsidRPr="005F7C97" w:rsidRDefault="000225D2" w:rsidP="00574935">
            <w:pPr>
              <w:rPr>
                <w:b/>
              </w:rPr>
            </w:pPr>
            <w:r w:rsidRPr="005F7C97">
              <w:rPr>
                <w:b/>
              </w:rPr>
              <w:t>Submission Date</w:t>
            </w:r>
          </w:p>
        </w:tc>
        <w:tc>
          <w:tcPr>
            <w:tcW w:w="5760" w:type="dxa"/>
          </w:tcPr>
          <w:p w:rsidR="000225D2" w:rsidRPr="005F7C97" w:rsidRDefault="00A43E47" w:rsidP="008075C3">
            <w:r>
              <w:t>8</w:t>
            </w:r>
            <w:r w:rsidR="00C46FFA">
              <w:t>/</w:t>
            </w:r>
            <w:r>
              <w:t>1</w:t>
            </w:r>
            <w:r w:rsidR="006C6C15">
              <w:t>7</w:t>
            </w:r>
            <w:bookmarkStart w:id="0" w:name="_GoBack"/>
            <w:bookmarkEnd w:id="0"/>
            <w:r w:rsidR="00C46FFA">
              <w:t>/17</w:t>
            </w:r>
          </w:p>
        </w:tc>
      </w:tr>
      <w:tr w:rsidR="00D32DD5" w:rsidRPr="005F7C97" w:rsidTr="00574935">
        <w:tc>
          <w:tcPr>
            <w:tcW w:w="2304" w:type="dxa"/>
            <w:vAlign w:val="center"/>
          </w:tcPr>
          <w:p w:rsidR="00D32DD5" w:rsidRPr="005F7C97" w:rsidRDefault="00D32DD5" w:rsidP="00574935">
            <w:pPr>
              <w:rPr>
                <w:b/>
              </w:rPr>
            </w:pPr>
            <w:r>
              <w:rPr>
                <w:b/>
              </w:rPr>
              <w:t>Reference #</w:t>
            </w:r>
          </w:p>
        </w:tc>
        <w:tc>
          <w:tcPr>
            <w:tcW w:w="5760" w:type="dxa"/>
          </w:tcPr>
          <w:p w:rsidR="00D32DD5" w:rsidRDefault="00D32DD5" w:rsidP="00A43E47">
            <w:r>
              <w:t>NT</w:t>
            </w:r>
            <w:r w:rsidR="006C6C15">
              <w:t>249</w:t>
            </w:r>
          </w:p>
        </w:tc>
      </w:tr>
      <w:tr w:rsidR="000225D2" w:rsidRPr="005F7C97" w:rsidTr="00574935">
        <w:trPr>
          <w:trHeight w:val="720"/>
        </w:trPr>
        <w:tc>
          <w:tcPr>
            <w:tcW w:w="2304" w:type="dxa"/>
            <w:vAlign w:val="center"/>
          </w:tcPr>
          <w:p w:rsidR="000225D2" w:rsidRPr="005F7C97" w:rsidRDefault="000225D2" w:rsidP="00574935">
            <w:pPr>
              <w:rPr>
                <w:b/>
              </w:rPr>
            </w:pPr>
            <w:r w:rsidRPr="005F7C97">
              <w:rPr>
                <w:b/>
              </w:rPr>
              <w:t>Project Title</w:t>
            </w:r>
          </w:p>
        </w:tc>
        <w:tc>
          <w:tcPr>
            <w:tcW w:w="5760" w:type="dxa"/>
          </w:tcPr>
          <w:p w:rsidR="00995BB2" w:rsidRPr="005F7C97" w:rsidRDefault="00A43E47" w:rsidP="00D72E84">
            <w:r>
              <w:t>Association between pharmacogenetic polymorphism and urgent care utilization in people with polypharmacy</w:t>
            </w:r>
          </w:p>
        </w:tc>
      </w:tr>
      <w:tr w:rsidR="000225D2" w:rsidRPr="005F7C97" w:rsidTr="00574935">
        <w:tc>
          <w:tcPr>
            <w:tcW w:w="2304" w:type="dxa"/>
            <w:vAlign w:val="center"/>
          </w:tcPr>
          <w:p w:rsidR="000225D2" w:rsidRPr="005F7C97" w:rsidRDefault="000225D2" w:rsidP="00574935">
            <w:pPr>
              <w:rPr>
                <w:b/>
              </w:rPr>
            </w:pPr>
            <w:r w:rsidRPr="005F7C97">
              <w:rPr>
                <w:b/>
              </w:rPr>
              <w:t>Tentative Lead Investigator (first author)</w:t>
            </w:r>
          </w:p>
        </w:tc>
        <w:tc>
          <w:tcPr>
            <w:tcW w:w="5760" w:type="dxa"/>
          </w:tcPr>
          <w:p w:rsidR="000225D2" w:rsidRPr="005F7C97" w:rsidRDefault="00995BB2" w:rsidP="00A43E47">
            <w:r>
              <w:t>J</w:t>
            </w:r>
            <w:r w:rsidR="00A43E47">
              <w:t>oseph</w:t>
            </w:r>
            <w:r>
              <w:t xml:space="preserve"> </w:t>
            </w:r>
            <w:r w:rsidR="00A43E47">
              <w:t>Finkels</w:t>
            </w:r>
            <w:r>
              <w:t>tein</w:t>
            </w:r>
          </w:p>
        </w:tc>
      </w:tr>
      <w:tr w:rsidR="000225D2" w:rsidRPr="005F7C97" w:rsidTr="00574935">
        <w:tc>
          <w:tcPr>
            <w:tcW w:w="2304" w:type="dxa"/>
            <w:vAlign w:val="center"/>
          </w:tcPr>
          <w:p w:rsidR="000225D2" w:rsidRPr="005F7C97" w:rsidRDefault="000225D2" w:rsidP="00574935">
            <w:pPr>
              <w:rPr>
                <w:b/>
              </w:rPr>
            </w:pPr>
            <w:r w:rsidRPr="005F7C97">
              <w:rPr>
                <w:b/>
              </w:rPr>
              <w:t>Tentative Senior Author (last author)</w:t>
            </w:r>
          </w:p>
        </w:tc>
        <w:tc>
          <w:tcPr>
            <w:tcW w:w="5760" w:type="dxa"/>
          </w:tcPr>
          <w:p w:rsidR="000225D2" w:rsidRPr="005F7C97" w:rsidRDefault="00A43E47" w:rsidP="00781526">
            <w:r>
              <w:t>Chunhua Weng</w:t>
            </w:r>
          </w:p>
        </w:tc>
      </w:tr>
      <w:tr w:rsidR="000225D2" w:rsidRPr="005F7C97" w:rsidTr="00574935">
        <w:tc>
          <w:tcPr>
            <w:tcW w:w="2304" w:type="dxa"/>
            <w:vAlign w:val="center"/>
          </w:tcPr>
          <w:p w:rsidR="000225D2" w:rsidRPr="005F7C97" w:rsidRDefault="000225D2" w:rsidP="00574935">
            <w:pPr>
              <w:rPr>
                <w:b/>
              </w:rPr>
            </w:pPr>
            <w:r w:rsidRPr="005F7C97">
              <w:rPr>
                <w:b/>
              </w:rPr>
              <w:t xml:space="preserve">All other authors </w:t>
            </w:r>
          </w:p>
        </w:tc>
        <w:tc>
          <w:tcPr>
            <w:tcW w:w="5760" w:type="dxa"/>
          </w:tcPr>
          <w:p w:rsidR="005406AC" w:rsidRPr="005F7C97" w:rsidRDefault="00A43E47" w:rsidP="00B01FCA">
            <w:r>
              <w:t>Manuel Cabrera</w:t>
            </w:r>
            <w:r w:rsidR="00EF4CC1">
              <w:t xml:space="preserve">, David </w:t>
            </w:r>
            <w:r>
              <w:t>Fasel</w:t>
            </w:r>
            <w:r w:rsidR="00EF4CC1">
              <w:t>,</w:t>
            </w:r>
            <w:r w:rsidR="00D72E84">
              <w:t xml:space="preserve"> </w:t>
            </w:r>
            <w:r w:rsidR="00B66796">
              <w:t xml:space="preserve">Ning Shang, </w:t>
            </w:r>
            <w:r w:rsidR="00AA0787">
              <w:t xml:space="preserve">Shuang Wang, </w:t>
            </w:r>
            <w:r>
              <w:t>Sinan Zhu</w:t>
            </w:r>
            <w:r w:rsidR="00D72E84">
              <w:t>,</w:t>
            </w:r>
            <w:r w:rsidR="00153694">
              <w:t xml:space="preserve"> Tatjana Rundek,</w:t>
            </w:r>
            <w:r w:rsidR="00D72E84">
              <w:t xml:space="preserve"> and </w:t>
            </w:r>
            <w:r w:rsidR="00153694">
              <w:t>interested investigators</w:t>
            </w:r>
            <w:r w:rsidR="00D72E84">
              <w:t xml:space="preserve"> from other eMERGE sites</w:t>
            </w:r>
          </w:p>
        </w:tc>
      </w:tr>
      <w:tr w:rsidR="000225D2" w:rsidRPr="005F7C97" w:rsidTr="0028585D">
        <w:trPr>
          <w:trHeight w:val="512"/>
        </w:trPr>
        <w:tc>
          <w:tcPr>
            <w:tcW w:w="2304" w:type="dxa"/>
            <w:vAlign w:val="center"/>
          </w:tcPr>
          <w:p w:rsidR="000225D2" w:rsidRPr="005F7C97" w:rsidRDefault="000225D2" w:rsidP="00574935">
            <w:pPr>
              <w:rPr>
                <w:b/>
              </w:rPr>
            </w:pPr>
            <w:r>
              <w:rPr>
                <w:b/>
              </w:rPr>
              <w:t>Sites Involved</w:t>
            </w:r>
          </w:p>
        </w:tc>
        <w:tc>
          <w:tcPr>
            <w:tcW w:w="5760" w:type="dxa"/>
          </w:tcPr>
          <w:p w:rsidR="005406AC" w:rsidRPr="005F7C97" w:rsidRDefault="00F67571" w:rsidP="00A43E47">
            <w:r>
              <w:t>This study will</w:t>
            </w:r>
            <w:r w:rsidR="004E77EC">
              <w:t xml:space="preserve"> use data from t</w:t>
            </w:r>
            <w:r>
              <w:t xml:space="preserve">he </w:t>
            </w:r>
            <w:r w:rsidR="00D72E84">
              <w:t>eMERGE-III</w:t>
            </w:r>
            <w:r>
              <w:t xml:space="preserve"> sites.</w:t>
            </w:r>
            <w:r w:rsidR="004E77EC">
              <w:t xml:space="preserve"> </w:t>
            </w:r>
          </w:p>
        </w:tc>
      </w:tr>
      <w:tr w:rsidR="000225D2" w:rsidRPr="005F7C97" w:rsidTr="00574935">
        <w:trPr>
          <w:trHeight w:val="864"/>
        </w:trPr>
        <w:tc>
          <w:tcPr>
            <w:tcW w:w="2304" w:type="dxa"/>
            <w:vAlign w:val="center"/>
          </w:tcPr>
          <w:p w:rsidR="000225D2" w:rsidRPr="00DE5923" w:rsidRDefault="000225D2" w:rsidP="00574935">
            <w:pPr>
              <w:rPr>
                <w:b/>
                <w:highlight w:val="yellow"/>
              </w:rPr>
            </w:pPr>
            <w:r w:rsidRPr="00E849A8">
              <w:rPr>
                <w:b/>
              </w:rPr>
              <w:t>Background / Significance</w:t>
            </w:r>
          </w:p>
        </w:tc>
        <w:tc>
          <w:tcPr>
            <w:tcW w:w="5760" w:type="dxa"/>
          </w:tcPr>
          <w:p w:rsidR="00772C19" w:rsidRPr="00772C19" w:rsidRDefault="00772C19" w:rsidP="00772C19">
            <w:pPr>
              <w:rPr>
                <w:color w:val="000000"/>
              </w:rPr>
            </w:pPr>
            <w:r w:rsidRPr="00772C19">
              <w:rPr>
                <w:color w:val="000000"/>
              </w:rPr>
              <w:t xml:space="preserve">A strong relationship between polypharmacy and negative clinical consequences has been described previously, especially in older adults and people with complex medical conditions. Polypharmacy has been associated with increased health care costs, adverse drug </w:t>
            </w:r>
            <w:r w:rsidR="006416FF">
              <w:rPr>
                <w:color w:val="000000"/>
              </w:rPr>
              <w:t>events</w:t>
            </w:r>
            <w:r w:rsidR="006416FF" w:rsidRPr="00772C19">
              <w:rPr>
                <w:color w:val="000000"/>
              </w:rPr>
              <w:t xml:space="preserve"> </w:t>
            </w:r>
            <w:r w:rsidRPr="00772C19">
              <w:rPr>
                <w:color w:val="000000"/>
              </w:rPr>
              <w:t>(</w:t>
            </w:r>
            <w:r w:rsidR="006416FF" w:rsidRPr="00772C19">
              <w:rPr>
                <w:color w:val="000000"/>
              </w:rPr>
              <w:t>AD</w:t>
            </w:r>
            <w:r w:rsidR="006416FF">
              <w:rPr>
                <w:color w:val="000000"/>
              </w:rPr>
              <w:t>E</w:t>
            </w:r>
            <w:r w:rsidRPr="00772C19">
              <w:rPr>
                <w:color w:val="000000"/>
              </w:rPr>
              <w:t>), drug</w:t>
            </w:r>
            <w:r w:rsidR="00E65CA9">
              <w:rPr>
                <w:color w:val="000000"/>
              </w:rPr>
              <w:t>-drug</w:t>
            </w:r>
            <w:r w:rsidRPr="00772C19">
              <w:rPr>
                <w:color w:val="000000"/>
              </w:rPr>
              <w:t xml:space="preserve"> interactions, medication nonadherence, impaired functional and cognitive status, falls, urinary incontinence, and malnutrition. Not surprisingly, polypharmacy and potentially inappropriate medication use were shown to be significant </w:t>
            </w:r>
            <w:r w:rsidR="00CE365A">
              <w:rPr>
                <w:color w:val="000000"/>
              </w:rPr>
              <w:t xml:space="preserve">contributing </w:t>
            </w:r>
            <w:r w:rsidRPr="00772C19">
              <w:rPr>
                <w:color w:val="000000"/>
              </w:rPr>
              <w:t xml:space="preserve">factors </w:t>
            </w:r>
            <w:r w:rsidR="00CE365A">
              <w:rPr>
                <w:color w:val="000000"/>
              </w:rPr>
              <w:t>for</w:t>
            </w:r>
            <w:r w:rsidR="00CE365A" w:rsidRPr="00772C19">
              <w:rPr>
                <w:color w:val="000000"/>
              </w:rPr>
              <w:t xml:space="preserve"> </w:t>
            </w:r>
            <w:r w:rsidRPr="00772C19">
              <w:rPr>
                <w:color w:val="000000"/>
              </w:rPr>
              <w:t xml:space="preserve">frequent hospital admissions and emergency room visits. Recent studies demonstrated that pharmacogenetic polymorphism may play </w:t>
            </w:r>
            <w:r w:rsidR="00E65CA9">
              <w:rPr>
                <w:color w:val="000000"/>
              </w:rPr>
              <w:t xml:space="preserve">a </w:t>
            </w:r>
            <w:r w:rsidRPr="00772C19">
              <w:rPr>
                <w:color w:val="000000"/>
              </w:rPr>
              <w:t>significant role in facilitating higher urgent care utilization in people with polypharmacy</w:t>
            </w:r>
            <w:r w:rsidR="003D1F87">
              <w:rPr>
                <w:color w:val="000000"/>
              </w:rPr>
              <w:t xml:space="preserve"> (Finkelstein, 2016; Brixner, 2016)</w:t>
            </w:r>
            <w:r w:rsidRPr="00772C19">
              <w:rPr>
                <w:color w:val="000000"/>
              </w:rPr>
              <w:t xml:space="preserve">. However, </w:t>
            </w:r>
            <w:r w:rsidR="00E65CA9">
              <w:rPr>
                <w:color w:val="000000"/>
              </w:rPr>
              <w:t xml:space="preserve">a </w:t>
            </w:r>
            <w:r w:rsidRPr="00772C19">
              <w:rPr>
                <w:color w:val="000000"/>
              </w:rPr>
              <w:t>limited number of studies investigated association</w:t>
            </w:r>
            <w:r w:rsidR="00E65CA9">
              <w:rPr>
                <w:color w:val="000000"/>
              </w:rPr>
              <w:t>s</w:t>
            </w:r>
            <w:r w:rsidRPr="00772C19">
              <w:rPr>
                <w:color w:val="000000"/>
              </w:rPr>
              <w:t xml:space="preserve"> between </w:t>
            </w:r>
            <w:r w:rsidR="006416FF" w:rsidRPr="00772C19">
              <w:rPr>
                <w:color w:val="000000"/>
              </w:rPr>
              <w:t>pharmacogenetic polymorphism</w:t>
            </w:r>
            <w:r w:rsidRPr="00772C19">
              <w:rPr>
                <w:color w:val="000000"/>
              </w:rPr>
              <w:t xml:space="preserve"> and urgent care utilization. This study is designed to address this gap in our knowledge. The primary hypothesis to be tested in this study is that adults with polypharmacy and frequent urgent care utilization have a higher frequency of actionable pharmacogenetic polymorphisms as compared to adults with polypharmacy who rarely utilize urgent care. The secondary objective of this study is to conduct deterministic sensitivity analysis using decision trees for assessment of cost-effectiveness of pharmacogenetic testing in adults with polypharmacy.</w:t>
            </w:r>
          </w:p>
          <w:p w:rsidR="00080642" w:rsidRDefault="00772C19" w:rsidP="00080642">
            <w:pPr>
              <w:rPr>
                <w:color w:val="000000"/>
              </w:rPr>
            </w:pPr>
            <w:r w:rsidRPr="00772C19">
              <w:rPr>
                <w:color w:val="000000"/>
              </w:rPr>
              <w:lastRenderedPageBreak/>
              <w:t>An enormous burden is imposed on health care because of prescribing inappropriate medication, particularly in the context of adults with polypharmacy and people with complex medical conditions. The overall objective of this project is to explore the potential association between the presence of pharmacogenetic polymorphisms and high urgent care utilization rates in adults with polypharmacy using a nested case–control design. Establishing such an association will support a broader introduction of personalized medicine in the care of adults with polypharmacy and complex medi</w:t>
            </w:r>
            <w:r>
              <w:rPr>
                <w:color w:val="000000"/>
              </w:rPr>
              <w:t>cal conditions</w:t>
            </w:r>
            <w:r w:rsidR="006B08CB">
              <w:rPr>
                <w:color w:val="000000"/>
              </w:rPr>
              <w:t>.</w:t>
            </w:r>
          </w:p>
          <w:p w:rsidR="00772C19" w:rsidRPr="00F40D9B" w:rsidRDefault="00772C19" w:rsidP="00080642">
            <w:pPr>
              <w:rPr>
                <w:color w:val="000000"/>
              </w:rPr>
            </w:pPr>
          </w:p>
        </w:tc>
      </w:tr>
      <w:tr w:rsidR="000225D2" w:rsidRPr="005F7C97" w:rsidTr="00574935">
        <w:trPr>
          <w:trHeight w:val="864"/>
        </w:trPr>
        <w:tc>
          <w:tcPr>
            <w:tcW w:w="2304" w:type="dxa"/>
            <w:vAlign w:val="center"/>
          </w:tcPr>
          <w:p w:rsidR="000225D2" w:rsidRPr="00DE5923" w:rsidRDefault="000225D2" w:rsidP="00574935">
            <w:pPr>
              <w:rPr>
                <w:b/>
                <w:highlight w:val="yellow"/>
              </w:rPr>
            </w:pPr>
            <w:r w:rsidRPr="000863B1">
              <w:rPr>
                <w:b/>
              </w:rPr>
              <w:lastRenderedPageBreak/>
              <w:t>Outline of Project</w:t>
            </w:r>
          </w:p>
        </w:tc>
        <w:tc>
          <w:tcPr>
            <w:tcW w:w="5760" w:type="dxa"/>
          </w:tcPr>
          <w:p w:rsidR="00F474A1" w:rsidRDefault="002E3928" w:rsidP="00301C4D">
            <w:r w:rsidRPr="002E3928">
              <w:t xml:space="preserve">In order to assess whether pharmacogenetic polymorphism </w:t>
            </w:r>
            <w:r w:rsidR="006416FF">
              <w:t>i</w:t>
            </w:r>
            <w:r w:rsidR="006416FF" w:rsidRPr="002E3928">
              <w:t xml:space="preserve">s </w:t>
            </w:r>
            <w:r w:rsidRPr="002E3928">
              <w:t xml:space="preserve">an independent risk factor for </w:t>
            </w:r>
            <w:r w:rsidRPr="00C35782">
              <w:rPr>
                <w:b/>
              </w:rPr>
              <w:t>f</w:t>
            </w:r>
            <w:r w:rsidRPr="002E3928">
              <w:t>req</w:t>
            </w:r>
            <w:r w:rsidR="00C35782">
              <w:t xml:space="preserve">uent urgent </w:t>
            </w:r>
            <w:r w:rsidR="00C35782" w:rsidRPr="00C35782">
              <w:rPr>
                <w:b/>
              </w:rPr>
              <w:t>c</w:t>
            </w:r>
            <w:r w:rsidR="00C35782">
              <w:t>are utilization (FC</w:t>
            </w:r>
            <w:r w:rsidRPr="002E3928">
              <w:t>) in adults with polypharmacy, a nested case–control study will be conducted in adults with polypharmacy</w:t>
            </w:r>
            <w:r w:rsidR="00265587">
              <w:t xml:space="preserve"> with pharmacogenetic polymorphism as an exposure and urgent care utilization as an outcome</w:t>
            </w:r>
            <w:r w:rsidRPr="002E3928">
              <w:t>. The study cohort will comprise adults with 5 or more prescription drugs. The cases will be presented by eligible individuals with the history of F</w:t>
            </w:r>
            <w:r w:rsidR="00C35782">
              <w:t>C</w:t>
            </w:r>
            <w:r w:rsidRPr="002E3928">
              <w:t xml:space="preserve">. The controls will include eligible patients with </w:t>
            </w:r>
            <w:r w:rsidRPr="00C35782">
              <w:rPr>
                <w:b/>
              </w:rPr>
              <w:t>i</w:t>
            </w:r>
            <w:r w:rsidRPr="002E3928">
              <w:t xml:space="preserve">nfrequent urgent </w:t>
            </w:r>
            <w:r w:rsidRPr="00C35782">
              <w:rPr>
                <w:b/>
              </w:rPr>
              <w:t>c</w:t>
            </w:r>
            <w:r w:rsidRPr="002E3928">
              <w:t>are utilization (I</w:t>
            </w:r>
            <w:r w:rsidR="00C35782">
              <w:t>C</w:t>
            </w:r>
            <w:r w:rsidRPr="002E3928">
              <w:t>) randomly drawn from the study cohort, based on case–control matching criteria. On the basis of previous work, cases (F</w:t>
            </w:r>
            <w:r w:rsidR="00C35782">
              <w:t>C</w:t>
            </w:r>
            <w:r w:rsidRPr="002E3928">
              <w:t xml:space="preserve">) are defined as individuals who were hospitalized or attended an emergency room at least 3 times during the past 2 years. The controls will </w:t>
            </w:r>
            <w:r w:rsidR="00CC2AD2">
              <w:t xml:space="preserve">be </w:t>
            </w:r>
            <w:r w:rsidRPr="002E3928">
              <w:t xml:space="preserve">matched with the cases by age group, gender, race, ethnicity, </w:t>
            </w:r>
            <w:r>
              <w:t>and chronic disease score (CDS)</w:t>
            </w:r>
            <w:r w:rsidR="00F474A1">
              <w:t xml:space="preserve">. </w:t>
            </w:r>
          </w:p>
          <w:p w:rsidR="000225D2" w:rsidRPr="005F7C97" w:rsidRDefault="000225D2" w:rsidP="002F0238"/>
        </w:tc>
      </w:tr>
      <w:tr w:rsidR="000225D2" w:rsidRPr="005F7C97" w:rsidTr="00574935">
        <w:trPr>
          <w:trHeight w:val="854"/>
        </w:trPr>
        <w:tc>
          <w:tcPr>
            <w:tcW w:w="2304" w:type="dxa"/>
            <w:vAlign w:val="center"/>
          </w:tcPr>
          <w:p w:rsidR="000225D2" w:rsidRPr="005F7C97" w:rsidRDefault="000225D2" w:rsidP="00574935">
            <w:pPr>
              <w:rPr>
                <w:b/>
              </w:rPr>
            </w:pPr>
            <w:r w:rsidRPr="005F7C97">
              <w:rPr>
                <w:b/>
              </w:rPr>
              <w:t>Desired</w:t>
            </w:r>
          </w:p>
          <w:p w:rsidR="000225D2" w:rsidRPr="005F7C97" w:rsidRDefault="000225D2" w:rsidP="00574935">
            <w:pPr>
              <w:rPr>
                <w:b/>
              </w:rPr>
            </w:pPr>
            <w:r w:rsidRPr="005F7C97">
              <w:rPr>
                <w:b/>
              </w:rPr>
              <w:t>Variables (essential for analysis</w:t>
            </w:r>
          </w:p>
          <w:p w:rsidR="000225D2" w:rsidRPr="005F7C97" w:rsidRDefault="000225D2" w:rsidP="00574935">
            <w:pPr>
              <w:rPr>
                <w:b/>
              </w:rPr>
            </w:pPr>
            <w:r w:rsidRPr="005F7C97">
              <w:rPr>
                <w:b/>
              </w:rPr>
              <w:t>indicated by *)</w:t>
            </w:r>
          </w:p>
        </w:tc>
        <w:tc>
          <w:tcPr>
            <w:tcW w:w="5760" w:type="dxa"/>
          </w:tcPr>
          <w:p w:rsidR="00E26C2A" w:rsidRDefault="00E26C2A" w:rsidP="00BF5A16">
            <w:r>
              <w:t>* Sex/age/race/ethnicity</w:t>
            </w:r>
          </w:p>
          <w:p w:rsidR="00E26C2A" w:rsidRDefault="00BF5A16" w:rsidP="00BF5A16">
            <w:r>
              <w:t>*</w:t>
            </w:r>
            <w:r w:rsidR="00E26C2A">
              <w:t xml:space="preserve"> Medication list</w:t>
            </w:r>
            <w:r w:rsidR="009B78E6">
              <w:t xml:space="preserve"> at the time of genotyping</w:t>
            </w:r>
          </w:p>
          <w:p w:rsidR="00E26C2A" w:rsidRDefault="00E26C2A" w:rsidP="00BF5A16">
            <w:r>
              <w:t>* Problem list</w:t>
            </w:r>
            <w:r w:rsidR="009B78E6">
              <w:t xml:space="preserve"> at the time of genotyping</w:t>
            </w:r>
          </w:p>
          <w:p w:rsidR="008C0325" w:rsidRDefault="00E26C2A" w:rsidP="00BF5A16">
            <w:r>
              <w:t xml:space="preserve">* </w:t>
            </w:r>
            <w:r w:rsidR="00951762">
              <w:t xml:space="preserve">ICD-9 codes </w:t>
            </w:r>
            <w:r w:rsidR="009B78E6">
              <w:t>for</w:t>
            </w:r>
            <w:r w:rsidR="00951762">
              <w:t xml:space="preserve"> </w:t>
            </w:r>
            <w:r>
              <w:t xml:space="preserve">each urgent care event </w:t>
            </w:r>
            <w:r w:rsidR="009B78E6">
              <w:t>within 5 years</w:t>
            </w:r>
          </w:p>
          <w:p w:rsidR="009B78E6" w:rsidRDefault="009B78E6" w:rsidP="00BF5A16">
            <w:r>
              <w:t>* Length of stay for each hospitalization</w:t>
            </w:r>
          </w:p>
          <w:p w:rsidR="009B78E6" w:rsidRDefault="009B78E6" w:rsidP="00BF5A16">
            <w:r>
              <w:t>* ICU indicator during hospital stay</w:t>
            </w:r>
          </w:p>
          <w:p w:rsidR="00951762" w:rsidRDefault="00951762" w:rsidP="00BF5A16">
            <w:r>
              <w:t>* SNP genotypes</w:t>
            </w:r>
            <w:r w:rsidR="00E26C2A">
              <w:t xml:space="preserve"> for index pharmacogenes</w:t>
            </w:r>
          </w:p>
          <w:p w:rsidR="00951762" w:rsidRPr="005F7C97" w:rsidRDefault="00951762" w:rsidP="00E26C2A"/>
        </w:tc>
      </w:tr>
      <w:tr w:rsidR="00A9093D" w:rsidRPr="005F7C97" w:rsidTr="0028585D">
        <w:trPr>
          <w:trHeight w:val="935"/>
        </w:trPr>
        <w:tc>
          <w:tcPr>
            <w:tcW w:w="2304" w:type="dxa"/>
            <w:vAlign w:val="center"/>
          </w:tcPr>
          <w:p w:rsidR="00A9093D" w:rsidRPr="005F7C97" w:rsidRDefault="00A9093D" w:rsidP="00574935">
            <w:pPr>
              <w:rPr>
                <w:b/>
              </w:rPr>
            </w:pPr>
            <w:r>
              <w:rPr>
                <w:b/>
              </w:rPr>
              <w:t>Desired data</w:t>
            </w:r>
          </w:p>
        </w:tc>
        <w:tc>
          <w:tcPr>
            <w:tcW w:w="5760" w:type="dxa"/>
          </w:tcPr>
          <w:p w:rsidR="00DA0CDC" w:rsidRDefault="00BF5A16" w:rsidP="00BF5A16">
            <w:r>
              <w:t>SNP genotyping dat</w:t>
            </w:r>
            <w:r w:rsidR="00DA0CDC">
              <w:t>a</w:t>
            </w:r>
          </w:p>
          <w:p w:rsidR="009B78E6" w:rsidRDefault="00E26C2A" w:rsidP="00BF5A16">
            <w:r>
              <w:t xml:space="preserve">Smoking history, </w:t>
            </w:r>
            <w:r w:rsidR="009B78E6">
              <w:t xml:space="preserve">alcohol or drug use, </w:t>
            </w:r>
            <w:r>
              <w:t>BMI</w:t>
            </w:r>
            <w:r w:rsidR="00887DDB">
              <w:t xml:space="preserve"> Creatinine/GFR</w:t>
            </w:r>
          </w:p>
          <w:p w:rsidR="00951762" w:rsidRPr="005F7C97" w:rsidRDefault="009B78E6" w:rsidP="00BF5A16">
            <w:r>
              <w:t>I</w:t>
            </w:r>
            <w:r w:rsidR="00E26C2A">
              <w:t>nsurance, social and marital status</w:t>
            </w:r>
            <w:r w:rsidR="006416FF">
              <w:t>, geocode data</w:t>
            </w:r>
          </w:p>
        </w:tc>
      </w:tr>
      <w:tr w:rsidR="000225D2" w:rsidRPr="005F7C97" w:rsidTr="0076798A">
        <w:trPr>
          <w:trHeight w:val="440"/>
        </w:trPr>
        <w:tc>
          <w:tcPr>
            <w:tcW w:w="2304" w:type="dxa"/>
            <w:vAlign w:val="center"/>
          </w:tcPr>
          <w:p w:rsidR="000225D2" w:rsidRPr="005F7C97" w:rsidRDefault="000225D2" w:rsidP="00574935">
            <w:pPr>
              <w:rPr>
                <w:b/>
              </w:rPr>
            </w:pPr>
            <w:r w:rsidRPr="005F7C97">
              <w:rPr>
                <w:b/>
              </w:rPr>
              <w:t>Planned Statistical Analyses</w:t>
            </w:r>
          </w:p>
        </w:tc>
        <w:tc>
          <w:tcPr>
            <w:tcW w:w="5760" w:type="dxa"/>
          </w:tcPr>
          <w:p w:rsidR="004A5059" w:rsidRDefault="004A5059" w:rsidP="008D3799">
            <w:r>
              <w:t xml:space="preserve">First, based on identified drug-gene interactions, a binary variable will be constructed representing presence of actionable pharmacogenetic polymorphism. For each subject, total CADD score will be calculated as a sum of </w:t>
            </w:r>
            <w:r>
              <w:lastRenderedPageBreak/>
              <w:t>CADD scores of individual variants of pharmacogenes found in this subject. Chi-squared test will be used to compare frequency of actionable pharmacogenetics polymorphisms between cases and controls. Mean CADD will be compared in cases and controls using t-test.</w:t>
            </w:r>
            <w:r w:rsidR="006416FF">
              <w:t xml:space="preserve"> Stratified analysis based on race, ethnicity and age group will be conducted.</w:t>
            </w:r>
          </w:p>
          <w:p w:rsidR="004A5059" w:rsidRDefault="004A5059" w:rsidP="008D3799">
            <w:r>
              <w:t xml:space="preserve"> </w:t>
            </w:r>
          </w:p>
          <w:p w:rsidR="00951762" w:rsidRDefault="004A5059" w:rsidP="008D3799">
            <w:r>
              <w:t>Second, w</w:t>
            </w:r>
            <w:r w:rsidR="00951762" w:rsidRPr="00951762">
              <w:t xml:space="preserve">e will perform </w:t>
            </w:r>
            <w:r w:rsidR="00265587">
              <w:t xml:space="preserve">conditional logistic regression with pharmacogenetic polymorphism </w:t>
            </w:r>
            <w:r w:rsidR="008075C3">
              <w:t xml:space="preserve">or PGx risk score (CADD) </w:t>
            </w:r>
            <w:r w:rsidR="00265587">
              <w:t xml:space="preserve">as primary independent variable and high urgent care utilization or length of stay as an outcome. Covariates will include </w:t>
            </w:r>
            <w:r w:rsidR="00265587" w:rsidRPr="00265587">
              <w:t>medication complexity score, polypharmacy</w:t>
            </w:r>
            <w:r w:rsidR="00265587">
              <w:t xml:space="preserve"> level</w:t>
            </w:r>
            <w:r w:rsidR="00265587" w:rsidRPr="00265587">
              <w:t>, GFR</w:t>
            </w:r>
            <w:r w:rsidR="006416FF">
              <w:t>,</w:t>
            </w:r>
            <w:r w:rsidR="00265587" w:rsidRPr="00265587">
              <w:t xml:space="preserve"> </w:t>
            </w:r>
            <w:r w:rsidR="00265587">
              <w:t>DRG group</w:t>
            </w:r>
            <w:r w:rsidR="006416FF">
              <w:t>, insurance type, and socio-economic status (based on geocoding data)</w:t>
            </w:r>
            <w:r w:rsidR="00265587">
              <w:t>.</w:t>
            </w:r>
            <w:r w:rsidR="00265587" w:rsidRPr="00265587">
              <w:t xml:space="preserve"> </w:t>
            </w:r>
            <w:r w:rsidR="00265587">
              <w:t xml:space="preserve">Subgroup analysis will be performed in patients with particular chronic conditions and </w:t>
            </w:r>
            <w:r w:rsidR="003D1F87">
              <w:t>disease severity</w:t>
            </w:r>
            <w:r>
              <w:t>.</w:t>
            </w:r>
          </w:p>
          <w:p w:rsidR="004A5059" w:rsidRDefault="004A5059" w:rsidP="008D3799"/>
          <w:p w:rsidR="004A5059" w:rsidRDefault="004A5059" w:rsidP="008D3799">
            <w:r>
              <w:t xml:space="preserve">Third, </w:t>
            </w:r>
            <w:r w:rsidR="008075C3">
              <w:t xml:space="preserve">we </w:t>
            </w:r>
            <w:r>
              <w:t xml:space="preserve">will conduct </w:t>
            </w:r>
            <w:r w:rsidRPr="004A5059">
              <w:t>deterministic sensitivity analysis using decision trees for assessment of cost-effectiveness of pharmacogenetic testing in adults with polypharmacy</w:t>
            </w:r>
            <w:r>
              <w:t>.</w:t>
            </w:r>
          </w:p>
          <w:p w:rsidR="005406AC" w:rsidRPr="005F7C97" w:rsidRDefault="005406AC" w:rsidP="004A5059"/>
        </w:tc>
      </w:tr>
      <w:tr w:rsidR="000225D2" w:rsidRPr="005F7C97" w:rsidTr="00574935">
        <w:trPr>
          <w:trHeight w:val="864"/>
        </w:trPr>
        <w:tc>
          <w:tcPr>
            <w:tcW w:w="2304" w:type="dxa"/>
            <w:vAlign w:val="center"/>
          </w:tcPr>
          <w:p w:rsidR="000225D2" w:rsidRPr="005F7C97" w:rsidRDefault="000225D2" w:rsidP="00574935">
            <w:pPr>
              <w:rPr>
                <w:b/>
              </w:rPr>
            </w:pPr>
            <w:r w:rsidRPr="005F7C97">
              <w:rPr>
                <w:b/>
              </w:rPr>
              <w:lastRenderedPageBreak/>
              <w:t>Ethical considerations</w:t>
            </w:r>
          </w:p>
        </w:tc>
        <w:tc>
          <w:tcPr>
            <w:tcW w:w="5760" w:type="dxa"/>
          </w:tcPr>
          <w:p w:rsidR="000225D2" w:rsidRDefault="000225D2" w:rsidP="00574935"/>
          <w:p w:rsidR="005406AC" w:rsidRPr="005F7C97" w:rsidRDefault="00BF5A16" w:rsidP="00574935">
            <w:r>
              <w:t>None anticipated.</w:t>
            </w:r>
          </w:p>
        </w:tc>
      </w:tr>
      <w:tr w:rsidR="000225D2" w:rsidRPr="005F7C97" w:rsidTr="00574935">
        <w:tc>
          <w:tcPr>
            <w:tcW w:w="2304" w:type="dxa"/>
            <w:vAlign w:val="center"/>
          </w:tcPr>
          <w:p w:rsidR="000225D2" w:rsidRPr="005F7C97" w:rsidRDefault="000225D2" w:rsidP="00574935">
            <w:pPr>
              <w:rPr>
                <w:b/>
              </w:rPr>
            </w:pPr>
            <w:r w:rsidRPr="005F7C97">
              <w:rPr>
                <w:b/>
              </w:rPr>
              <w:t>Target Journal</w:t>
            </w:r>
          </w:p>
        </w:tc>
        <w:tc>
          <w:tcPr>
            <w:tcW w:w="5760" w:type="dxa"/>
          </w:tcPr>
          <w:p w:rsidR="005406AC" w:rsidRPr="005F7C97" w:rsidRDefault="00AD23F2" w:rsidP="00CC2AD2">
            <w:r>
              <w:t xml:space="preserve">PLoS </w:t>
            </w:r>
            <w:r w:rsidR="005752CB">
              <w:t xml:space="preserve">or JAMA </w:t>
            </w:r>
            <w:r w:rsidR="00CC2AD2">
              <w:t>Internal Medicine</w:t>
            </w:r>
            <w:r w:rsidR="005752CB">
              <w:t>.</w:t>
            </w:r>
          </w:p>
        </w:tc>
      </w:tr>
      <w:tr w:rsidR="000225D2" w:rsidRPr="005F7C97" w:rsidTr="00574935">
        <w:tc>
          <w:tcPr>
            <w:tcW w:w="2304" w:type="dxa"/>
            <w:vAlign w:val="center"/>
          </w:tcPr>
          <w:p w:rsidR="000225D2" w:rsidRPr="005F7C97" w:rsidRDefault="000225D2" w:rsidP="00574935">
            <w:pPr>
              <w:rPr>
                <w:b/>
              </w:rPr>
            </w:pPr>
            <w:r w:rsidRPr="005F7C97">
              <w:rPr>
                <w:b/>
              </w:rPr>
              <w:t>Milestones</w:t>
            </w:r>
            <w:r w:rsidR="005E6E01">
              <w:rPr>
                <w:b/>
              </w:rPr>
              <w:t>**</w:t>
            </w:r>
          </w:p>
        </w:tc>
        <w:tc>
          <w:tcPr>
            <w:tcW w:w="5760" w:type="dxa"/>
          </w:tcPr>
          <w:p w:rsidR="00FA532A" w:rsidRDefault="004A5059" w:rsidP="00574935">
            <w:r>
              <w:t>9</w:t>
            </w:r>
            <w:r w:rsidR="00AD23F2">
              <w:t>/1</w:t>
            </w:r>
            <w:r w:rsidR="00DA0CDC">
              <w:t>5</w:t>
            </w:r>
            <w:r w:rsidR="00AD23F2">
              <w:t>/17:</w:t>
            </w:r>
            <w:r w:rsidR="008C0325">
              <w:t xml:space="preserve"> </w:t>
            </w:r>
            <w:r w:rsidR="00FA532A">
              <w:t>Approval of Project</w:t>
            </w:r>
          </w:p>
          <w:p w:rsidR="00AD23F2" w:rsidRDefault="004A5059" w:rsidP="00574935">
            <w:r>
              <w:t>10</w:t>
            </w:r>
            <w:r w:rsidR="00DA0CDC">
              <w:t>/1</w:t>
            </w:r>
            <w:r w:rsidR="00FA532A">
              <w:t xml:space="preserve">/2017: </w:t>
            </w:r>
            <w:r w:rsidR="008C0325">
              <w:t>C</w:t>
            </w:r>
            <w:r w:rsidR="004F15CF">
              <w:t xml:space="preserve">lean </w:t>
            </w:r>
            <w:r w:rsidR="00B1248A">
              <w:t>genetic data sets</w:t>
            </w:r>
          </w:p>
          <w:p w:rsidR="002B14DB" w:rsidRDefault="004A5059" w:rsidP="00574935">
            <w:r>
              <w:t>10</w:t>
            </w:r>
            <w:r w:rsidR="002B14DB">
              <w:t>/</w:t>
            </w:r>
            <w:r w:rsidR="00DA0CDC">
              <w:t>15</w:t>
            </w:r>
            <w:r w:rsidR="002B14DB">
              <w:t xml:space="preserve">/2017: </w:t>
            </w:r>
            <w:r w:rsidR="00FA532A">
              <w:t>Obtain phenotype data and conduct</w:t>
            </w:r>
            <w:r w:rsidR="002B14DB">
              <w:t xml:space="preserve"> data analysis</w:t>
            </w:r>
          </w:p>
          <w:p w:rsidR="00FA532A" w:rsidRDefault="004A5059" w:rsidP="00574935">
            <w:r>
              <w:t>11</w:t>
            </w:r>
            <w:r w:rsidR="00DA0CDC">
              <w:t>/15</w:t>
            </w:r>
            <w:r w:rsidR="00FA532A">
              <w:t>/2017: Finish data analysis, and generate manuscript</w:t>
            </w:r>
          </w:p>
          <w:p w:rsidR="002B14DB" w:rsidRDefault="004A5059" w:rsidP="00574935">
            <w:r>
              <w:t>12</w:t>
            </w:r>
            <w:r w:rsidR="002B14DB">
              <w:t>/</w:t>
            </w:r>
            <w:r w:rsidR="00FA532A">
              <w:t>15</w:t>
            </w:r>
            <w:r w:rsidR="002B14DB">
              <w:t>/2017: Draft manuscript distributed to co-authors.</w:t>
            </w:r>
          </w:p>
          <w:p w:rsidR="002B14DB" w:rsidRDefault="004A5059" w:rsidP="00574935">
            <w:r>
              <w:t>01</w:t>
            </w:r>
            <w:r w:rsidR="002B14DB">
              <w:t>/</w:t>
            </w:r>
            <w:r w:rsidR="00DA0CDC">
              <w:t>15</w:t>
            </w:r>
            <w:r w:rsidR="002B14DB">
              <w:t>/201</w:t>
            </w:r>
            <w:r>
              <w:t>8</w:t>
            </w:r>
            <w:r w:rsidR="002B14DB">
              <w:t>: Second draft to co-authors.</w:t>
            </w:r>
          </w:p>
          <w:p w:rsidR="005406AC" w:rsidRPr="005F7C97" w:rsidRDefault="004A5059" w:rsidP="004A5059">
            <w:r>
              <w:t>02</w:t>
            </w:r>
            <w:r w:rsidR="00AD23F2">
              <w:t>/1/1</w:t>
            </w:r>
            <w:r>
              <w:t>8</w:t>
            </w:r>
            <w:r w:rsidR="00AD23F2">
              <w:t>:</w:t>
            </w:r>
            <w:r w:rsidR="002B14DB">
              <w:t xml:space="preserve"> Submit manuscript.</w:t>
            </w:r>
          </w:p>
        </w:tc>
      </w:tr>
    </w:tbl>
    <w:p w:rsidR="005E6E01" w:rsidRDefault="005E6E01" w:rsidP="005E6E01">
      <w:r>
        <w:rPr>
          <w:b/>
        </w:rPr>
        <w:t>**</w:t>
      </w:r>
      <w:r w:rsidRPr="005E6E01">
        <w:t xml:space="preserve"> </w:t>
      </w:r>
      <w:r>
        <w:t xml:space="preserve">This section should include:  Timeline for completion of project, including approval, project duration, first and second draft of the paper and submission. </w:t>
      </w:r>
    </w:p>
    <w:p w:rsidR="00795FF3" w:rsidRDefault="00795FF3"/>
    <w:p w:rsidR="0076798A" w:rsidRDefault="0076798A" w:rsidP="0076798A"/>
    <w:sectPr w:rsidR="0076798A" w:rsidSect="00CD61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71" w:rsidRDefault="00084171">
      <w:r>
        <w:separator/>
      </w:r>
    </w:p>
  </w:endnote>
  <w:endnote w:type="continuationSeparator" w:id="0">
    <w:p w:rsidR="00084171" w:rsidRDefault="0008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4B6" w:rsidRDefault="00685531">
    <w:pPr>
      <w:pStyle w:val="Footer"/>
      <w:jc w:val="center"/>
    </w:pPr>
    <w:r>
      <w:rPr>
        <w:rStyle w:val="PageNumber"/>
      </w:rPr>
      <w:fldChar w:fldCharType="begin"/>
    </w:r>
    <w:r w:rsidR="008244B6">
      <w:rPr>
        <w:rStyle w:val="PageNumber"/>
      </w:rPr>
      <w:instrText xml:space="preserve"> PAGE </w:instrText>
    </w:r>
    <w:r>
      <w:rPr>
        <w:rStyle w:val="PageNumber"/>
      </w:rPr>
      <w:fldChar w:fldCharType="separate"/>
    </w:r>
    <w:r w:rsidR="006C6C1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71" w:rsidRDefault="00084171">
      <w:r>
        <w:separator/>
      </w:r>
    </w:p>
  </w:footnote>
  <w:footnote w:type="continuationSeparator" w:id="0">
    <w:p w:rsidR="00084171" w:rsidRDefault="00084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5BEA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2"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4"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8"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9"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10"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1"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2"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15"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16"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0"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22"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23"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25"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26"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17"/>
  </w:num>
  <w:num w:numId="19">
    <w:abstractNumId w:val="16"/>
  </w:num>
  <w:num w:numId="20">
    <w:abstractNumId w:val="18"/>
  </w:num>
  <w:num w:numId="21">
    <w:abstractNumId w:val="20"/>
  </w:num>
  <w:num w:numId="22">
    <w:abstractNumId w:val="21"/>
  </w:num>
  <w:num w:numId="23">
    <w:abstractNumId w:val="2"/>
  </w:num>
  <w:num w:numId="24">
    <w:abstractNumId w:val="23"/>
  </w:num>
  <w:num w:numId="25">
    <w:abstractNumId w:val="12"/>
  </w:num>
  <w:num w:numId="26">
    <w:abstractNumId w:val="4"/>
  </w:num>
  <w:num w:numId="27">
    <w:abstractNumId w:val="26"/>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32"/>
    <w:rsid w:val="0001679F"/>
    <w:rsid w:val="00016DB5"/>
    <w:rsid w:val="000225D2"/>
    <w:rsid w:val="0002559B"/>
    <w:rsid w:val="000327C0"/>
    <w:rsid w:val="000360B1"/>
    <w:rsid w:val="0003749D"/>
    <w:rsid w:val="000429EC"/>
    <w:rsid w:val="00043127"/>
    <w:rsid w:val="0005364D"/>
    <w:rsid w:val="000632CA"/>
    <w:rsid w:val="0007205D"/>
    <w:rsid w:val="00072691"/>
    <w:rsid w:val="00080642"/>
    <w:rsid w:val="00084171"/>
    <w:rsid w:val="0008541E"/>
    <w:rsid w:val="000863B1"/>
    <w:rsid w:val="00092A97"/>
    <w:rsid w:val="00093CEE"/>
    <w:rsid w:val="000A39AF"/>
    <w:rsid w:val="000B1240"/>
    <w:rsid w:val="000C02E5"/>
    <w:rsid w:val="0011517A"/>
    <w:rsid w:val="001330F2"/>
    <w:rsid w:val="00133352"/>
    <w:rsid w:val="00134EE0"/>
    <w:rsid w:val="0014576B"/>
    <w:rsid w:val="00153694"/>
    <w:rsid w:val="0015403F"/>
    <w:rsid w:val="00162F6E"/>
    <w:rsid w:val="001663C3"/>
    <w:rsid w:val="00177CFC"/>
    <w:rsid w:val="001B18E7"/>
    <w:rsid w:val="001E71A2"/>
    <w:rsid w:val="001F41A9"/>
    <w:rsid w:val="0020622D"/>
    <w:rsid w:val="00213D65"/>
    <w:rsid w:val="00215E09"/>
    <w:rsid w:val="00216318"/>
    <w:rsid w:val="00227478"/>
    <w:rsid w:val="00236727"/>
    <w:rsid w:val="0025540D"/>
    <w:rsid w:val="00265587"/>
    <w:rsid w:val="0028585D"/>
    <w:rsid w:val="0028652D"/>
    <w:rsid w:val="0029714D"/>
    <w:rsid w:val="002B10D1"/>
    <w:rsid w:val="002B14DB"/>
    <w:rsid w:val="002B201E"/>
    <w:rsid w:val="002E3928"/>
    <w:rsid w:val="002F0238"/>
    <w:rsid w:val="003003DA"/>
    <w:rsid w:val="00301C4D"/>
    <w:rsid w:val="00304533"/>
    <w:rsid w:val="00304D9E"/>
    <w:rsid w:val="00311688"/>
    <w:rsid w:val="003241AE"/>
    <w:rsid w:val="00336927"/>
    <w:rsid w:val="00356758"/>
    <w:rsid w:val="003632C8"/>
    <w:rsid w:val="00366F9E"/>
    <w:rsid w:val="00367D0A"/>
    <w:rsid w:val="003706AE"/>
    <w:rsid w:val="00386EE8"/>
    <w:rsid w:val="003A2C52"/>
    <w:rsid w:val="003B6296"/>
    <w:rsid w:val="003B6714"/>
    <w:rsid w:val="003D1F87"/>
    <w:rsid w:val="003D3121"/>
    <w:rsid w:val="003E1C8B"/>
    <w:rsid w:val="003E5328"/>
    <w:rsid w:val="003F1237"/>
    <w:rsid w:val="003F396F"/>
    <w:rsid w:val="004108D2"/>
    <w:rsid w:val="004126D8"/>
    <w:rsid w:val="00424C88"/>
    <w:rsid w:val="0045762D"/>
    <w:rsid w:val="00464B65"/>
    <w:rsid w:val="00473CCF"/>
    <w:rsid w:val="00490A32"/>
    <w:rsid w:val="00494C69"/>
    <w:rsid w:val="004966B5"/>
    <w:rsid w:val="004A32E0"/>
    <w:rsid w:val="004A4055"/>
    <w:rsid w:val="004A5059"/>
    <w:rsid w:val="004C52A2"/>
    <w:rsid w:val="004E77EC"/>
    <w:rsid w:val="004F15CF"/>
    <w:rsid w:val="0053704D"/>
    <w:rsid w:val="0053713C"/>
    <w:rsid w:val="005406AC"/>
    <w:rsid w:val="0056599C"/>
    <w:rsid w:val="00574935"/>
    <w:rsid w:val="005752CB"/>
    <w:rsid w:val="005905C4"/>
    <w:rsid w:val="005A053E"/>
    <w:rsid w:val="005A4C4A"/>
    <w:rsid w:val="005B161B"/>
    <w:rsid w:val="005B230F"/>
    <w:rsid w:val="005B2357"/>
    <w:rsid w:val="005B2E72"/>
    <w:rsid w:val="005B5981"/>
    <w:rsid w:val="005C6918"/>
    <w:rsid w:val="005D03B3"/>
    <w:rsid w:val="005D3ECE"/>
    <w:rsid w:val="005E6E01"/>
    <w:rsid w:val="005F63FC"/>
    <w:rsid w:val="00620ED1"/>
    <w:rsid w:val="00625483"/>
    <w:rsid w:val="006416FF"/>
    <w:rsid w:val="00662C76"/>
    <w:rsid w:val="00684669"/>
    <w:rsid w:val="00685531"/>
    <w:rsid w:val="00690389"/>
    <w:rsid w:val="00694A3E"/>
    <w:rsid w:val="00694F8A"/>
    <w:rsid w:val="006A547E"/>
    <w:rsid w:val="006A73B7"/>
    <w:rsid w:val="006B08CB"/>
    <w:rsid w:val="006C6C15"/>
    <w:rsid w:val="006D0178"/>
    <w:rsid w:val="006D37AD"/>
    <w:rsid w:val="006D3B73"/>
    <w:rsid w:val="006E0AF3"/>
    <w:rsid w:val="006F2235"/>
    <w:rsid w:val="007015CC"/>
    <w:rsid w:val="00724C57"/>
    <w:rsid w:val="0072583F"/>
    <w:rsid w:val="007333FA"/>
    <w:rsid w:val="00736BD1"/>
    <w:rsid w:val="0076798A"/>
    <w:rsid w:val="00772C19"/>
    <w:rsid w:val="00781526"/>
    <w:rsid w:val="00781D62"/>
    <w:rsid w:val="00787272"/>
    <w:rsid w:val="00795FF3"/>
    <w:rsid w:val="00796C65"/>
    <w:rsid w:val="007A2366"/>
    <w:rsid w:val="007A50BB"/>
    <w:rsid w:val="007C0131"/>
    <w:rsid w:val="007C11EA"/>
    <w:rsid w:val="007C5938"/>
    <w:rsid w:val="007D058F"/>
    <w:rsid w:val="008062C2"/>
    <w:rsid w:val="008075C3"/>
    <w:rsid w:val="008128C8"/>
    <w:rsid w:val="008244B6"/>
    <w:rsid w:val="008377AC"/>
    <w:rsid w:val="00863525"/>
    <w:rsid w:val="0087281A"/>
    <w:rsid w:val="00887DDB"/>
    <w:rsid w:val="0089069A"/>
    <w:rsid w:val="00895904"/>
    <w:rsid w:val="008A1E09"/>
    <w:rsid w:val="008C0325"/>
    <w:rsid w:val="008D3799"/>
    <w:rsid w:val="008E01FA"/>
    <w:rsid w:val="008E3110"/>
    <w:rsid w:val="00901835"/>
    <w:rsid w:val="00907B04"/>
    <w:rsid w:val="00907F6B"/>
    <w:rsid w:val="00914408"/>
    <w:rsid w:val="0092039E"/>
    <w:rsid w:val="00934211"/>
    <w:rsid w:val="00944011"/>
    <w:rsid w:val="00951762"/>
    <w:rsid w:val="00952247"/>
    <w:rsid w:val="009635C1"/>
    <w:rsid w:val="009663B9"/>
    <w:rsid w:val="00971431"/>
    <w:rsid w:val="00987070"/>
    <w:rsid w:val="00995BB2"/>
    <w:rsid w:val="009A0D03"/>
    <w:rsid w:val="009A48ED"/>
    <w:rsid w:val="009A4FDD"/>
    <w:rsid w:val="009A59AB"/>
    <w:rsid w:val="009B78E6"/>
    <w:rsid w:val="009C57EC"/>
    <w:rsid w:val="009D6059"/>
    <w:rsid w:val="009E02A8"/>
    <w:rsid w:val="009E3926"/>
    <w:rsid w:val="009F2E54"/>
    <w:rsid w:val="009F3A21"/>
    <w:rsid w:val="009F510B"/>
    <w:rsid w:val="009F6272"/>
    <w:rsid w:val="00A02AB4"/>
    <w:rsid w:val="00A14DB2"/>
    <w:rsid w:val="00A15BCC"/>
    <w:rsid w:val="00A32480"/>
    <w:rsid w:val="00A34317"/>
    <w:rsid w:val="00A43E47"/>
    <w:rsid w:val="00A61B64"/>
    <w:rsid w:val="00A9093D"/>
    <w:rsid w:val="00AA0787"/>
    <w:rsid w:val="00AA3A30"/>
    <w:rsid w:val="00AB1EAE"/>
    <w:rsid w:val="00AC2CEB"/>
    <w:rsid w:val="00AC4DFB"/>
    <w:rsid w:val="00AC5816"/>
    <w:rsid w:val="00AC792C"/>
    <w:rsid w:val="00AD23F2"/>
    <w:rsid w:val="00B01FCA"/>
    <w:rsid w:val="00B1248A"/>
    <w:rsid w:val="00B45093"/>
    <w:rsid w:val="00B66796"/>
    <w:rsid w:val="00B817B5"/>
    <w:rsid w:val="00BA33E2"/>
    <w:rsid w:val="00BB5051"/>
    <w:rsid w:val="00BC20DC"/>
    <w:rsid w:val="00BC7247"/>
    <w:rsid w:val="00BD36AD"/>
    <w:rsid w:val="00BF46E2"/>
    <w:rsid w:val="00BF50FC"/>
    <w:rsid w:val="00BF5A16"/>
    <w:rsid w:val="00BF7923"/>
    <w:rsid w:val="00C00A03"/>
    <w:rsid w:val="00C222AF"/>
    <w:rsid w:val="00C35782"/>
    <w:rsid w:val="00C4270C"/>
    <w:rsid w:val="00C46FFA"/>
    <w:rsid w:val="00C47CE7"/>
    <w:rsid w:val="00C74B66"/>
    <w:rsid w:val="00C9143F"/>
    <w:rsid w:val="00C93C75"/>
    <w:rsid w:val="00C95323"/>
    <w:rsid w:val="00CA7088"/>
    <w:rsid w:val="00CA7A29"/>
    <w:rsid w:val="00CB5DAC"/>
    <w:rsid w:val="00CC2AD2"/>
    <w:rsid w:val="00CC350D"/>
    <w:rsid w:val="00CD6156"/>
    <w:rsid w:val="00CE365A"/>
    <w:rsid w:val="00D019D5"/>
    <w:rsid w:val="00D149F6"/>
    <w:rsid w:val="00D32A7E"/>
    <w:rsid w:val="00D32DD5"/>
    <w:rsid w:val="00D600A7"/>
    <w:rsid w:val="00D616C5"/>
    <w:rsid w:val="00D6567E"/>
    <w:rsid w:val="00D67D30"/>
    <w:rsid w:val="00D72E84"/>
    <w:rsid w:val="00D73ADD"/>
    <w:rsid w:val="00D77E13"/>
    <w:rsid w:val="00D90036"/>
    <w:rsid w:val="00DA059C"/>
    <w:rsid w:val="00DA0CDC"/>
    <w:rsid w:val="00DA2017"/>
    <w:rsid w:val="00DA3F69"/>
    <w:rsid w:val="00DA62D2"/>
    <w:rsid w:val="00DA6686"/>
    <w:rsid w:val="00DC1DBE"/>
    <w:rsid w:val="00DC6EA3"/>
    <w:rsid w:val="00DE1B26"/>
    <w:rsid w:val="00DE5923"/>
    <w:rsid w:val="00DF17FC"/>
    <w:rsid w:val="00E1151B"/>
    <w:rsid w:val="00E155C1"/>
    <w:rsid w:val="00E26C2A"/>
    <w:rsid w:val="00E44683"/>
    <w:rsid w:val="00E50979"/>
    <w:rsid w:val="00E5533B"/>
    <w:rsid w:val="00E5585A"/>
    <w:rsid w:val="00E65CA9"/>
    <w:rsid w:val="00E761DA"/>
    <w:rsid w:val="00E849A8"/>
    <w:rsid w:val="00E87755"/>
    <w:rsid w:val="00E96096"/>
    <w:rsid w:val="00EA250A"/>
    <w:rsid w:val="00EB4E21"/>
    <w:rsid w:val="00EC0682"/>
    <w:rsid w:val="00EE2520"/>
    <w:rsid w:val="00EF4CC1"/>
    <w:rsid w:val="00F050A4"/>
    <w:rsid w:val="00F10770"/>
    <w:rsid w:val="00F2040B"/>
    <w:rsid w:val="00F272BB"/>
    <w:rsid w:val="00F32C86"/>
    <w:rsid w:val="00F34A8C"/>
    <w:rsid w:val="00F34EC1"/>
    <w:rsid w:val="00F36238"/>
    <w:rsid w:val="00F40D9B"/>
    <w:rsid w:val="00F473C8"/>
    <w:rsid w:val="00F474A1"/>
    <w:rsid w:val="00F55221"/>
    <w:rsid w:val="00F64BA4"/>
    <w:rsid w:val="00F66C59"/>
    <w:rsid w:val="00F67571"/>
    <w:rsid w:val="00F711FA"/>
    <w:rsid w:val="00F8020A"/>
    <w:rsid w:val="00F84630"/>
    <w:rsid w:val="00F94172"/>
    <w:rsid w:val="00FA288A"/>
    <w:rsid w:val="00FA532A"/>
    <w:rsid w:val="00FB0397"/>
    <w:rsid w:val="00FC3994"/>
    <w:rsid w:val="00FD208E"/>
    <w:rsid w:val="00FE2671"/>
    <w:rsid w:val="00FE285A"/>
    <w:rsid w:val="00FE4B1C"/>
    <w:rsid w:val="00FE7326"/>
    <w:rsid w:val="00FF5E28"/>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5AE27"/>
  <w15:docId w15:val="{2FBF9850-E94C-4797-AF4C-DC71257C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customStyle="1" w:styleId="GridTable21">
    <w:name w:val="Grid Table 21"/>
    <w:basedOn w:val="Normal"/>
    <w:next w:val="Normal"/>
    <w:uiPriority w:val="37"/>
    <w:semiHidden/>
    <w:unhideWhenUsed/>
    <w:rsid w:val="007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creator>Melissa Basford</dc:creator>
  <cp:lastModifiedBy>City, Brittany</cp:lastModifiedBy>
  <cp:revision>2</cp:revision>
  <cp:lastPrinted>2008-11-03T19:46:00Z</cp:lastPrinted>
  <dcterms:created xsi:type="dcterms:W3CDTF">2017-08-17T16:50:00Z</dcterms:created>
  <dcterms:modified xsi:type="dcterms:W3CDTF">2017-08-17T16:50:00Z</dcterms:modified>
</cp:coreProperties>
</file>