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A5" w:rsidRDefault="00D7733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eMERGE</w:t>
      </w:r>
      <w:proofErr w:type="gramEnd"/>
      <w:r>
        <w:rPr>
          <w:b/>
          <w:sz w:val="28"/>
          <w:szCs w:val="28"/>
        </w:rPr>
        <w:t xml:space="preserve"> Network Proposal for Analysis</w:t>
      </w:r>
    </w:p>
    <w:p w:rsidR="006860A5" w:rsidRDefault="00D773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Project/Manuscript Concept Sheet</w:t>
      </w:r>
    </w:p>
    <w:p w:rsidR="006860A5" w:rsidRDefault="006860A5"/>
    <w:tbl>
      <w:tblPr>
        <w:tblStyle w:val="a"/>
        <w:tblW w:w="852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6270"/>
      </w:tblGrid>
      <w:tr w:rsidR="00D7733E" w:rsidTr="007331AC">
        <w:trPr>
          <w:trHeight w:val="261"/>
        </w:trPr>
        <w:tc>
          <w:tcPr>
            <w:tcW w:w="2250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33E" w:rsidRDefault="00D7733E">
            <w:pPr>
              <w:widowControl w:val="0"/>
              <w:rPr>
                <w:b/>
              </w:rPr>
            </w:pPr>
            <w:r>
              <w:rPr>
                <w:b/>
              </w:rPr>
              <w:t>Reference Number</w:t>
            </w:r>
          </w:p>
        </w:tc>
        <w:tc>
          <w:tcPr>
            <w:tcW w:w="6270" w:type="dxa"/>
            <w:tcBorders>
              <w:top w:val="single" w:sz="7" w:space="0" w:color="C0C0C0"/>
              <w:left w:val="nil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33E" w:rsidRDefault="00D7733E">
            <w:pPr>
              <w:widowControl w:val="0"/>
            </w:pPr>
            <w:r>
              <w:t>NT256</w:t>
            </w:r>
            <w:bookmarkStart w:id="0" w:name="_GoBack"/>
            <w:bookmarkEnd w:id="0"/>
          </w:p>
        </w:tc>
      </w:tr>
      <w:tr w:rsidR="006860A5" w:rsidTr="007331AC">
        <w:trPr>
          <w:trHeight w:val="261"/>
        </w:trPr>
        <w:tc>
          <w:tcPr>
            <w:tcW w:w="2250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  <w:rPr>
                <w:b/>
              </w:rPr>
            </w:pPr>
            <w:r>
              <w:rPr>
                <w:b/>
              </w:rPr>
              <w:t>Submission Date</w:t>
            </w:r>
          </w:p>
        </w:tc>
        <w:tc>
          <w:tcPr>
            <w:tcW w:w="6270" w:type="dxa"/>
            <w:tcBorders>
              <w:top w:val="single" w:sz="7" w:space="0" w:color="C0C0C0"/>
              <w:left w:val="nil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7331AC">
            <w:pPr>
              <w:widowControl w:val="0"/>
            </w:pPr>
            <w:r>
              <w:t>September 7</w:t>
            </w:r>
            <w:r w:rsidRPr="007331AC">
              <w:rPr>
                <w:vertAlign w:val="superscript"/>
              </w:rPr>
              <w:t>th</w:t>
            </w:r>
            <w:r>
              <w:t xml:space="preserve">, </w:t>
            </w:r>
            <w:r w:rsidR="00D7733E">
              <w:t>2017</w:t>
            </w:r>
          </w:p>
        </w:tc>
      </w:tr>
      <w:tr w:rsidR="006860A5" w:rsidTr="007331AC">
        <w:trPr>
          <w:trHeight w:val="837"/>
        </w:trPr>
        <w:tc>
          <w:tcPr>
            <w:tcW w:w="2250" w:type="dxa"/>
            <w:tcBorders>
              <w:top w:val="nil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  <w:rPr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6270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</w:pPr>
            <w:r>
              <w:t>Revealing hidden white blood cell count phenotypes for gene discovery: deep phenotyping with latent class mixed modeling.</w:t>
            </w:r>
          </w:p>
        </w:tc>
      </w:tr>
      <w:tr w:rsidR="006860A5" w:rsidTr="007331AC">
        <w:trPr>
          <w:trHeight w:val="660"/>
        </w:trPr>
        <w:tc>
          <w:tcPr>
            <w:tcW w:w="2250" w:type="dxa"/>
            <w:tcBorders>
              <w:top w:val="nil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  <w:rPr>
                <w:b/>
              </w:rPr>
            </w:pPr>
            <w:r>
              <w:rPr>
                <w:b/>
              </w:rPr>
              <w:t>Tentative Lead Investigator (first author)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</w:pPr>
            <w:r>
              <w:t>Taryn O. Hall</w:t>
            </w:r>
          </w:p>
        </w:tc>
      </w:tr>
      <w:tr w:rsidR="006860A5" w:rsidTr="007331AC">
        <w:trPr>
          <w:trHeight w:val="674"/>
        </w:trPr>
        <w:tc>
          <w:tcPr>
            <w:tcW w:w="2250" w:type="dxa"/>
            <w:tcBorders>
              <w:top w:val="nil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  <w:rPr>
                <w:b/>
              </w:rPr>
            </w:pPr>
            <w:r>
              <w:rPr>
                <w:b/>
              </w:rPr>
              <w:t>Tentative Senior Author (last author)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</w:pPr>
            <w:r>
              <w:t>David R. Crosslin</w:t>
            </w:r>
          </w:p>
          <w:p w:rsidR="006860A5" w:rsidRDefault="006860A5">
            <w:pPr>
              <w:widowControl w:val="0"/>
            </w:pPr>
          </w:p>
        </w:tc>
      </w:tr>
      <w:tr w:rsidR="006860A5" w:rsidTr="007331AC">
        <w:trPr>
          <w:trHeight w:val="341"/>
        </w:trPr>
        <w:tc>
          <w:tcPr>
            <w:tcW w:w="2250" w:type="dxa"/>
            <w:tcBorders>
              <w:top w:val="nil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</w:pPr>
            <w:r>
              <w:t>All other authors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</w:pPr>
            <w:r>
              <w:t xml:space="preserve">Gail P. Jarvik, Ian B. </w:t>
            </w:r>
            <w:proofErr w:type="spellStart"/>
            <w:r>
              <w:t>Stanaway</w:t>
            </w:r>
            <w:proofErr w:type="spellEnd"/>
          </w:p>
        </w:tc>
      </w:tr>
      <w:tr w:rsidR="006860A5" w:rsidTr="007331AC">
        <w:trPr>
          <w:trHeight w:val="980"/>
        </w:trPr>
        <w:tc>
          <w:tcPr>
            <w:tcW w:w="2250" w:type="dxa"/>
            <w:tcBorders>
              <w:top w:val="nil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  <w:rPr>
                <w:b/>
              </w:rPr>
            </w:pPr>
            <w:r>
              <w:rPr>
                <w:b/>
              </w:rPr>
              <w:t>Sites Involved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</w:pPr>
            <w:r>
              <w:t xml:space="preserve"> </w:t>
            </w:r>
          </w:p>
          <w:p w:rsidR="006860A5" w:rsidRDefault="00D7733E">
            <w:pPr>
              <w:widowControl w:val="0"/>
            </w:pPr>
            <w:r>
              <w:t>All eMERGE sites</w:t>
            </w:r>
          </w:p>
        </w:tc>
      </w:tr>
      <w:tr w:rsidR="006860A5" w:rsidTr="007331AC">
        <w:trPr>
          <w:trHeight w:val="6960"/>
        </w:trPr>
        <w:tc>
          <w:tcPr>
            <w:tcW w:w="2250" w:type="dxa"/>
            <w:tcBorders>
              <w:top w:val="nil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</w:pPr>
            <w:r>
              <w:rPr>
                <w:b/>
              </w:rPr>
              <w:t>Background / Significance</w:t>
            </w:r>
          </w:p>
          <w:p w:rsidR="006860A5" w:rsidRDefault="006860A5">
            <w:pPr>
              <w:widowControl w:val="0"/>
              <w:rPr>
                <w:b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spacing w:line="240" w:lineRule="auto"/>
            </w:pPr>
            <w:r>
              <w:t>White blood cell (WBC) count is a marker of systemic inflammation and immune system health. WBC count varies acutely in response to infection and other environmental exposures, however resting-state WBC may be an indicator of chronic disease risk. Elevated</w:t>
            </w:r>
            <w:r>
              <w:t xml:space="preserve"> resting WBC count has been associated with metabolic syndrome</w:t>
            </w:r>
            <w:hyperlink r:id="rId5">
              <w:r>
                <w:t>(Chao et al. 2014; Pei et al. 2015)</w:t>
              </w:r>
            </w:hyperlink>
            <w:r>
              <w:t>, cardiovascular disease</w:t>
            </w:r>
            <w:hyperlink r:id="rId6">
              <w:r>
                <w:t>(Huh et al.</w:t>
              </w:r>
              <w:r>
                <w:t xml:space="preserve"> 2015; </w:t>
              </w:r>
              <w:proofErr w:type="spellStart"/>
              <w:r>
                <w:t>Loimaala</w:t>
              </w:r>
              <w:proofErr w:type="spellEnd"/>
              <w:r>
                <w:t xml:space="preserve"> et al. 2006)</w:t>
              </w:r>
            </w:hyperlink>
            <w:r>
              <w:t xml:space="preserve"> and mortality</w:t>
            </w:r>
            <w:hyperlink r:id="rId7">
              <w:r>
                <w:t xml:space="preserve">(Nilsson, </w:t>
              </w:r>
              <w:proofErr w:type="spellStart"/>
              <w:r>
                <w:t>Hedberg</w:t>
              </w:r>
              <w:proofErr w:type="spellEnd"/>
              <w:r>
                <w:t xml:space="preserve">, and </w:t>
              </w:r>
              <w:proofErr w:type="spellStart"/>
              <w:r>
                <w:t>Ohrvik</w:t>
              </w:r>
              <w:proofErr w:type="spellEnd"/>
              <w:r>
                <w:t xml:space="preserve"> 2014; Ahmadi-</w:t>
              </w:r>
              <w:proofErr w:type="spellStart"/>
              <w:r>
                <w:t>Abhari</w:t>
              </w:r>
              <w:proofErr w:type="spellEnd"/>
              <w:r>
                <w:t xml:space="preserve">, </w:t>
              </w:r>
              <w:proofErr w:type="spellStart"/>
              <w:r>
                <w:t>Luben</w:t>
              </w:r>
              <w:proofErr w:type="spellEnd"/>
              <w:r>
                <w:t>, and Wareham 2013)</w:t>
              </w:r>
            </w:hyperlink>
            <w:r>
              <w:t>).  This may reflect excess inflammation as evidenced by WBC count, or leukoc</w:t>
            </w:r>
            <w:r>
              <w:t xml:space="preserve">ytes may contribute directly to disease </w:t>
            </w:r>
            <w:hyperlink r:id="rId8">
              <w:r>
                <w:t>(</w:t>
              </w:r>
              <w:proofErr w:type="spellStart"/>
              <w:r>
                <w:t>Coller</w:t>
              </w:r>
              <w:proofErr w:type="spellEnd"/>
              <w:r>
                <w:t xml:space="preserve"> 2005)</w:t>
              </w:r>
            </w:hyperlink>
            <w:r>
              <w:t>.</w:t>
            </w:r>
          </w:p>
          <w:p w:rsidR="006860A5" w:rsidRDefault="006860A5">
            <w:pPr>
              <w:spacing w:line="240" w:lineRule="auto"/>
            </w:pPr>
          </w:p>
          <w:p w:rsidR="006860A5" w:rsidRDefault="00D7733E">
            <w:pPr>
              <w:spacing w:line="240" w:lineRule="auto"/>
            </w:pPr>
            <w:r>
              <w:t xml:space="preserve">There is evidence that steady-state WBC count is not fixed over time. Longitudinal analysis has shown a U-shaped pattern in WBC counts over the </w:t>
            </w:r>
            <w:r>
              <w:t xml:space="preserve">lifespan, with the point of inflection around 60 years old </w:t>
            </w:r>
            <w:hyperlink r:id="rId9">
              <w:r>
                <w:t>(</w:t>
              </w:r>
              <w:proofErr w:type="spellStart"/>
              <w:r>
                <w:t>Chmielewski</w:t>
              </w:r>
              <w:proofErr w:type="spellEnd"/>
              <w:r>
                <w:t xml:space="preserve"> et al. 2016)</w:t>
              </w:r>
            </w:hyperlink>
            <w:r>
              <w:t xml:space="preserve">. Heterogeneity in WBC count trajectory also exists and some trajectories are associated with morbidity and </w:t>
            </w:r>
            <w:proofErr w:type="gramStart"/>
            <w:r>
              <w:t>mortality</w:t>
            </w:r>
            <w:proofErr w:type="gramEnd"/>
            <w:r>
              <w:fldChar w:fldCharType="begin"/>
            </w:r>
            <w:r>
              <w:instrText xml:space="preserve"> HYPERLINK "https://paperpile.com/c/JHNnCi/gQMs" \h </w:instrText>
            </w:r>
            <w:r>
              <w:fldChar w:fldCharType="separate"/>
            </w:r>
            <w:r>
              <w:t>(Ruggiero et al. 2007)</w:t>
            </w:r>
            <w:r>
              <w:fldChar w:fldCharType="end"/>
            </w:r>
            <w:r>
              <w:t>. Because WBC count is also influenced by adiposity, changes in steady-state WBC count may reflect age-related change in body composition. However, in a mouse model, different str</w:t>
            </w:r>
            <w:r>
              <w:t xml:space="preserve">ains exhibited different WBC count trajectories, indicating these trajectories may be under genetic control </w:t>
            </w:r>
            <w:hyperlink r:id="rId10">
              <w:r>
                <w:t>(</w:t>
              </w:r>
              <w:proofErr w:type="spellStart"/>
              <w:r>
                <w:t>Telieps</w:t>
              </w:r>
              <w:proofErr w:type="spellEnd"/>
              <w:r>
                <w:t xml:space="preserve"> et al. 2016)</w:t>
              </w:r>
            </w:hyperlink>
            <w:r>
              <w:t xml:space="preserve">. </w:t>
            </w:r>
          </w:p>
          <w:p w:rsidR="006860A5" w:rsidRDefault="006860A5">
            <w:pPr>
              <w:spacing w:line="240" w:lineRule="auto"/>
            </w:pPr>
          </w:p>
          <w:p w:rsidR="006860A5" w:rsidRDefault="00D7733E">
            <w:pPr>
              <w:spacing w:line="240" w:lineRule="auto"/>
            </w:pPr>
            <w:r>
              <w:t xml:space="preserve">Deep phenotyping aims to increase the granularity of a phenotype in hopes that a more precise phenotype will increase the power of a GWAS and lead to more precise and larger effect size </w:t>
            </w:r>
            <w:proofErr w:type="gramStart"/>
            <w:r>
              <w:t>estimates</w:t>
            </w:r>
            <w:proofErr w:type="gramEnd"/>
            <w:r>
              <w:fldChar w:fldCharType="begin"/>
            </w:r>
            <w:r>
              <w:instrText xml:space="preserve"> HYPERLINK "https://paperpile.com/c/JHNnCi/ut3Rj" \h </w:instrText>
            </w:r>
            <w:r>
              <w:fldChar w:fldCharType="separate"/>
            </w:r>
            <w:r>
              <w:t>(</w:t>
            </w:r>
            <w:proofErr w:type="spellStart"/>
            <w:r>
              <w:t>Manc</w:t>
            </w:r>
            <w:r>
              <w:t>hia</w:t>
            </w:r>
            <w:proofErr w:type="spellEnd"/>
            <w:r>
              <w:t xml:space="preserve"> et al. 2013)</w:t>
            </w:r>
            <w:r>
              <w:fldChar w:fldCharType="end"/>
            </w:r>
            <w:r>
              <w:t xml:space="preserve">. Extending a phenotype over time by </w:t>
            </w:r>
            <w:proofErr w:type="spellStart"/>
            <w:r>
              <w:t>characterising</w:t>
            </w:r>
            <w:proofErr w:type="spellEnd"/>
            <w:r>
              <w:t xml:space="preserve"> different patterns in longitudinal data is one strategy to deepen </w:t>
            </w:r>
            <w:proofErr w:type="gramStart"/>
            <w:r>
              <w:t>phenotype</w:t>
            </w:r>
            <w:proofErr w:type="gramEnd"/>
            <w:r>
              <w:fldChar w:fldCharType="begin"/>
            </w:r>
            <w:r>
              <w:instrText xml:space="preserve"> HYPERLINK "https://paperpile.com/c/JHNnCi/10ciX" \h </w:instrText>
            </w:r>
            <w:r>
              <w:fldChar w:fldCharType="separate"/>
            </w:r>
            <w:r>
              <w:t>(Tracy 2008)</w:t>
            </w:r>
            <w:r>
              <w:fldChar w:fldCharType="end"/>
            </w:r>
            <w:r>
              <w:t>. Trajectory heterogeneity may be difficult t</w:t>
            </w:r>
            <w:r>
              <w:t>o observe in large, observational datasets using standard statistical methods. Latent class mixed modeling (LCMM) is a method that can identify unobserved heterogeneity in longitudinal data and attempts to classify individuals into groups based on a linear</w:t>
            </w:r>
            <w:r>
              <w:t xml:space="preserve"> model of repeated measurements over time </w:t>
            </w:r>
            <w:hyperlink r:id="rId11">
              <w:r>
                <w:t xml:space="preserve">(Proust-Lima, Philipps, and </w:t>
              </w:r>
              <w:proofErr w:type="spellStart"/>
              <w:r>
                <w:t>Liquet</w:t>
              </w:r>
              <w:proofErr w:type="spellEnd"/>
              <w:r>
                <w:t xml:space="preserve"> 2017)</w:t>
              </w:r>
            </w:hyperlink>
            <w:r>
              <w:t xml:space="preserve">. </w:t>
            </w:r>
          </w:p>
        </w:tc>
      </w:tr>
      <w:tr w:rsidR="006860A5" w:rsidTr="007331AC">
        <w:trPr>
          <w:trHeight w:val="9500"/>
        </w:trPr>
        <w:tc>
          <w:tcPr>
            <w:tcW w:w="2250" w:type="dxa"/>
            <w:tcBorders>
              <w:top w:val="nil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  <w:rPr>
                <w:b/>
              </w:rPr>
            </w:pPr>
            <w:r>
              <w:rPr>
                <w:b/>
              </w:rPr>
              <w:t>Outline of Project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</w:pPr>
            <w:r>
              <w:t>1. Run LCMM on WBC counts repeated measures to identify latent, trajectory-based phenotypes (</w:t>
            </w:r>
            <w:r>
              <w:rPr>
                <w:color w:val="FF0000"/>
              </w:rPr>
              <w:t>alr</w:t>
            </w:r>
            <w:r>
              <w:rPr>
                <w:color w:val="FF0000"/>
              </w:rPr>
              <w:t>eady completed</w:t>
            </w:r>
            <w:r>
              <w:t>)</w:t>
            </w:r>
          </w:p>
          <w:p w:rsidR="006860A5" w:rsidRDefault="00D7733E">
            <w:pPr>
              <w:widowControl w:val="0"/>
            </w:pPr>
            <w:r>
              <w:t>2. Move latent phenotype forward to GWAS with imputed data for gene discovery (</w:t>
            </w:r>
            <w:r>
              <w:rPr>
                <w:color w:val="FF0000"/>
              </w:rPr>
              <w:t>already completed</w:t>
            </w:r>
            <w:r>
              <w:t>)</w:t>
            </w:r>
          </w:p>
          <w:p w:rsidR="006860A5" w:rsidRDefault="00D7733E">
            <w:pPr>
              <w:widowControl w:val="0"/>
            </w:pPr>
            <w:r>
              <w:t>3. Draft manuscript (</w:t>
            </w:r>
            <w:r>
              <w:rPr>
                <w:color w:val="FF0000"/>
              </w:rPr>
              <w:t>in the process</w:t>
            </w:r>
            <w:r>
              <w:t>)</w:t>
            </w:r>
          </w:p>
          <w:p w:rsidR="006860A5" w:rsidRDefault="00D7733E">
            <w:pPr>
              <w:widowControl w:val="0"/>
            </w:pPr>
            <w:r>
              <w:t>4. Publish</w:t>
            </w:r>
          </w:p>
          <w:p w:rsidR="006860A5" w:rsidRDefault="006860A5">
            <w:pPr>
              <w:widowControl w:val="0"/>
              <w:rPr>
                <w:u w:val="single"/>
              </w:rPr>
            </w:pPr>
          </w:p>
        </w:tc>
      </w:tr>
      <w:tr w:rsidR="006860A5" w:rsidTr="007331AC">
        <w:trPr>
          <w:trHeight w:val="2280"/>
        </w:trPr>
        <w:tc>
          <w:tcPr>
            <w:tcW w:w="2250" w:type="dxa"/>
            <w:tcBorders>
              <w:top w:val="nil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  <w:rPr>
                <w:b/>
              </w:rPr>
            </w:pPr>
            <w:r>
              <w:rPr>
                <w:b/>
              </w:rPr>
              <w:t>Desired</w:t>
            </w:r>
          </w:p>
          <w:p w:rsidR="006860A5" w:rsidRDefault="00D7733E">
            <w:pPr>
              <w:widowControl w:val="0"/>
              <w:rPr>
                <w:b/>
              </w:rPr>
            </w:pPr>
            <w:r>
              <w:rPr>
                <w:b/>
              </w:rPr>
              <w:t>Variables (essential for analysis</w:t>
            </w:r>
          </w:p>
          <w:p w:rsidR="006860A5" w:rsidRDefault="00D7733E">
            <w:pPr>
              <w:widowControl w:val="0"/>
              <w:rPr>
                <w:b/>
              </w:rPr>
            </w:pPr>
            <w:r>
              <w:rPr>
                <w:b/>
              </w:rPr>
              <w:t>indicated by *)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Phenotypes:</w:t>
            </w:r>
          </w:p>
          <w:p w:rsidR="006860A5" w:rsidRDefault="00D7733E">
            <w:pPr>
              <w:numPr>
                <w:ilvl w:val="0"/>
                <w:numId w:val="1"/>
              </w:numPr>
              <w:contextualSpacing/>
            </w:pPr>
            <w:r>
              <w:t>Repeated measures of WBC counts* and differential already collected in eMERGE I and stored at UW.</w:t>
            </w:r>
          </w:p>
          <w:p w:rsidR="006860A5" w:rsidRDefault="00D773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Covariates:</w:t>
            </w:r>
          </w:p>
          <w:p w:rsidR="006860A5" w:rsidRDefault="00D7733E">
            <w:pPr>
              <w:widowControl w:val="0"/>
            </w:pPr>
            <w:r>
              <w:rPr>
                <w:u w:val="single"/>
              </w:rPr>
              <w:t>Demographic:</w:t>
            </w:r>
            <w:r>
              <w:t xml:space="preserve"> Height, weight (at visit), sex, self-identified race and age at event*.</w:t>
            </w:r>
          </w:p>
        </w:tc>
      </w:tr>
      <w:tr w:rsidR="006860A5" w:rsidTr="007331AC">
        <w:trPr>
          <w:trHeight w:val="1120"/>
        </w:trPr>
        <w:tc>
          <w:tcPr>
            <w:tcW w:w="2250" w:type="dxa"/>
            <w:tcBorders>
              <w:top w:val="nil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  <w:rPr>
                <w:b/>
              </w:rPr>
            </w:pPr>
            <w:r>
              <w:rPr>
                <w:b/>
              </w:rPr>
              <w:t>Desired data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6860A5">
            <w:pPr>
              <w:widowControl w:val="0"/>
            </w:pPr>
          </w:p>
        </w:tc>
      </w:tr>
      <w:tr w:rsidR="006860A5" w:rsidTr="007331AC">
        <w:trPr>
          <w:trHeight w:val="2280"/>
        </w:trPr>
        <w:tc>
          <w:tcPr>
            <w:tcW w:w="2250" w:type="dxa"/>
            <w:tcBorders>
              <w:top w:val="nil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  <w:rPr>
                <w:b/>
              </w:rPr>
            </w:pPr>
            <w:r>
              <w:rPr>
                <w:b/>
              </w:rPr>
              <w:t>Planned Statistical Analyses</w:t>
            </w:r>
          </w:p>
        </w:tc>
        <w:tc>
          <w:tcPr>
            <w:tcW w:w="6270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</w:pPr>
            <w:r>
              <w:t>1. Run LCMM to discover latent trajectory based phenotype</w:t>
            </w:r>
          </w:p>
          <w:p w:rsidR="006860A5" w:rsidRDefault="00D7733E">
            <w:pPr>
              <w:widowControl w:val="0"/>
            </w:pPr>
            <w:r>
              <w:t>2. GWAS with identified latent phenotypes as a logistic regression analyses.</w:t>
            </w:r>
          </w:p>
          <w:p w:rsidR="006860A5" w:rsidRDefault="006860A5">
            <w:pPr>
              <w:widowControl w:val="0"/>
            </w:pPr>
          </w:p>
          <w:p w:rsidR="006860A5" w:rsidRDefault="00D7733E">
            <w:pPr>
              <w:widowControl w:val="0"/>
            </w:pPr>
            <w:r>
              <w:t xml:space="preserve"> </w:t>
            </w:r>
          </w:p>
        </w:tc>
      </w:tr>
      <w:tr w:rsidR="006860A5" w:rsidTr="007331AC">
        <w:trPr>
          <w:trHeight w:val="1060"/>
        </w:trPr>
        <w:tc>
          <w:tcPr>
            <w:tcW w:w="2250" w:type="dxa"/>
            <w:tcBorders>
              <w:top w:val="nil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  <w:rPr>
                <w:b/>
              </w:rPr>
            </w:pPr>
            <w:r>
              <w:rPr>
                <w:b/>
              </w:rPr>
              <w:t>Ethical considerations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</w:pPr>
            <w:r>
              <w:t xml:space="preserve"> </w:t>
            </w:r>
          </w:p>
          <w:p w:rsidR="006860A5" w:rsidRDefault="00D7733E">
            <w:pPr>
              <w:widowControl w:val="0"/>
            </w:pPr>
            <w:r>
              <w:t>There are no physical risks involved.</w:t>
            </w:r>
          </w:p>
        </w:tc>
      </w:tr>
      <w:tr w:rsidR="006860A5" w:rsidTr="007331AC">
        <w:trPr>
          <w:trHeight w:val="980"/>
        </w:trPr>
        <w:tc>
          <w:tcPr>
            <w:tcW w:w="2250" w:type="dxa"/>
            <w:tcBorders>
              <w:top w:val="nil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  <w:rPr>
                <w:b/>
              </w:rPr>
            </w:pPr>
            <w:r>
              <w:rPr>
                <w:b/>
              </w:rPr>
              <w:t>Target Journal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</w:pPr>
            <w:r>
              <w:t>Genes and Immunity</w:t>
            </w:r>
          </w:p>
          <w:p w:rsidR="006860A5" w:rsidRDefault="006860A5">
            <w:pPr>
              <w:widowControl w:val="0"/>
            </w:pPr>
          </w:p>
          <w:p w:rsidR="006860A5" w:rsidRDefault="006860A5">
            <w:pPr>
              <w:widowControl w:val="0"/>
            </w:pPr>
          </w:p>
        </w:tc>
      </w:tr>
      <w:tr w:rsidR="006860A5" w:rsidTr="007331AC">
        <w:trPr>
          <w:trHeight w:val="2000"/>
        </w:trPr>
        <w:tc>
          <w:tcPr>
            <w:tcW w:w="2250" w:type="dxa"/>
            <w:tcBorders>
              <w:top w:val="nil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  <w:rPr>
                <w:b/>
              </w:rPr>
            </w:pPr>
            <w:r>
              <w:rPr>
                <w:b/>
              </w:rPr>
              <w:t>Milestones**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7" w:space="0" w:color="C0C0C0"/>
              <w:right w:val="single" w:sz="7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0A5" w:rsidRDefault="00D7733E">
            <w:pPr>
              <w:widowControl w:val="0"/>
            </w:pPr>
            <w:r>
              <w:t>Construct latent phenotype using LCMM</w:t>
            </w:r>
          </w:p>
          <w:p w:rsidR="006860A5" w:rsidRDefault="00D7733E">
            <w:pPr>
              <w:widowControl w:val="0"/>
            </w:pPr>
            <w:r>
              <w:t>GWAS with latent phenotype and imputed data</w:t>
            </w:r>
          </w:p>
          <w:p w:rsidR="006860A5" w:rsidRDefault="00D7733E">
            <w:pPr>
              <w:widowControl w:val="0"/>
            </w:pPr>
            <w:r>
              <w:t>Draft manuscript</w:t>
            </w:r>
          </w:p>
          <w:p w:rsidR="006860A5" w:rsidRDefault="00D7733E">
            <w:pPr>
              <w:widowControl w:val="0"/>
            </w:pPr>
            <w:r>
              <w:t>Publish</w:t>
            </w:r>
          </w:p>
          <w:p w:rsidR="006860A5" w:rsidRDefault="00D7733E">
            <w:pPr>
              <w:widowControl w:val="0"/>
            </w:pPr>
            <w:r>
              <w:t xml:space="preserve"> </w:t>
            </w:r>
          </w:p>
        </w:tc>
      </w:tr>
    </w:tbl>
    <w:p w:rsidR="006860A5" w:rsidRDefault="00D7733E">
      <w:r>
        <w:rPr>
          <w:b/>
        </w:rPr>
        <w:t>**</w:t>
      </w:r>
      <w:r>
        <w:t xml:space="preserve"> This section should include:  Timeline for completion of project, including approval, project duration, first and second draft of the paper and submission.</w:t>
      </w:r>
    </w:p>
    <w:p w:rsidR="006860A5" w:rsidRDefault="006860A5"/>
    <w:p w:rsidR="006860A5" w:rsidRDefault="00D7733E">
      <w:r>
        <w:rPr>
          <w:noProof/>
          <w:lang w:val="en-US"/>
        </w:rPr>
        <w:drawing>
          <wp:inline distT="114300" distB="114300" distL="114300" distR="114300">
            <wp:extent cx="4572000" cy="4572000"/>
            <wp:effectExtent l="0" t="0" r="0" b="0"/>
            <wp:docPr id="1" name="image3.png" descr="Fig1_40_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Fig1_40_8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860A5" w:rsidRDefault="00D7733E">
      <w:r>
        <w:t xml:space="preserve">Image 1: Latent trajectory phenotypes revealed by LCMM </w:t>
      </w:r>
      <w:r>
        <w:rPr>
          <w:noProof/>
          <w:lang w:val="en-US"/>
        </w:rPr>
        <w:drawing>
          <wp:inline distT="114300" distB="114300" distL="114300" distR="114300">
            <wp:extent cx="5943600" cy="2971800"/>
            <wp:effectExtent l="0" t="0" r="0" b="0"/>
            <wp:docPr id="2" name="image4.png" descr="manhattan.traj_EV.au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manhattan.traj_EV.aug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860A5" w:rsidRDefault="00D7733E">
      <w:pPr>
        <w:widowControl w:val="0"/>
        <w:spacing w:before="220" w:line="240" w:lineRule="auto"/>
        <w:ind w:left="440" w:hanging="440"/>
      </w:pPr>
      <w:r>
        <w:t xml:space="preserve">Image 2: GWAS (all ancestry) of latent </w:t>
      </w:r>
      <w:r>
        <w:t>phenotypes using imputed genetic dataset</w:t>
      </w:r>
    </w:p>
    <w:p w:rsidR="006860A5" w:rsidRDefault="00D7733E">
      <w:pPr>
        <w:widowControl w:val="0"/>
        <w:spacing w:before="220" w:line="240" w:lineRule="auto"/>
        <w:ind w:left="440" w:hanging="440"/>
      </w:pPr>
      <w:r>
        <w:t>References</w:t>
      </w:r>
    </w:p>
    <w:p w:rsidR="006860A5" w:rsidRDefault="00D7733E">
      <w:pPr>
        <w:widowControl w:val="0"/>
        <w:spacing w:before="220" w:line="240" w:lineRule="auto"/>
        <w:ind w:left="440" w:hanging="440"/>
      </w:pPr>
      <w:hyperlink r:id="rId14">
        <w:r>
          <w:t>Ahmadi-Abhari, S., R. N. Luben, and N. J. Wareham. 2013. “Seventeen Year Risk of All-Cause and Cause-Specific Mortality Associated with C-Reactive Pr</w:t>
        </w:r>
        <w:r>
          <w:t xml:space="preserve">otein, Fibrinogen and Leukocyte Count in Men and Women: The EPIC-Norfolk ….” </w:t>
        </w:r>
      </w:hyperlink>
      <w:hyperlink r:id="rId15">
        <w:r>
          <w:rPr>
            <w:i/>
          </w:rPr>
          <w:t>European Journal of</w:t>
        </w:r>
      </w:hyperlink>
      <w:hyperlink r:id="rId16">
        <w:r>
          <w:t xml:space="preserve">. Springer. </w:t>
        </w:r>
      </w:hyperlink>
      <w:hyperlink r:id="rId17">
        <w:r>
          <w:t>http://link.springer.com/article/10.1007/s10654-013-9819-6</w:t>
        </w:r>
      </w:hyperlink>
      <w:hyperlink r:id="rId18">
        <w:r>
          <w:t>.</w:t>
        </w:r>
      </w:hyperlink>
    </w:p>
    <w:p w:rsidR="006860A5" w:rsidRDefault="00D7733E">
      <w:pPr>
        <w:widowControl w:val="0"/>
        <w:spacing w:line="240" w:lineRule="auto"/>
        <w:ind w:left="440" w:hanging="440"/>
      </w:pPr>
      <w:hyperlink r:id="rId19">
        <w:r>
          <w:t>Chao, Ting-Ting, Chang-</w:t>
        </w:r>
        <w:proofErr w:type="spellStart"/>
        <w:r>
          <w:t>Hsun</w:t>
        </w:r>
        <w:proofErr w:type="spellEnd"/>
        <w:r>
          <w:t xml:space="preserve"> Hsieh, </w:t>
        </w:r>
        <w:proofErr w:type="spellStart"/>
        <w:r>
          <w:t>Jiunn</w:t>
        </w:r>
        <w:proofErr w:type="spellEnd"/>
        <w:r>
          <w:t>-Diann</w:t>
        </w:r>
        <w:r>
          <w:t xml:space="preserve"> Lin, Chung-</w:t>
        </w:r>
        <w:proofErr w:type="spellStart"/>
        <w:r>
          <w:t>Ze</w:t>
        </w:r>
        <w:proofErr w:type="spellEnd"/>
        <w:r>
          <w:t xml:space="preserve"> Wu, Chun-Hsien Hsu, Dee Pei, Yen-Lin Chen, Yao-Jen Liang, and </w:t>
        </w:r>
        <w:proofErr w:type="spellStart"/>
        <w:r>
          <w:t>Jin-Biou</w:t>
        </w:r>
        <w:proofErr w:type="spellEnd"/>
        <w:r>
          <w:t xml:space="preserve"> Chang. 2014. “Use of White Blood Cell Counts to Predict Metabolic Syndrome in the Elderly: A 4 Year Longitudinal Study.” </w:t>
        </w:r>
      </w:hyperlink>
      <w:hyperlink r:id="rId20">
        <w:r>
          <w:rPr>
            <w:i/>
          </w:rPr>
          <w:t>The Aging Male: The Official Journal of the International Society for the Study of the Aging Male</w:t>
        </w:r>
      </w:hyperlink>
      <w:hyperlink r:id="rId21">
        <w:r>
          <w:t xml:space="preserve"> 17 (4): 230–37.</w:t>
        </w:r>
      </w:hyperlink>
    </w:p>
    <w:p w:rsidR="006860A5" w:rsidRDefault="00D7733E">
      <w:pPr>
        <w:widowControl w:val="0"/>
        <w:spacing w:line="240" w:lineRule="auto"/>
        <w:ind w:left="440" w:hanging="440"/>
      </w:pPr>
      <w:hyperlink r:id="rId22">
        <w:proofErr w:type="spellStart"/>
        <w:r>
          <w:t>Chmielewski</w:t>
        </w:r>
        <w:proofErr w:type="spellEnd"/>
        <w:r>
          <w:t xml:space="preserve">, Piotr </w:t>
        </w:r>
        <w:proofErr w:type="spellStart"/>
        <w:r>
          <w:t>Paweł</w:t>
        </w:r>
        <w:proofErr w:type="spellEnd"/>
        <w:r>
          <w:t>, K</w:t>
        </w:r>
        <w:r>
          <w:t xml:space="preserve">rzysztof </w:t>
        </w:r>
        <w:proofErr w:type="spellStart"/>
        <w:r>
          <w:t>Borysławski</w:t>
        </w:r>
        <w:proofErr w:type="spellEnd"/>
        <w:r>
          <w:t xml:space="preserve">, Krzysztof </w:t>
        </w:r>
        <w:proofErr w:type="spellStart"/>
        <w:r>
          <w:t>Chmielowiec</w:t>
        </w:r>
        <w:proofErr w:type="spellEnd"/>
        <w:r>
          <w:t xml:space="preserve">, </w:t>
        </w:r>
        <w:proofErr w:type="spellStart"/>
        <w:r>
          <w:t>Jolanta</w:t>
        </w:r>
        <w:proofErr w:type="spellEnd"/>
        <w:r>
          <w:t xml:space="preserve"> </w:t>
        </w:r>
        <w:proofErr w:type="spellStart"/>
        <w:r>
          <w:t>Chmielowiec</w:t>
        </w:r>
        <w:proofErr w:type="spellEnd"/>
        <w:r>
          <w:t xml:space="preserve">, and </w:t>
        </w:r>
        <w:proofErr w:type="spellStart"/>
        <w:r>
          <w:t>Bartłomiej</w:t>
        </w:r>
        <w:proofErr w:type="spellEnd"/>
        <w:r>
          <w:t xml:space="preserve"> </w:t>
        </w:r>
        <w:proofErr w:type="spellStart"/>
        <w:r>
          <w:t>Strzelec</w:t>
        </w:r>
        <w:proofErr w:type="spellEnd"/>
        <w:r>
          <w:t xml:space="preserve">. 2016. “The Association between Total Leukocyte Count and Longevity: Evidence from Longitudinal and Cross-Sectional Data.” </w:t>
        </w:r>
      </w:hyperlink>
      <w:hyperlink r:id="rId23">
        <w:r>
          <w:rPr>
            <w:i/>
          </w:rPr>
          <w:t xml:space="preserve">Annals of Anatomy = </w:t>
        </w:r>
        <w:proofErr w:type="spellStart"/>
        <w:r>
          <w:rPr>
            <w:i/>
          </w:rPr>
          <w:t>Anatomischer</w:t>
        </w:r>
        <w:proofErr w:type="spellEnd"/>
        <w:r>
          <w:rPr>
            <w:i/>
          </w:rPr>
          <w:t xml:space="preserve"> </w:t>
        </w:r>
        <w:proofErr w:type="spellStart"/>
        <w:r>
          <w:rPr>
            <w:i/>
          </w:rPr>
          <w:t>Anzeiger</w:t>
        </w:r>
        <w:proofErr w:type="spellEnd"/>
        <w:r>
          <w:rPr>
            <w:i/>
          </w:rPr>
          <w:t xml:space="preserve">: Official Organ of the </w:t>
        </w:r>
        <w:proofErr w:type="spellStart"/>
        <w:r>
          <w:rPr>
            <w:i/>
          </w:rPr>
          <w:t>Anatomische</w:t>
        </w:r>
        <w:proofErr w:type="spellEnd"/>
        <w:r>
          <w:rPr>
            <w:i/>
          </w:rPr>
          <w:t xml:space="preserve"> </w:t>
        </w:r>
        <w:proofErr w:type="spellStart"/>
        <w:r>
          <w:rPr>
            <w:i/>
          </w:rPr>
          <w:t>Gesellschaft</w:t>
        </w:r>
        <w:proofErr w:type="spellEnd"/>
      </w:hyperlink>
      <w:hyperlink r:id="rId24">
        <w:r>
          <w:t xml:space="preserve"> 204 (March): 1–10.</w:t>
        </w:r>
      </w:hyperlink>
    </w:p>
    <w:p w:rsidR="006860A5" w:rsidRDefault="00D7733E">
      <w:pPr>
        <w:widowControl w:val="0"/>
        <w:spacing w:line="240" w:lineRule="auto"/>
        <w:ind w:left="440" w:hanging="440"/>
      </w:pPr>
      <w:hyperlink r:id="rId25">
        <w:proofErr w:type="spellStart"/>
        <w:r>
          <w:t>Coller</w:t>
        </w:r>
        <w:proofErr w:type="spellEnd"/>
        <w:r>
          <w:t>, Barry S. 2005. “Leu</w:t>
        </w:r>
        <w:r>
          <w:t xml:space="preserve">kocytosis and Ischemic Vascular Disease Morbidity and Mortality: Is It Time to Intervene?” </w:t>
        </w:r>
      </w:hyperlink>
      <w:hyperlink r:id="rId26">
        <w:r>
          <w:rPr>
            <w:i/>
          </w:rPr>
          <w:t>Arteriosclerosis, Thrombosis, and Vascular Biology</w:t>
        </w:r>
      </w:hyperlink>
      <w:hyperlink r:id="rId27">
        <w:r>
          <w:t xml:space="preserve"> 25 (4): 658–70.</w:t>
        </w:r>
      </w:hyperlink>
    </w:p>
    <w:p w:rsidR="006860A5" w:rsidRDefault="00D7733E">
      <w:pPr>
        <w:widowControl w:val="0"/>
        <w:spacing w:line="240" w:lineRule="auto"/>
        <w:ind w:left="440" w:hanging="440"/>
      </w:pPr>
      <w:hyperlink r:id="rId28">
        <w:r>
          <w:t xml:space="preserve">Huh, Ji Young, George Webster Ross, Randi Chen, Robert D. Abbott, Christina Bell, Bradley </w:t>
        </w:r>
        <w:proofErr w:type="spellStart"/>
        <w:r>
          <w:t>Willcox</w:t>
        </w:r>
        <w:proofErr w:type="spellEnd"/>
        <w:r>
          <w:t xml:space="preserve">, Lenore </w:t>
        </w:r>
        <w:proofErr w:type="spellStart"/>
        <w:r>
          <w:t>Launer</w:t>
        </w:r>
        <w:proofErr w:type="spellEnd"/>
        <w:r>
          <w:t xml:space="preserve">, Helen </w:t>
        </w:r>
        <w:proofErr w:type="spellStart"/>
        <w:r>
          <w:t>Petrovitch</w:t>
        </w:r>
        <w:proofErr w:type="spellEnd"/>
        <w:r>
          <w:t>, Brock Kaya, and Kamal Masaki. 2015. “Total and Diffe</w:t>
        </w:r>
        <w:r>
          <w:t xml:space="preserve">rential White Blood Cell Counts in Late Life Predict 8-Year Incident Stroke: The Honolulu Heart Program.” </w:t>
        </w:r>
      </w:hyperlink>
      <w:hyperlink r:id="rId29">
        <w:r>
          <w:rPr>
            <w:i/>
          </w:rPr>
          <w:t>Journal of the American Geriatrics Society</w:t>
        </w:r>
      </w:hyperlink>
      <w:hyperlink r:id="rId30">
        <w:r>
          <w:t xml:space="preserve"> 63 (3): 439–46.</w:t>
        </w:r>
      </w:hyperlink>
    </w:p>
    <w:p w:rsidR="006860A5" w:rsidRDefault="00D7733E">
      <w:pPr>
        <w:widowControl w:val="0"/>
        <w:spacing w:line="240" w:lineRule="auto"/>
        <w:ind w:left="440" w:hanging="440"/>
      </w:pPr>
      <w:hyperlink r:id="rId31">
        <w:proofErr w:type="spellStart"/>
        <w:r>
          <w:t>Loimaala</w:t>
        </w:r>
        <w:proofErr w:type="spellEnd"/>
        <w:r>
          <w:t xml:space="preserve">, Antti, </w:t>
        </w:r>
        <w:proofErr w:type="spellStart"/>
        <w:r>
          <w:t>Riikka</w:t>
        </w:r>
        <w:proofErr w:type="spellEnd"/>
        <w:r>
          <w:t xml:space="preserve"> </w:t>
        </w:r>
        <w:proofErr w:type="spellStart"/>
        <w:r>
          <w:t>Rontu</w:t>
        </w:r>
        <w:proofErr w:type="spellEnd"/>
        <w:r>
          <w:t xml:space="preserve">, </w:t>
        </w:r>
        <w:proofErr w:type="spellStart"/>
        <w:r>
          <w:t>Ilkka</w:t>
        </w:r>
        <w:proofErr w:type="spellEnd"/>
        <w:r>
          <w:t xml:space="preserve"> </w:t>
        </w:r>
        <w:proofErr w:type="spellStart"/>
        <w:r>
          <w:t>Vuori</w:t>
        </w:r>
        <w:proofErr w:type="spellEnd"/>
        <w:r>
          <w:t xml:space="preserve">, Michele </w:t>
        </w:r>
        <w:proofErr w:type="spellStart"/>
        <w:r>
          <w:t>Mercuri</w:t>
        </w:r>
        <w:proofErr w:type="spellEnd"/>
        <w:r>
          <w:t xml:space="preserve">, </w:t>
        </w:r>
        <w:proofErr w:type="spellStart"/>
        <w:r>
          <w:t>Terho</w:t>
        </w:r>
        <w:proofErr w:type="spellEnd"/>
        <w:r>
          <w:t xml:space="preserve"> </w:t>
        </w:r>
        <w:proofErr w:type="spellStart"/>
        <w:r>
          <w:t>Lehtimäki</w:t>
        </w:r>
        <w:proofErr w:type="spellEnd"/>
        <w:r>
          <w:t xml:space="preserve">, </w:t>
        </w:r>
        <w:proofErr w:type="spellStart"/>
        <w:r>
          <w:t>Arja</w:t>
        </w:r>
        <w:proofErr w:type="spellEnd"/>
        <w:r>
          <w:t xml:space="preserve"> </w:t>
        </w:r>
        <w:proofErr w:type="spellStart"/>
        <w:r>
          <w:t>Nenonen</w:t>
        </w:r>
        <w:proofErr w:type="spellEnd"/>
        <w:r>
          <w:t>, and M. Gene Bond. 2006. “Blood Leukocyte Count Is a Risk Factor for Intima-Media Thickenin</w:t>
        </w:r>
        <w:r>
          <w:t xml:space="preserve">g and Subclinical Carotid Atherosclerosis in Middle-Aged Men.” </w:t>
        </w:r>
      </w:hyperlink>
      <w:hyperlink r:id="rId32">
        <w:r>
          <w:rPr>
            <w:i/>
          </w:rPr>
          <w:t>Atherosclerosis</w:t>
        </w:r>
      </w:hyperlink>
      <w:hyperlink r:id="rId33">
        <w:r>
          <w:t xml:space="preserve"> 188 (2): 363–69.</w:t>
        </w:r>
      </w:hyperlink>
    </w:p>
    <w:p w:rsidR="006860A5" w:rsidRDefault="00D7733E">
      <w:pPr>
        <w:widowControl w:val="0"/>
        <w:spacing w:line="240" w:lineRule="auto"/>
        <w:ind w:left="440" w:hanging="440"/>
      </w:pPr>
      <w:hyperlink r:id="rId34">
        <w:proofErr w:type="spellStart"/>
        <w:r>
          <w:t>Manchia</w:t>
        </w:r>
        <w:proofErr w:type="spellEnd"/>
        <w:r>
          <w:t xml:space="preserve">, </w:t>
        </w:r>
        <w:proofErr w:type="spellStart"/>
        <w:r>
          <w:t>Mirko</w:t>
        </w:r>
        <w:proofErr w:type="spellEnd"/>
        <w:r>
          <w:t xml:space="preserve">, Jeffrey </w:t>
        </w:r>
        <w:proofErr w:type="spellStart"/>
        <w:r>
          <w:t>Cullis</w:t>
        </w:r>
        <w:proofErr w:type="spellEnd"/>
        <w:r>
          <w:t xml:space="preserve">, Gustavo </w:t>
        </w:r>
        <w:proofErr w:type="spellStart"/>
        <w:r>
          <w:t>Turecki</w:t>
        </w:r>
        <w:proofErr w:type="spellEnd"/>
        <w:r>
          <w:t xml:space="preserve">, Guy A. Rouleau, Rudolf </w:t>
        </w:r>
        <w:proofErr w:type="spellStart"/>
        <w:r>
          <w:t>Uher</w:t>
        </w:r>
        <w:proofErr w:type="spellEnd"/>
        <w:r>
          <w:t xml:space="preserve">, and Martin </w:t>
        </w:r>
        <w:proofErr w:type="spellStart"/>
        <w:r>
          <w:t>Alda</w:t>
        </w:r>
        <w:proofErr w:type="spellEnd"/>
        <w:r>
          <w:t xml:space="preserve">. 2013. “The Impact of Phenotypic and Genetic Heterogeneity on Results of Genome Wide Association Studies of Complex Diseases.” </w:t>
        </w:r>
      </w:hyperlink>
      <w:hyperlink r:id="rId35">
        <w:proofErr w:type="spellStart"/>
        <w:r>
          <w:rPr>
            <w:i/>
          </w:rPr>
          <w:t>PloS</w:t>
        </w:r>
        <w:proofErr w:type="spellEnd"/>
        <w:r>
          <w:rPr>
            <w:i/>
          </w:rPr>
          <w:t xml:space="preserve"> One</w:t>
        </w:r>
      </w:hyperlink>
      <w:hyperlink r:id="rId36">
        <w:r>
          <w:t xml:space="preserve"> 8 (10): e76295.</w:t>
        </w:r>
      </w:hyperlink>
    </w:p>
    <w:p w:rsidR="006860A5" w:rsidRDefault="00D7733E">
      <w:pPr>
        <w:widowControl w:val="0"/>
        <w:spacing w:line="240" w:lineRule="auto"/>
        <w:ind w:left="440" w:hanging="440"/>
      </w:pPr>
      <w:hyperlink r:id="rId37">
        <w:r>
          <w:t xml:space="preserve">Nilsson, </w:t>
        </w:r>
        <w:proofErr w:type="spellStart"/>
        <w:r>
          <w:t>Göran</w:t>
        </w:r>
        <w:proofErr w:type="spellEnd"/>
        <w:r>
          <w:t xml:space="preserve">, </w:t>
        </w:r>
        <w:proofErr w:type="spellStart"/>
        <w:r>
          <w:t>Pär</w:t>
        </w:r>
        <w:proofErr w:type="spellEnd"/>
        <w:r>
          <w:t xml:space="preserve"> </w:t>
        </w:r>
        <w:proofErr w:type="spellStart"/>
        <w:r>
          <w:t>Hedberg</w:t>
        </w:r>
        <w:proofErr w:type="spellEnd"/>
        <w:r>
          <w:t xml:space="preserve">, and John </w:t>
        </w:r>
        <w:proofErr w:type="spellStart"/>
        <w:r>
          <w:t>Ohrvik</w:t>
        </w:r>
        <w:proofErr w:type="spellEnd"/>
        <w:r>
          <w:t xml:space="preserve">. 2014. “White Blood Cell Count in Elderly Is Clinically Useful in Predicting Long-Term Survival.” </w:t>
        </w:r>
      </w:hyperlink>
      <w:hyperlink r:id="rId38">
        <w:r>
          <w:rPr>
            <w:i/>
          </w:rPr>
          <w:t>Journal of Aging Research</w:t>
        </w:r>
      </w:hyperlink>
      <w:hyperlink r:id="rId39">
        <w:r>
          <w:t xml:space="preserve"> 2014 (January). hindawi.com: 475093.</w:t>
        </w:r>
      </w:hyperlink>
    </w:p>
    <w:p w:rsidR="006860A5" w:rsidRDefault="00D7733E">
      <w:pPr>
        <w:widowControl w:val="0"/>
        <w:spacing w:line="240" w:lineRule="auto"/>
        <w:ind w:left="440" w:hanging="440"/>
      </w:pPr>
      <w:hyperlink r:id="rId40">
        <w:r>
          <w:t xml:space="preserve">Pei, Chun, </w:t>
        </w:r>
        <w:proofErr w:type="spellStart"/>
        <w:r>
          <w:t>Jin-Biou</w:t>
        </w:r>
        <w:proofErr w:type="spellEnd"/>
        <w:r>
          <w:t xml:space="preserve"> Chang, Chang-</w:t>
        </w:r>
        <w:proofErr w:type="spellStart"/>
        <w:r>
          <w:t>Hsun</w:t>
        </w:r>
        <w:proofErr w:type="spellEnd"/>
        <w:r>
          <w:t xml:space="preserve"> Hsieh, </w:t>
        </w:r>
        <w:proofErr w:type="spellStart"/>
        <w:r>
          <w:t>Jiunn</w:t>
        </w:r>
        <w:proofErr w:type="spellEnd"/>
        <w:r>
          <w:t>-Diann Lin, Chun-Hsien Hsu, Dee Pei, Yao-Jen Liang, and Yen-Lin Chen. 2015. “Using White Bl</w:t>
        </w:r>
        <w:r>
          <w:t xml:space="preserve">ood Cell Counts to Predict Metabolic Syndrome in the Elderly: A Combined Cross-Sectional and Longitudinal Study.” </w:t>
        </w:r>
      </w:hyperlink>
      <w:hyperlink r:id="rId41">
        <w:r>
          <w:rPr>
            <w:i/>
          </w:rPr>
          <w:t>European Journal of Internal Medicine</w:t>
        </w:r>
      </w:hyperlink>
      <w:hyperlink r:id="rId42">
        <w:r>
          <w:t xml:space="preserve"> 26 (5): 324–29.</w:t>
        </w:r>
      </w:hyperlink>
    </w:p>
    <w:p w:rsidR="006860A5" w:rsidRDefault="00D7733E">
      <w:pPr>
        <w:widowControl w:val="0"/>
        <w:spacing w:line="240" w:lineRule="auto"/>
        <w:ind w:left="440" w:hanging="440"/>
      </w:pPr>
      <w:hyperlink r:id="rId43">
        <w:r>
          <w:t xml:space="preserve">Proust-Lima, Cécile, Viviane Philipps, and Benoit </w:t>
        </w:r>
        <w:proofErr w:type="spellStart"/>
        <w:r>
          <w:t>Liquet</w:t>
        </w:r>
        <w:proofErr w:type="spellEnd"/>
        <w:r>
          <w:t xml:space="preserve">. 2017. “Estimation of Extended Mixed Models Using Latent Classes and Latent Processes: The R Package </w:t>
        </w:r>
        <w:proofErr w:type="spellStart"/>
        <w:r>
          <w:t>Lcmm</w:t>
        </w:r>
        <w:proofErr w:type="spellEnd"/>
        <w:r>
          <w:t xml:space="preserve">.” </w:t>
        </w:r>
      </w:hyperlink>
      <w:hyperlink r:id="rId44">
        <w:r>
          <w:rPr>
            <w:i/>
          </w:rPr>
          <w:t>Journal of Statistical Software, Articles</w:t>
        </w:r>
      </w:hyperlink>
      <w:hyperlink r:id="rId45">
        <w:r>
          <w:t xml:space="preserve"> 78 (2): 1–56.</w:t>
        </w:r>
      </w:hyperlink>
    </w:p>
    <w:p w:rsidR="006860A5" w:rsidRDefault="00D7733E">
      <w:pPr>
        <w:widowControl w:val="0"/>
        <w:spacing w:line="240" w:lineRule="auto"/>
        <w:ind w:left="440" w:hanging="440"/>
      </w:pPr>
      <w:hyperlink r:id="rId46">
        <w:r>
          <w:t xml:space="preserve">Ruggiero, </w:t>
        </w:r>
        <w:proofErr w:type="spellStart"/>
        <w:r>
          <w:t>Carmelinda</w:t>
        </w:r>
        <w:proofErr w:type="spellEnd"/>
        <w:r>
          <w:t xml:space="preserve">, E. Jeffrey Metter, Antonio Cherubini, Marcello Maggio, </w:t>
        </w:r>
        <w:proofErr w:type="spellStart"/>
        <w:r>
          <w:t>Ranjan</w:t>
        </w:r>
        <w:proofErr w:type="spellEnd"/>
        <w:r>
          <w:t xml:space="preserve"> Sen, </w:t>
        </w:r>
        <w:proofErr w:type="spellStart"/>
        <w:r>
          <w:t>Samer</w:t>
        </w:r>
        <w:proofErr w:type="spellEnd"/>
        <w:r>
          <w:t xml:space="preserve"> S. </w:t>
        </w:r>
        <w:proofErr w:type="spellStart"/>
        <w:r>
          <w:t>Najjar</w:t>
        </w:r>
        <w:proofErr w:type="spellEnd"/>
        <w:r>
          <w:t xml:space="preserve">, Gwen B. Windham, Alessandro </w:t>
        </w:r>
        <w:proofErr w:type="spellStart"/>
        <w:r>
          <w:t>Ble</w:t>
        </w:r>
        <w:proofErr w:type="spellEnd"/>
        <w:r>
          <w:t xml:space="preserve">, Umberto </w:t>
        </w:r>
        <w:proofErr w:type="spellStart"/>
        <w:r>
          <w:t>Senin</w:t>
        </w:r>
        <w:proofErr w:type="spellEnd"/>
        <w:r>
          <w:t xml:space="preserve">, and Luigi </w:t>
        </w:r>
        <w:proofErr w:type="spellStart"/>
        <w:r>
          <w:t>Ferrucci</w:t>
        </w:r>
        <w:proofErr w:type="spellEnd"/>
        <w:r>
          <w:t>. 2007. “White Blood Cell Count and Mortality in the Baltimore Longitudinal Study of</w:t>
        </w:r>
        <w:r>
          <w:t xml:space="preserve"> Aging.” </w:t>
        </w:r>
      </w:hyperlink>
      <w:hyperlink r:id="rId47">
        <w:r>
          <w:rPr>
            <w:i/>
          </w:rPr>
          <w:t>Journal of the American College of Cardiology</w:t>
        </w:r>
      </w:hyperlink>
      <w:hyperlink r:id="rId48">
        <w:r>
          <w:t xml:space="preserve"> 49 (18): 1841–50.</w:t>
        </w:r>
      </w:hyperlink>
    </w:p>
    <w:p w:rsidR="006860A5" w:rsidRDefault="00D7733E">
      <w:pPr>
        <w:widowControl w:val="0"/>
        <w:spacing w:line="240" w:lineRule="auto"/>
        <w:ind w:left="440" w:hanging="440"/>
      </w:pPr>
      <w:hyperlink r:id="rId49">
        <w:proofErr w:type="spellStart"/>
        <w:r>
          <w:t>Telieps</w:t>
        </w:r>
        <w:proofErr w:type="spellEnd"/>
        <w:r>
          <w:t xml:space="preserve">, Tanja, </w:t>
        </w:r>
        <w:proofErr w:type="spellStart"/>
        <w:r>
          <w:t>Meik</w:t>
        </w:r>
        <w:r>
          <w:t>e</w:t>
        </w:r>
        <w:proofErr w:type="spellEnd"/>
        <w:r>
          <w:t xml:space="preserve"> </w:t>
        </w:r>
        <w:proofErr w:type="spellStart"/>
        <w:r>
          <w:t>Köhler</w:t>
        </w:r>
        <w:proofErr w:type="spellEnd"/>
        <w:r>
          <w:t xml:space="preserve">, Irina </w:t>
        </w:r>
        <w:proofErr w:type="spellStart"/>
        <w:r>
          <w:t>Treise</w:t>
        </w:r>
        <w:proofErr w:type="spellEnd"/>
        <w:r>
          <w:t xml:space="preserve">, Katharina </w:t>
        </w:r>
        <w:proofErr w:type="spellStart"/>
        <w:r>
          <w:t>Foertsch</w:t>
        </w:r>
        <w:proofErr w:type="spellEnd"/>
        <w:r>
          <w:t xml:space="preserve">, </w:t>
        </w:r>
        <w:proofErr w:type="spellStart"/>
        <w:r>
          <w:t>Thure</w:t>
        </w:r>
        <w:proofErr w:type="spellEnd"/>
        <w:r>
          <w:t xml:space="preserve"> Adler, Dirk H. Busch, Martin </w:t>
        </w:r>
        <w:proofErr w:type="spellStart"/>
        <w:r>
          <w:t>Hrabě</w:t>
        </w:r>
        <w:proofErr w:type="spellEnd"/>
        <w:r>
          <w:t xml:space="preserve"> de Angelis, et al. 2016. “Longitudinal Frequencies of Blood Leukocyte Subpopulations Differ between NOD and NOR Mice but Do Not Predict Diabetes in NOD Mice.” </w:t>
        </w:r>
      </w:hyperlink>
      <w:hyperlink r:id="rId50">
        <w:r>
          <w:rPr>
            <w:i/>
          </w:rPr>
          <w:t>Journal of Diabetes Research</w:t>
        </w:r>
      </w:hyperlink>
      <w:hyperlink r:id="rId51">
        <w:r>
          <w:t xml:space="preserve"> 2016 (February): 4208156.</w:t>
        </w:r>
      </w:hyperlink>
    </w:p>
    <w:p w:rsidR="006860A5" w:rsidRDefault="00D7733E">
      <w:pPr>
        <w:widowControl w:val="0"/>
        <w:spacing w:after="220" w:line="240" w:lineRule="auto"/>
        <w:ind w:left="440" w:hanging="440"/>
      </w:pPr>
      <w:hyperlink r:id="rId52">
        <w:r>
          <w:t>Tracy, Russell P. 2008. “</w:t>
        </w:r>
        <w:proofErr w:type="gramStart"/>
        <w:r>
          <w:t>‘ Deep</w:t>
        </w:r>
        <w:proofErr w:type="gramEnd"/>
        <w:r>
          <w:t xml:space="preserve"> Phenotyping ’: C</w:t>
        </w:r>
        <w:r>
          <w:t xml:space="preserve">haracterizing Populations in the Era of Genomics and Systems Biology.” </w:t>
        </w:r>
      </w:hyperlink>
      <w:hyperlink r:id="rId53">
        <w:r>
          <w:rPr>
            <w:i/>
          </w:rPr>
          <w:t xml:space="preserve">Current Opinion in </w:t>
        </w:r>
        <w:proofErr w:type="spellStart"/>
        <w:r>
          <w:rPr>
            <w:i/>
          </w:rPr>
          <w:t>Lipidology</w:t>
        </w:r>
        <w:proofErr w:type="spellEnd"/>
      </w:hyperlink>
      <w:hyperlink r:id="rId54">
        <w:r>
          <w:t xml:space="preserve"> 19: 151–57.</w:t>
        </w:r>
      </w:hyperlink>
    </w:p>
    <w:p w:rsidR="006860A5" w:rsidRDefault="006860A5">
      <w:pPr>
        <w:widowControl w:val="0"/>
      </w:pPr>
    </w:p>
    <w:sectPr w:rsidR="006860A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6C7"/>
    <w:multiLevelType w:val="multilevel"/>
    <w:tmpl w:val="E1B6A1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A5"/>
    <w:rsid w:val="006860A5"/>
    <w:rsid w:val="007331AC"/>
    <w:rsid w:val="00D7733E"/>
    <w:rsid w:val="00F6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D263A"/>
  <w15:docId w15:val="{D6147536-ABED-437C-B805-C00A1026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paperpile.com/b/JHNnCi/hmZ5a" TargetMode="External"/><Relationship Id="rId26" Type="http://schemas.openxmlformats.org/officeDocument/2006/relationships/hyperlink" Target="http://paperpile.com/b/JHNnCi/XFaw2" TargetMode="External"/><Relationship Id="rId39" Type="http://schemas.openxmlformats.org/officeDocument/2006/relationships/hyperlink" Target="http://paperpile.com/b/JHNnCi/m2r2X" TargetMode="External"/><Relationship Id="rId21" Type="http://schemas.openxmlformats.org/officeDocument/2006/relationships/hyperlink" Target="http://paperpile.com/b/JHNnCi/h5kVP" TargetMode="External"/><Relationship Id="rId34" Type="http://schemas.openxmlformats.org/officeDocument/2006/relationships/hyperlink" Target="http://paperpile.com/b/JHNnCi/ut3Rj" TargetMode="External"/><Relationship Id="rId42" Type="http://schemas.openxmlformats.org/officeDocument/2006/relationships/hyperlink" Target="http://paperpile.com/b/JHNnCi/ciwsU" TargetMode="External"/><Relationship Id="rId47" Type="http://schemas.openxmlformats.org/officeDocument/2006/relationships/hyperlink" Target="http://paperpile.com/b/JHNnCi/gQMs" TargetMode="External"/><Relationship Id="rId50" Type="http://schemas.openxmlformats.org/officeDocument/2006/relationships/hyperlink" Target="http://paperpile.com/b/JHNnCi/Y0wuI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paperpile.com/c/JHNnCi/m2r2X+hmZ5a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link.springer.com/article/10.1007/s10654-013-9819-6" TargetMode="External"/><Relationship Id="rId25" Type="http://schemas.openxmlformats.org/officeDocument/2006/relationships/hyperlink" Target="http://paperpile.com/b/JHNnCi/XFaw2" TargetMode="External"/><Relationship Id="rId33" Type="http://schemas.openxmlformats.org/officeDocument/2006/relationships/hyperlink" Target="http://paperpile.com/b/JHNnCi/T07yB" TargetMode="External"/><Relationship Id="rId38" Type="http://schemas.openxmlformats.org/officeDocument/2006/relationships/hyperlink" Target="http://paperpile.com/b/JHNnCi/m2r2X" TargetMode="External"/><Relationship Id="rId46" Type="http://schemas.openxmlformats.org/officeDocument/2006/relationships/hyperlink" Target="http://paperpile.com/b/JHNnCi/gQMs" TargetMode="External"/><Relationship Id="rId2" Type="http://schemas.openxmlformats.org/officeDocument/2006/relationships/styles" Target="styles.xml"/><Relationship Id="rId16" Type="http://schemas.openxmlformats.org/officeDocument/2006/relationships/hyperlink" Target="http://paperpile.com/b/JHNnCi/hmZ5a" TargetMode="External"/><Relationship Id="rId20" Type="http://schemas.openxmlformats.org/officeDocument/2006/relationships/hyperlink" Target="http://paperpile.com/b/JHNnCi/h5kVP" TargetMode="External"/><Relationship Id="rId29" Type="http://schemas.openxmlformats.org/officeDocument/2006/relationships/hyperlink" Target="http://paperpile.com/b/JHNnCi/TVGDI" TargetMode="External"/><Relationship Id="rId41" Type="http://schemas.openxmlformats.org/officeDocument/2006/relationships/hyperlink" Target="http://paperpile.com/b/JHNnCi/ciwsU" TargetMode="External"/><Relationship Id="rId54" Type="http://schemas.openxmlformats.org/officeDocument/2006/relationships/hyperlink" Target="http://paperpile.com/b/JHNnCi/10ci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perpile.com/c/JHNnCi/TVGDI+T07yB" TargetMode="External"/><Relationship Id="rId11" Type="http://schemas.openxmlformats.org/officeDocument/2006/relationships/hyperlink" Target="https://paperpile.com/c/JHNnCi/v6Nr" TargetMode="External"/><Relationship Id="rId24" Type="http://schemas.openxmlformats.org/officeDocument/2006/relationships/hyperlink" Target="http://paperpile.com/b/JHNnCi/wxFL" TargetMode="External"/><Relationship Id="rId32" Type="http://schemas.openxmlformats.org/officeDocument/2006/relationships/hyperlink" Target="http://paperpile.com/b/JHNnCi/T07yB" TargetMode="External"/><Relationship Id="rId37" Type="http://schemas.openxmlformats.org/officeDocument/2006/relationships/hyperlink" Target="http://paperpile.com/b/JHNnCi/m2r2X" TargetMode="External"/><Relationship Id="rId40" Type="http://schemas.openxmlformats.org/officeDocument/2006/relationships/hyperlink" Target="http://paperpile.com/b/JHNnCi/ciwsU" TargetMode="External"/><Relationship Id="rId45" Type="http://schemas.openxmlformats.org/officeDocument/2006/relationships/hyperlink" Target="http://paperpile.com/b/JHNnCi/v6Nr" TargetMode="External"/><Relationship Id="rId53" Type="http://schemas.openxmlformats.org/officeDocument/2006/relationships/hyperlink" Target="http://paperpile.com/b/JHNnCi/10ciX" TargetMode="External"/><Relationship Id="rId5" Type="http://schemas.openxmlformats.org/officeDocument/2006/relationships/hyperlink" Target="https://paperpile.com/c/JHNnCi/h5kVP+ciwsU" TargetMode="External"/><Relationship Id="rId15" Type="http://schemas.openxmlformats.org/officeDocument/2006/relationships/hyperlink" Target="http://paperpile.com/b/JHNnCi/hmZ5a" TargetMode="External"/><Relationship Id="rId23" Type="http://schemas.openxmlformats.org/officeDocument/2006/relationships/hyperlink" Target="http://paperpile.com/b/JHNnCi/wxFL" TargetMode="External"/><Relationship Id="rId28" Type="http://schemas.openxmlformats.org/officeDocument/2006/relationships/hyperlink" Target="http://paperpile.com/b/JHNnCi/TVGDI" TargetMode="External"/><Relationship Id="rId36" Type="http://schemas.openxmlformats.org/officeDocument/2006/relationships/hyperlink" Target="http://paperpile.com/b/JHNnCi/ut3Rj" TargetMode="External"/><Relationship Id="rId49" Type="http://schemas.openxmlformats.org/officeDocument/2006/relationships/hyperlink" Target="http://paperpile.com/b/JHNnCi/Y0wuI" TargetMode="External"/><Relationship Id="rId10" Type="http://schemas.openxmlformats.org/officeDocument/2006/relationships/hyperlink" Target="https://paperpile.com/c/JHNnCi/Y0wuI" TargetMode="External"/><Relationship Id="rId19" Type="http://schemas.openxmlformats.org/officeDocument/2006/relationships/hyperlink" Target="http://paperpile.com/b/JHNnCi/h5kVP" TargetMode="External"/><Relationship Id="rId31" Type="http://schemas.openxmlformats.org/officeDocument/2006/relationships/hyperlink" Target="http://paperpile.com/b/JHNnCi/T07yB" TargetMode="External"/><Relationship Id="rId44" Type="http://schemas.openxmlformats.org/officeDocument/2006/relationships/hyperlink" Target="http://paperpile.com/b/JHNnCi/v6Nr" TargetMode="External"/><Relationship Id="rId52" Type="http://schemas.openxmlformats.org/officeDocument/2006/relationships/hyperlink" Target="http://paperpile.com/b/JHNnCi/10ci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perpile.com/c/JHNnCi/wxFL" TargetMode="External"/><Relationship Id="rId14" Type="http://schemas.openxmlformats.org/officeDocument/2006/relationships/hyperlink" Target="http://paperpile.com/b/JHNnCi/hmZ5a" TargetMode="External"/><Relationship Id="rId22" Type="http://schemas.openxmlformats.org/officeDocument/2006/relationships/hyperlink" Target="http://paperpile.com/b/JHNnCi/wxFL" TargetMode="External"/><Relationship Id="rId27" Type="http://schemas.openxmlformats.org/officeDocument/2006/relationships/hyperlink" Target="http://paperpile.com/b/JHNnCi/XFaw2" TargetMode="External"/><Relationship Id="rId30" Type="http://schemas.openxmlformats.org/officeDocument/2006/relationships/hyperlink" Target="http://paperpile.com/b/JHNnCi/TVGDI" TargetMode="External"/><Relationship Id="rId35" Type="http://schemas.openxmlformats.org/officeDocument/2006/relationships/hyperlink" Target="http://paperpile.com/b/JHNnCi/ut3Rj" TargetMode="External"/><Relationship Id="rId43" Type="http://schemas.openxmlformats.org/officeDocument/2006/relationships/hyperlink" Target="http://paperpile.com/b/JHNnCi/v6Nr" TargetMode="External"/><Relationship Id="rId48" Type="http://schemas.openxmlformats.org/officeDocument/2006/relationships/hyperlink" Target="http://paperpile.com/b/JHNnCi/gQMs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paperpile.com/c/JHNnCi/XFaw2" TargetMode="External"/><Relationship Id="rId51" Type="http://schemas.openxmlformats.org/officeDocument/2006/relationships/hyperlink" Target="http://paperpile.com/b/JHNnCi/Y0wu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City, Brittany</dc:creator>
  <cp:lastModifiedBy>City, Brittany</cp:lastModifiedBy>
  <cp:revision>3</cp:revision>
  <dcterms:created xsi:type="dcterms:W3CDTF">2017-09-06T19:40:00Z</dcterms:created>
  <dcterms:modified xsi:type="dcterms:W3CDTF">2017-09-06T19:40:00Z</dcterms:modified>
</cp:coreProperties>
</file>