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195AF" w14:textId="77777777" w:rsidR="0071075A" w:rsidRPr="00AB7ABA" w:rsidRDefault="0071075A" w:rsidP="0071075A">
      <w:pPr>
        <w:pStyle w:val="NormalWeb"/>
        <w:jc w:val="center"/>
        <w:rPr>
          <w:rFonts w:ascii="Times" w:hAnsi="Times"/>
          <w:b/>
          <w:sz w:val="22"/>
          <w:szCs w:val="20"/>
        </w:rPr>
      </w:pPr>
      <w:r w:rsidRPr="00AB7ABA">
        <w:rPr>
          <w:rFonts w:ascii="Times" w:hAnsi="Times"/>
          <w:b/>
          <w:sz w:val="22"/>
          <w:szCs w:val="20"/>
        </w:rPr>
        <w:t>eMERGE Network Proposal for Analysis</w:t>
      </w:r>
    </w:p>
    <w:p w14:paraId="38084BCB" w14:textId="77777777" w:rsidR="0071075A" w:rsidRPr="00AB7ABA" w:rsidRDefault="0071075A" w:rsidP="0071075A">
      <w:pPr>
        <w:tabs>
          <w:tab w:val="right" w:leader="underscore" w:pos="8640"/>
        </w:tabs>
        <w:spacing w:line="360" w:lineRule="auto"/>
        <w:jc w:val="center"/>
        <w:rPr>
          <w:rFonts w:ascii="Times" w:hAnsi="Times"/>
          <w:sz w:val="22"/>
          <w:szCs w:val="20"/>
        </w:rPr>
      </w:pPr>
      <w:r w:rsidRPr="00AB7ABA">
        <w:rPr>
          <w:rFonts w:ascii="Times" w:hAnsi="Times"/>
          <w:sz w:val="22"/>
          <w:szCs w:val="20"/>
        </w:rPr>
        <w:t>Project/Manuscript Concept Sheet</w:t>
      </w:r>
    </w:p>
    <w:tbl>
      <w:tblPr>
        <w:tblW w:w="97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04"/>
        <w:gridCol w:w="7411"/>
      </w:tblGrid>
      <w:tr w:rsidR="003C7F40" w:rsidRPr="00AB7ABA" w14:paraId="3126E7A5" w14:textId="77777777" w:rsidTr="00145CE8">
        <w:tc>
          <w:tcPr>
            <w:tcW w:w="2304" w:type="dxa"/>
            <w:vAlign w:val="center"/>
          </w:tcPr>
          <w:p w14:paraId="50561345" w14:textId="6F80AD74" w:rsidR="003C7F40" w:rsidRPr="00AB7ABA" w:rsidRDefault="003C7F40" w:rsidP="00A66883">
            <w:pPr>
              <w:rPr>
                <w:rFonts w:ascii="Times" w:hAnsi="Times"/>
                <w:b/>
                <w:sz w:val="22"/>
                <w:szCs w:val="20"/>
              </w:rPr>
            </w:pPr>
            <w:r>
              <w:rPr>
                <w:rFonts w:ascii="Times" w:hAnsi="Times"/>
                <w:b/>
                <w:sz w:val="22"/>
                <w:szCs w:val="20"/>
              </w:rPr>
              <w:t>Reference Number</w:t>
            </w:r>
          </w:p>
        </w:tc>
        <w:tc>
          <w:tcPr>
            <w:tcW w:w="7411" w:type="dxa"/>
          </w:tcPr>
          <w:p w14:paraId="112E1D4E" w14:textId="0FABC7D8" w:rsidR="003C7F40" w:rsidRDefault="003C7F40" w:rsidP="00A66883">
            <w:pPr>
              <w:rPr>
                <w:rFonts w:ascii="Times" w:hAnsi="Times"/>
                <w:b/>
                <w:sz w:val="22"/>
                <w:szCs w:val="20"/>
              </w:rPr>
            </w:pPr>
            <w:r>
              <w:rPr>
                <w:rFonts w:ascii="Times" w:hAnsi="Times"/>
                <w:b/>
                <w:sz w:val="22"/>
                <w:szCs w:val="20"/>
              </w:rPr>
              <w:t>NT263</w:t>
            </w:r>
          </w:p>
        </w:tc>
      </w:tr>
      <w:tr w:rsidR="0071075A" w:rsidRPr="00AB7ABA" w14:paraId="75EF3AD2" w14:textId="77777777" w:rsidTr="00145CE8">
        <w:tc>
          <w:tcPr>
            <w:tcW w:w="2304" w:type="dxa"/>
            <w:vAlign w:val="center"/>
          </w:tcPr>
          <w:p w14:paraId="31506FE8" w14:textId="77777777" w:rsidR="0071075A" w:rsidRPr="00AB7ABA" w:rsidRDefault="0071075A" w:rsidP="00A66883">
            <w:pPr>
              <w:rPr>
                <w:rFonts w:ascii="Times" w:hAnsi="Times"/>
                <w:b/>
                <w:sz w:val="22"/>
                <w:szCs w:val="20"/>
              </w:rPr>
            </w:pPr>
            <w:r w:rsidRPr="00AB7ABA">
              <w:rPr>
                <w:rFonts w:ascii="Times" w:hAnsi="Times"/>
                <w:b/>
                <w:sz w:val="22"/>
                <w:szCs w:val="20"/>
              </w:rPr>
              <w:t>Submission Date</w:t>
            </w:r>
          </w:p>
        </w:tc>
        <w:tc>
          <w:tcPr>
            <w:tcW w:w="7411" w:type="dxa"/>
          </w:tcPr>
          <w:p w14:paraId="75E1E3DB" w14:textId="2F5F6A94" w:rsidR="0071075A" w:rsidRPr="00AB7ABA" w:rsidRDefault="003C7F40" w:rsidP="00A66883">
            <w:pPr>
              <w:rPr>
                <w:rFonts w:ascii="Times" w:hAnsi="Times"/>
                <w:b/>
                <w:sz w:val="22"/>
                <w:szCs w:val="20"/>
              </w:rPr>
            </w:pPr>
            <w:r>
              <w:rPr>
                <w:rFonts w:ascii="Times" w:hAnsi="Times"/>
                <w:b/>
                <w:sz w:val="22"/>
                <w:szCs w:val="20"/>
              </w:rPr>
              <w:t>11/27/2017</w:t>
            </w:r>
          </w:p>
        </w:tc>
      </w:tr>
      <w:tr w:rsidR="0071075A" w:rsidRPr="00AB7ABA" w14:paraId="3A420388" w14:textId="77777777" w:rsidTr="00145CE8">
        <w:trPr>
          <w:trHeight w:val="720"/>
        </w:trPr>
        <w:tc>
          <w:tcPr>
            <w:tcW w:w="2304" w:type="dxa"/>
            <w:vAlign w:val="center"/>
          </w:tcPr>
          <w:p w14:paraId="75B08AA3" w14:textId="77777777" w:rsidR="0071075A" w:rsidRPr="00AB7ABA" w:rsidRDefault="0071075A" w:rsidP="00A66883">
            <w:pPr>
              <w:rPr>
                <w:rFonts w:ascii="Times" w:hAnsi="Times"/>
                <w:b/>
                <w:sz w:val="22"/>
                <w:szCs w:val="20"/>
              </w:rPr>
            </w:pPr>
            <w:r w:rsidRPr="00AB7ABA">
              <w:rPr>
                <w:rFonts w:ascii="Times" w:hAnsi="Times"/>
                <w:b/>
                <w:sz w:val="22"/>
                <w:szCs w:val="20"/>
              </w:rPr>
              <w:t>Project Title</w:t>
            </w:r>
          </w:p>
        </w:tc>
        <w:tc>
          <w:tcPr>
            <w:tcW w:w="7411" w:type="dxa"/>
          </w:tcPr>
          <w:p w14:paraId="10C39544" w14:textId="325535C0" w:rsidR="0071075A" w:rsidRPr="00AB7ABA" w:rsidRDefault="0096571E" w:rsidP="0096571E">
            <w:pPr>
              <w:rPr>
                <w:rFonts w:ascii="Times" w:hAnsi="Times"/>
                <w:b/>
                <w:sz w:val="22"/>
                <w:szCs w:val="20"/>
              </w:rPr>
            </w:pPr>
            <w:r w:rsidRPr="00AB7ABA">
              <w:rPr>
                <w:rFonts w:ascii="Times" w:hAnsi="Times"/>
                <w:b/>
                <w:sz w:val="22"/>
                <w:szCs w:val="20"/>
              </w:rPr>
              <w:t xml:space="preserve">Genetic risk for </w:t>
            </w:r>
            <w:r w:rsidR="00C065E1" w:rsidRPr="00AB7ABA">
              <w:rPr>
                <w:rFonts w:ascii="Times" w:hAnsi="Times"/>
                <w:b/>
                <w:sz w:val="22"/>
                <w:szCs w:val="20"/>
              </w:rPr>
              <w:t>g</w:t>
            </w:r>
            <w:r w:rsidRPr="00AB7ABA">
              <w:rPr>
                <w:rFonts w:ascii="Times" w:hAnsi="Times"/>
                <w:b/>
                <w:sz w:val="22"/>
                <w:szCs w:val="20"/>
              </w:rPr>
              <w:t>out in patients with hyperuricemia</w:t>
            </w:r>
          </w:p>
        </w:tc>
      </w:tr>
      <w:tr w:rsidR="00145CE8" w:rsidRPr="00AB7ABA" w14:paraId="31DE610A" w14:textId="77777777" w:rsidTr="00145CE8">
        <w:trPr>
          <w:trHeight w:val="719"/>
        </w:trPr>
        <w:tc>
          <w:tcPr>
            <w:tcW w:w="2304" w:type="dxa"/>
            <w:vAlign w:val="center"/>
          </w:tcPr>
          <w:p w14:paraId="118E4A3B" w14:textId="77777777" w:rsidR="0071075A" w:rsidRPr="00AB7ABA" w:rsidRDefault="0071075A" w:rsidP="00A66883">
            <w:pPr>
              <w:rPr>
                <w:rFonts w:ascii="Times" w:hAnsi="Times"/>
                <w:b/>
                <w:sz w:val="22"/>
                <w:szCs w:val="20"/>
              </w:rPr>
            </w:pPr>
            <w:r w:rsidRPr="00AB7ABA">
              <w:rPr>
                <w:rFonts w:ascii="Times" w:hAnsi="Times"/>
                <w:b/>
                <w:sz w:val="22"/>
                <w:szCs w:val="20"/>
              </w:rPr>
              <w:t>Tentative Lead Investigator (first author)</w:t>
            </w:r>
          </w:p>
        </w:tc>
        <w:tc>
          <w:tcPr>
            <w:tcW w:w="7411" w:type="dxa"/>
          </w:tcPr>
          <w:p w14:paraId="1AC27A66" w14:textId="4CA1EF6C" w:rsidR="0071075A" w:rsidRPr="00AB7ABA" w:rsidRDefault="00887D23" w:rsidP="00A66883">
            <w:pPr>
              <w:rPr>
                <w:rFonts w:ascii="Times" w:hAnsi="Times"/>
                <w:sz w:val="22"/>
                <w:szCs w:val="20"/>
              </w:rPr>
            </w:pPr>
            <w:r w:rsidRPr="00AB7ABA">
              <w:rPr>
                <w:rFonts w:ascii="Times" w:hAnsi="Times"/>
                <w:sz w:val="22"/>
                <w:szCs w:val="20"/>
              </w:rPr>
              <w:t>R. Knevel</w:t>
            </w:r>
          </w:p>
        </w:tc>
      </w:tr>
      <w:tr w:rsidR="00145CE8" w:rsidRPr="00AB7ABA" w14:paraId="45986657" w14:textId="77777777" w:rsidTr="00145CE8">
        <w:tc>
          <w:tcPr>
            <w:tcW w:w="2304" w:type="dxa"/>
            <w:vAlign w:val="center"/>
          </w:tcPr>
          <w:p w14:paraId="3B3D8923" w14:textId="77777777" w:rsidR="0071075A" w:rsidRPr="00AB7ABA" w:rsidRDefault="0071075A" w:rsidP="00A66883">
            <w:pPr>
              <w:rPr>
                <w:rFonts w:ascii="Times" w:hAnsi="Times"/>
                <w:b/>
                <w:sz w:val="22"/>
                <w:szCs w:val="20"/>
              </w:rPr>
            </w:pPr>
            <w:r w:rsidRPr="00AB7ABA">
              <w:rPr>
                <w:rFonts w:ascii="Times" w:hAnsi="Times"/>
                <w:b/>
                <w:sz w:val="22"/>
                <w:szCs w:val="20"/>
              </w:rPr>
              <w:t>Tentative Senior Author (last author)</w:t>
            </w:r>
          </w:p>
        </w:tc>
        <w:tc>
          <w:tcPr>
            <w:tcW w:w="7411" w:type="dxa"/>
          </w:tcPr>
          <w:p w14:paraId="42C2C8A6" w14:textId="26EAD95E" w:rsidR="0071075A" w:rsidRPr="00AB7ABA" w:rsidRDefault="004A60A6" w:rsidP="004A60A6">
            <w:pPr>
              <w:rPr>
                <w:rFonts w:ascii="Times" w:hAnsi="Times"/>
                <w:sz w:val="22"/>
                <w:szCs w:val="20"/>
              </w:rPr>
            </w:pPr>
            <w:r w:rsidRPr="00AB7ABA">
              <w:rPr>
                <w:rFonts w:ascii="Times" w:hAnsi="Times"/>
                <w:sz w:val="22"/>
                <w:szCs w:val="20"/>
              </w:rPr>
              <w:t xml:space="preserve">Beth Karlson, Daniel Solomon </w:t>
            </w:r>
          </w:p>
        </w:tc>
      </w:tr>
      <w:tr w:rsidR="00145CE8" w:rsidRPr="00AB7ABA" w14:paraId="180499AF" w14:textId="77777777" w:rsidTr="00145CE8">
        <w:tc>
          <w:tcPr>
            <w:tcW w:w="2304" w:type="dxa"/>
            <w:vAlign w:val="center"/>
          </w:tcPr>
          <w:p w14:paraId="029AEFE0" w14:textId="77777777" w:rsidR="0071075A" w:rsidRPr="00AB7ABA" w:rsidRDefault="0071075A" w:rsidP="00A66883">
            <w:pPr>
              <w:rPr>
                <w:rFonts w:ascii="Times" w:hAnsi="Times"/>
                <w:b/>
                <w:sz w:val="22"/>
                <w:szCs w:val="20"/>
              </w:rPr>
            </w:pPr>
            <w:r w:rsidRPr="00AB7ABA">
              <w:rPr>
                <w:rFonts w:ascii="Times" w:hAnsi="Times"/>
                <w:b/>
                <w:sz w:val="22"/>
                <w:szCs w:val="20"/>
              </w:rPr>
              <w:t xml:space="preserve">All other authors </w:t>
            </w:r>
          </w:p>
        </w:tc>
        <w:tc>
          <w:tcPr>
            <w:tcW w:w="7411" w:type="dxa"/>
          </w:tcPr>
          <w:p w14:paraId="0CF116CE" w14:textId="6F5554CC" w:rsidR="0071075A" w:rsidRPr="00AB7ABA" w:rsidRDefault="004A60A6" w:rsidP="002A3565">
            <w:pPr>
              <w:rPr>
                <w:rFonts w:ascii="Times" w:hAnsi="Times"/>
                <w:sz w:val="22"/>
                <w:szCs w:val="20"/>
              </w:rPr>
            </w:pPr>
            <w:r w:rsidRPr="00AB7ABA">
              <w:rPr>
                <w:rFonts w:ascii="Times" w:hAnsi="Times"/>
                <w:sz w:val="22"/>
                <w:szCs w:val="20"/>
              </w:rPr>
              <w:t>TBD</w:t>
            </w:r>
          </w:p>
        </w:tc>
      </w:tr>
      <w:tr w:rsidR="00145CE8" w:rsidRPr="00AB7ABA" w14:paraId="5DDE41B0" w14:textId="77777777" w:rsidTr="00145CE8">
        <w:trPr>
          <w:trHeight w:val="512"/>
        </w:trPr>
        <w:tc>
          <w:tcPr>
            <w:tcW w:w="2304" w:type="dxa"/>
            <w:vAlign w:val="center"/>
          </w:tcPr>
          <w:p w14:paraId="03888591" w14:textId="77777777" w:rsidR="0071075A" w:rsidRPr="00AB7ABA" w:rsidRDefault="0071075A" w:rsidP="00A66883">
            <w:pPr>
              <w:rPr>
                <w:rFonts w:ascii="Times" w:hAnsi="Times"/>
                <w:b/>
                <w:sz w:val="22"/>
                <w:szCs w:val="20"/>
              </w:rPr>
            </w:pPr>
            <w:r w:rsidRPr="00AB7ABA">
              <w:rPr>
                <w:rFonts w:ascii="Times" w:hAnsi="Times"/>
                <w:b/>
                <w:sz w:val="22"/>
                <w:szCs w:val="20"/>
              </w:rPr>
              <w:t>Sites Involved</w:t>
            </w:r>
          </w:p>
        </w:tc>
        <w:tc>
          <w:tcPr>
            <w:tcW w:w="7411" w:type="dxa"/>
          </w:tcPr>
          <w:p w14:paraId="2778BC58" w14:textId="1CA4EC65" w:rsidR="0071075A" w:rsidRPr="00AB7ABA" w:rsidRDefault="008556E8" w:rsidP="003C194C">
            <w:pPr>
              <w:rPr>
                <w:rFonts w:ascii="Times" w:hAnsi="Times"/>
                <w:sz w:val="22"/>
                <w:szCs w:val="20"/>
              </w:rPr>
            </w:pPr>
            <w:r w:rsidRPr="00AB7ABA">
              <w:rPr>
                <w:rFonts w:ascii="Times" w:hAnsi="Times"/>
                <w:sz w:val="22"/>
                <w:szCs w:val="20"/>
              </w:rPr>
              <w:t>We encourage site</w:t>
            </w:r>
            <w:r w:rsidR="003C194C" w:rsidRPr="00AB7ABA">
              <w:rPr>
                <w:rFonts w:ascii="Times" w:hAnsi="Times"/>
                <w:sz w:val="22"/>
                <w:szCs w:val="20"/>
              </w:rPr>
              <w:t>s</w:t>
            </w:r>
            <w:r w:rsidRPr="00AB7ABA">
              <w:rPr>
                <w:rFonts w:ascii="Times" w:hAnsi="Times"/>
                <w:sz w:val="22"/>
                <w:szCs w:val="20"/>
              </w:rPr>
              <w:t xml:space="preserve"> to sign up. Sites joining this collaboration are expected to be able to </w:t>
            </w:r>
            <w:r w:rsidR="0096571E" w:rsidRPr="00AB7ABA">
              <w:rPr>
                <w:rFonts w:ascii="Times" w:hAnsi="Times"/>
                <w:sz w:val="22"/>
                <w:szCs w:val="20"/>
              </w:rPr>
              <w:t>deliver uric acid levels</w:t>
            </w:r>
            <w:bookmarkStart w:id="0" w:name="_GoBack"/>
            <w:bookmarkEnd w:id="0"/>
            <w:r w:rsidR="0096571E" w:rsidRPr="00AB7ABA">
              <w:rPr>
                <w:rFonts w:ascii="Times" w:hAnsi="Times"/>
                <w:sz w:val="22"/>
                <w:szCs w:val="20"/>
              </w:rPr>
              <w:t xml:space="preserve"> (+ date of </w:t>
            </w:r>
            <w:r w:rsidR="00C065E1" w:rsidRPr="00AB7ABA">
              <w:rPr>
                <w:rFonts w:ascii="Times" w:hAnsi="Times"/>
                <w:sz w:val="22"/>
                <w:szCs w:val="20"/>
              </w:rPr>
              <w:t>lab result</w:t>
            </w:r>
            <w:r w:rsidR="0096571E" w:rsidRPr="00AB7ABA">
              <w:rPr>
                <w:rFonts w:ascii="Times" w:hAnsi="Times"/>
                <w:sz w:val="22"/>
                <w:szCs w:val="20"/>
              </w:rPr>
              <w:t>)</w:t>
            </w:r>
            <w:r w:rsidRPr="00AB7ABA">
              <w:rPr>
                <w:rFonts w:ascii="Times" w:hAnsi="Times"/>
                <w:sz w:val="22"/>
                <w:szCs w:val="20"/>
              </w:rPr>
              <w:t>.</w:t>
            </w:r>
          </w:p>
        </w:tc>
      </w:tr>
      <w:tr w:rsidR="000F7C11" w:rsidRPr="00AB7ABA" w14:paraId="398680B9" w14:textId="77777777" w:rsidTr="00145CE8">
        <w:trPr>
          <w:trHeight w:val="512"/>
        </w:trPr>
        <w:tc>
          <w:tcPr>
            <w:tcW w:w="2304" w:type="dxa"/>
            <w:vAlign w:val="center"/>
          </w:tcPr>
          <w:p w14:paraId="0D476798" w14:textId="3403C3AD" w:rsidR="000F7C11" w:rsidRPr="00AB7ABA" w:rsidRDefault="000F7C11" w:rsidP="00A66883">
            <w:pPr>
              <w:rPr>
                <w:rFonts w:ascii="Times" w:hAnsi="Times"/>
                <w:b/>
                <w:sz w:val="22"/>
                <w:szCs w:val="20"/>
              </w:rPr>
            </w:pPr>
            <w:r w:rsidRPr="00AB7ABA">
              <w:rPr>
                <w:rFonts w:ascii="Times" w:hAnsi="Times"/>
                <w:b/>
                <w:sz w:val="22"/>
                <w:szCs w:val="20"/>
              </w:rPr>
              <w:t>Background / Significance</w:t>
            </w:r>
          </w:p>
        </w:tc>
        <w:tc>
          <w:tcPr>
            <w:tcW w:w="7411" w:type="dxa"/>
          </w:tcPr>
          <w:p w14:paraId="62ABEE91" w14:textId="6C64EDFE" w:rsidR="000F7C11" w:rsidRPr="00AB7ABA" w:rsidRDefault="000F7C11" w:rsidP="000F7C11">
            <w:pPr>
              <w:rPr>
                <w:rFonts w:ascii="Times" w:hAnsi="Times" w:cs="Arial"/>
                <w:sz w:val="22"/>
                <w:szCs w:val="20"/>
              </w:rPr>
            </w:pPr>
            <w:r w:rsidRPr="00AB7ABA">
              <w:rPr>
                <w:rFonts w:ascii="Times" w:hAnsi="Times" w:cs="Arial"/>
                <w:sz w:val="22"/>
                <w:szCs w:val="20"/>
              </w:rPr>
              <w:t xml:space="preserve">Approximately 4% of adults in the US will develop an attack of gouty arthritis on some point in their lifetime. While hyperuricemia (HU) is present in virtually all patients with gouty arthritis, over 80% of patients with HU never develop gout.(1-3) </w:t>
            </w:r>
            <w:r w:rsidRPr="00AB7ABA">
              <w:rPr>
                <w:rFonts w:ascii="Times" w:hAnsi="Times" w:cs="Arial"/>
                <w:bCs/>
                <w:sz w:val="22"/>
                <w:szCs w:val="20"/>
              </w:rPr>
              <w:t>The genetics of HU and the genetics of gout have each been thoroughly examined, but almost all of this work has used general population controls.(4)</w:t>
            </w:r>
            <w:r w:rsidRPr="00AB7ABA">
              <w:rPr>
                <w:rFonts w:ascii="Times" w:hAnsi="Times" w:cs="Arial"/>
                <w:sz w:val="22"/>
                <w:szCs w:val="20"/>
              </w:rPr>
              <w:t xml:space="preserve"> In contrast, </w:t>
            </w:r>
            <w:r w:rsidR="00C065E1" w:rsidRPr="00AB7ABA">
              <w:rPr>
                <w:rFonts w:ascii="Times" w:hAnsi="Times" w:cs="Arial"/>
                <w:sz w:val="22"/>
                <w:szCs w:val="20"/>
              </w:rPr>
              <w:t xml:space="preserve">the lack of studies of </w:t>
            </w:r>
            <w:r w:rsidRPr="00AB7ABA">
              <w:rPr>
                <w:rFonts w:ascii="Times" w:hAnsi="Times" w:cs="Arial"/>
                <w:sz w:val="22"/>
                <w:szCs w:val="20"/>
              </w:rPr>
              <w:t>risk factors for gout among HU persons  presents a major gap in knowledge that impacts clinical care but also is a fundamental deficit in understanding innate immunity; why does HU (and monosodium urate, MSU, crystals) trigger the inflammatory cascade in some individuals, in some situations, but not others?</w:t>
            </w:r>
          </w:p>
          <w:p w14:paraId="78EC17C6" w14:textId="77777777" w:rsidR="000F7C11" w:rsidRPr="00AB7ABA" w:rsidRDefault="000F7C11" w:rsidP="000F7C11">
            <w:pPr>
              <w:rPr>
                <w:rFonts w:ascii="Times" w:hAnsi="Times" w:cs="Arial"/>
                <w:sz w:val="22"/>
                <w:szCs w:val="20"/>
              </w:rPr>
            </w:pPr>
          </w:p>
          <w:p w14:paraId="145904BD" w14:textId="724E41BD" w:rsidR="000F7C11" w:rsidRPr="00AB7ABA" w:rsidRDefault="000F7C11" w:rsidP="000F7C11">
            <w:pPr>
              <w:rPr>
                <w:rFonts w:ascii="Times" w:hAnsi="Times" w:cs="Arial"/>
                <w:b/>
                <w:sz w:val="22"/>
                <w:szCs w:val="20"/>
              </w:rPr>
            </w:pPr>
            <w:r w:rsidRPr="00AB7ABA">
              <w:rPr>
                <w:rFonts w:ascii="Times" w:hAnsi="Times" w:cs="Arial"/>
                <w:b/>
                <w:sz w:val="22"/>
                <w:szCs w:val="20"/>
              </w:rPr>
              <w:t>Our aim is to identify genetic risk factors for gout among persons with hyperuricemia</w:t>
            </w:r>
            <w:r w:rsidR="00C065E1" w:rsidRPr="00AB7ABA">
              <w:rPr>
                <w:rFonts w:ascii="Times" w:hAnsi="Times" w:cs="Arial"/>
                <w:b/>
                <w:sz w:val="22"/>
                <w:szCs w:val="20"/>
              </w:rPr>
              <w:t xml:space="preserve"> (HU)</w:t>
            </w:r>
          </w:p>
          <w:p w14:paraId="3617793D" w14:textId="77777777" w:rsidR="000F7C11" w:rsidRPr="00AB7ABA" w:rsidRDefault="000F7C11" w:rsidP="000F7C11">
            <w:pPr>
              <w:rPr>
                <w:rFonts w:ascii="Times" w:hAnsi="Times" w:cs="Arial"/>
                <w:sz w:val="22"/>
                <w:szCs w:val="20"/>
              </w:rPr>
            </w:pPr>
          </w:p>
          <w:p w14:paraId="50DD5CA7" w14:textId="770B292C" w:rsidR="000F7C11" w:rsidRPr="00AB7ABA" w:rsidRDefault="000F7C11" w:rsidP="000F7C11">
            <w:pPr>
              <w:rPr>
                <w:rFonts w:ascii="Times" w:hAnsi="Times" w:cs="Arial"/>
                <w:sz w:val="22"/>
                <w:szCs w:val="20"/>
              </w:rPr>
            </w:pPr>
            <w:r w:rsidRPr="00AB7ABA">
              <w:rPr>
                <w:rFonts w:ascii="Times" w:hAnsi="Times" w:cs="Arial"/>
                <w:sz w:val="22"/>
                <w:szCs w:val="20"/>
              </w:rPr>
              <w:t>This project will be part of a larger project that will aim to create a gout risk prediction score</w:t>
            </w:r>
            <w:proofErr w:type="gramStart"/>
            <w:r w:rsidR="00C065E1" w:rsidRPr="00AB7ABA">
              <w:rPr>
                <w:rFonts w:ascii="Times" w:hAnsi="Times" w:cs="Arial"/>
                <w:sz w:val="22"/>
                <w:szCs w:val="20"/>
              </w:rPr>
              <w:t>.</w:t>
            </w:r>
            <w:r w:rsidRPr="00AB7ABA">
              <w:rPr>
                <w:rFonts w:ascii="Times" w:hAnsi="Times" w:cs="Arial"/>
                <w:sz w:val="22"/>
                <w:szCs w:val="20"/>
              </w:rPr>
              <w:t>.</w:t>
            </w:r>
            <w:proofErr w:type="gramEnd"/>
            <w:r w:rsidRPr="00AB7ABA">
              <w:rPr>
                <w:rFonts w:ascii="Times" w:hAnsi="Times" w:cs="Arial"/>
                <w:sz w:val="22"/>
                <w:szCs w:val="20"/>
              </w:rPr>
              <w:t xml:space="preserve"> The eMERGE data will be used for the GWAS to identify genetic risk fac</w:t>
            </w:r>
            <w:r w:rsidR="00E05D99" w:rsidRPr="00AB7ABA">
              <w:rPr>
                <w:rFonts w:ascii="Times" w:hAnsi="Times" w:cs="Arial"/>
                <w:sz w:val="22"/>
                <w:szCs w:val="20"/>
              </w:rPr>
              <w:t>t</w:t>
            </w:r>
            <w:r w:rsidRPr="00AB7ABA">
              <w:rPr>
                <w:rFonts w:ascii="Times" w:hAnsi="Times" w:cs="Arial"/>
                <w:sz w:val="22"/>
                <w:szCs w:val="20"/>
              </w:rPr>
              <w:t>ors for gout</w:t>
            </w:r>
            <w:r w:rsidR="00C065E1" w:rsidRPr="00AB7ABA">
              <w:rPr>
                <w:rFonts w:ascii="Times" w:hAnsi="Times" w:cs="Arial"/>
                <w:sz w:val="22"/>
                <w:szCs w:val="20"/>
              </w:rPr>
              <w:t xml:space="preserve"> among patients with HU</w:t>
            </w:r>
            <w:r w:rsidRPr="00AB7ABA">
              <w:rPr>
                <w:rFonts w:ascii="Times" w:hAnsi="Times" w:cs="Arial"/>
                <w:sz w:val="22"/>
                <w:szCs w:val="20"/>
              </w:rPr>
              <w:t xml:space="preserve">. </w:t>
            </w:r>
          </w:p>
          <w:p w14:paraId="5738556C" w14:textId="77777777" w:rsidR="000F7C11" w:rsidRPr="00AB7ABA" w:rsidRDefault="000F7C11" w:rsidP="000F7C11">
            <w:pPr>
              <w:rPr>
                <w:rFonts w:ascii="Times" w:hAnsi="Times" w:cs="Arial"/>
                <w:sz w:val="22"/>
                <w:szCs w:val="20"/>
              </w:rPr>
            </w:pPr>
          </w:p>
          <w:p w14:paraId="075DEE2A" w14:textId="2520C518" w:rsidR="004225C5" w:rsidRPr="00AB7ABA" w:rsidRDefault="000F7C11" w:rsidP="00E05D99">
            <w:pPr>
              <w:rPr>
                <w:rFonts w:ascii="Times" w:hAnsi="Times" w:cs="Arial"/>
                <w:sz w:val="22"/>
                <w:szCs w:val="20"/>
              </w:rPr>
            </w:pPr>
            <w:r w:rsidRPr="00AB7ABA">
              <w:rPr>
                <w:rFonts w:ascii="Times" w:hAnsi="Times" w:cs="Arial"/>
                <w:sz w:val="22"/>
                <w:szCs w:val="20"/>
              </w:rPr>
              <w:t xml:space="preserve">This work will likely provide a new understanding of the pathways between MSU crystals </w:t>
            </w:r>
            <w:r w:rsidR="00E05D99" w:rsidRPr="00AB7ABA">
              <w:rPr>
                <w:rFonts w:ascii="Times" w:hAnsi="Times" w:cs="Arial"/>
                <w:sz w:val="22"/>
                <w:szCs w:val="20"/>
              </w:rPr>
              <w:t>and innate immunity.</w:t>
            </w:r>
          </w:p>
        </w:tc>
      </w:tr>
      <w:tr w:rsidR="00145CE8" w:rsidRPr="00AB7ABA" w14:paraId="15E98E2D" w14:textId="77777777" w:rsidTr="00145CE8">
        <w:trPr>
          <w:trHeight w:val="1790"/>
        </w:trPr>
        <w:tc>
          <w:tcPr>
            <w:tcW w:w="2304" w:type="dxa"/>
            <w:vAlign w:val="center"/>
          </w:tcPr>
          <w:p w14:paraId="328AEA99" w14:textId="77777777" w:rsidR="000F7C11" w:rsidRPr="00AB7ABA" w:rsidRDefault="000F7C11" w:rsidP="00A66883">
            <w:pPr>
              <w:rPr>
                <w:rFonts w:ascii="Times" w:hAnsi="Times"/>
                <w:b/>
                <w:sz w:val="22"/>
                <w:szCs w:val="20"/>
              </w:rPr>
            </w:pPr>
            <w:r w:rsidRPr="00AB7ABA">
              <w:rPr>
                <w:rFonts w:ascii="Times" w:hAnsi="Times"/>
                <w:b/>
                <w:sz w:val="22"/>
                <w:szCs w:val="20"/>
              </w:rPr>
              <w:t>Outline of Project</w:t>
            </w:r>
          </w:p>
          <w:p w14:paraId="1656AFB9" w14:textId="77777777" w:rsidR="000F7C11" w:rsidRPr="00AB7ABA" w:rsidRDefault="000F7C11" w:rsidP="00A66883">
            <w:pPr>
              <w:rPr>
                <w:rFonts w:ascii="Times" w:hAnsi="Times"/>
                <w:b/>
                <w:sz w:val="22"/>
                <w:szCs w:val="20"/>
              </w:rPr>
            </w:pPr>
          </w:p>
        </w:tc>
        <w:tc>
          <w:tcPr>
            <w:tcW w:w="7411" w:type="dxa"/>
          </w:tcPr>
          <w:p w14:paraId="5970CFDA" w14:textId="77777777" w:rsidR="000F7C11" w:rsidRPr="00AB7ABA" w:rsidRDefault="000F7C11" w:rsidP="000F7C11">
            <w:pPr>
              <w:pStyle w:val="ListParagraph"/>
              <w:numPr>
                <w:ilvl w:val="0"/>
                <w:numId w:val="3"/>
              </w:numPr>
              <w:rPr>
                <w:rFonts w:ascii="Times" w:hAnsi="Times"/>
                <w:sz w:val="22"/>
                <w:szCs w:val="20"/>
              </w:rPr>
            </w:pPr>
            <w:r w:rsidRPr="00AB7ABA">
              <w:rPr>
                <w:rFonts w:ascii="Times" w:hAnsi="Times"/>
                <w:sz w:val="22"/>
                <w:szCs w:val="20"/>
              </w:rPr>
              <w:t>Data collection from participating site of eMERGE</w:t>
            </w:r>
          </w:p>
          <w:p w14:paraId="73204377" w14:textId="3FCEDE5B" w:rsidR="000F7C11" w:rsidRPr="00AB7ABA" w:rsidRDefault="000F7C11" w:rsidP="000F7C11">
            <w:pPr>
              <w:pStyle w:val="ListParagraph"/>
              <w:numPr>
                <w:ilvl w:val="0"/>
                <w:numId w:val="3"/>
              </w:numPr>
              <w:rPr>
                <w:rFonts w:ascii="Times" w:hAnsi="Times"/>
                <w:sz w:val="22"/>
                <w:szCs w:val="20"/>
              </w:rPr>
            </w:pPr>
            <w:r w:rsidRPr="00AB7ABA">
              <w:rPr>
                <w:rFonts w:ascii="Times" w:hAnsi="Times"/>
                <w:sz w:val="22"/>
                <w:szCs w:val="20"/>
              </w:rPr>
              <w:t>Case and control assignment</w:t>
            </w:r>
            <w:r w:rsidR="00C065E1" w:rsidRPr="00AB7ABA">
              <w:rPr>
                <w:rFonts w:ascii="Times" w:hAnsi="Times"/>
                <w:sz w:val="22"/>
                <w:szCs w:val="20"/>
              </w:rPr>
              <w:t xml:space="preserve"> (HU/no HU, gout/no gout)</w:t>
            </w:r>
          </w:p>
          <w:p w14:paraId="2BE26F9C" w14:textId="02377F97" w:rsidR="000F7C11" w:rsidRPr="00AB7ABA" w:rsidRDefault="00C065E1" w:rsidP="000F7C11">
            <w:pPr>
              <w:pStyle w:val="ListParagraph"/>
              <w:numPr>
                <w:ilvl w:val="0"/>
                <w:numId w:val="3"/>
              </w:numPr>
              <w:rPr>
                <w:rFonts w:ascii="Times" w:hAnsi="Times"/>
                <w:sz w:val="22"/>
                <w:szCs w:val="20"/>
              </w:rPr>
            </w:pPr>
            <w:r w:rsidRPr="00AB7ABA">
              <w:rPr>
                <w:rFonts w:ascii="Times" w:hAnsi="Times"/>
                <w:sz w:val="22"/>
                <w:szCs w:val="20"/>
              </w:rPr>
              <w:t>eMERGE imputed genetic data</w:t>
            </w:r>
          </w:p>
          <w:p w14:paraId="3988C637" w14:textId="2C79119C" w:rsidR="000F7C11" w:rsidRPr="00AB7ABA" w:rsidRDefault="000F7C11" w:rsidP="000F7C11">
            <w:pPr>
              <w:pStyle w:val="ListParagraph"/>
              <w:numPr>
                <w:ilvl w:val="0"/>
                <w:numId w:val="3"/>
              </w:numPr>
              <w:rPr>
                <w:rFonts w:ascii="Times" w:hAnsi="Times"/>
                <w:sz w:val="22"/>
                <w:szCs w:val="20"/>
              </w:rPr>
            </w:pPr>
            <w:r w:rsidRPr="00AB7ABA">
              <w:rPr>
                <w:rFonts w:ascii="Times" w:hAnsi="Times"/>
                <w:sz w:val="22"/>
                <w:szCs w:val="20"/>
              </w:rPr>
              <w:t>GWAS analysis</w:t>
            </w:r>
          </w:p>
          <w:p w14:paraId="06FF30F8" w14:textId="281BFA47" w:rsidR="000F7C11" w:rsidRPr="00AB7ABA" w:rsidRDefault="000F7C11" w:rsidP="000F7C11">
            <w:pPr>
              <w:pStyle w:val="ListParagraph"/>
              <w:numPr>
                <w:ilvl w:val="0"/>
                <w:numId w:val="3"/>
              </w:numPr>
              <w:rPr>
                <w:rFonts w:ascii="Times" w:hAnsi="Times"/>
                <w:sz w:val="22"/>
                <w:szCs w:val="20"/>
              </w:rPr>
            </w:pPr>
            <w:r w:rsidRPr="00AB7ABA">
              <w:rPr>
                <w:rFonts w:ascii="Times" w:hAnsi="Times"/>
                <w:sz w:val="22"/>
                <w:szCs w:val="20"/>
              </w:rPr>
              <w:t xml:space="preserve">Meta-analysis </w:t>
            </w:r>
            <w:r w:rsidR="00E05D99" w:rsidRPr="00AB7ABA">
              <w:rPr>
                <w:rFonts w:ascii="Times" w:hAnsi="Times"/>
                <w:sz w:val="22"/>
                <w:szCs w:val="20"/>
              </w:rPr>
              <w:t>combining eMERGE data with results of previous GWASs</w:t>
            </w:r>
          </w:p>
          <w:p w14:paraId="07063DC3" w14:textId="77777777" w:rsidR="000F7C11" w:rsidRPr="00AB7ABA" w:rsidRDefault="000F7C11" w:rsidP="000F7C11">
            <w:pPr>
              <w:pStyle w:val="ListParagraph"/>
              <w:numPr>
                <w:ilvl w:val="0"/>
                <w:numId w:val="3"/>
              </w:numPr>
              <w:rPr>
                <w:rFonts w:ascii="Times" w:hAnsi="Times"/>
                <w:sz w:val="22"/>
                <w:szCs w:val="20"/>
              </w:rPr>
            </w:pPr>
            <w:r w:rsidRPr="00AB7ABA">
              <w:rPr>
                <w:rFonts w:ascii="Times" w:hAnsi="Times"/>
                <w:sz w:val="22"/>
                <w:szCs w:val="20"/>
              </w:rPr>
              <w:t>Development of clinical risk prediction score for gout</w:t>
            </w:r>
          </w:p>
          <w:p w14:paraId="16A01245" w14:textId="56F0F793" w:rsidR="000F7C11" w:rsidRPr="00AB7ABA" w:rsidRDefault="000F7C11" w:rsidP="000F7C11">
            <w:pPr>
              <w:pStyle w:val="ListParagraph"/>
              <w:numPr>
                <w:ilvl w:val="0"/>
                <w:numId w:val="3"/>
              </w:numPr>
              <w:rPr>
                <w:rFonts w:ascii="Times" w:hAnsi="Times"/>
                <w:sz w:val="22"/>
                <w:szCs w:val="20"/>
              </w:rPr>
            </w:pPr>
            <w:r w:rsidRPr="00AB7ABA">
              <w:rPr>
                <w:rFonts w:ascii="Times" w:hAnsi="Times"/>
                <w:sz w:val="22"/>
                <w:szCs w:val="20"/>
              </w:rPr>
              <w:t>Manuscript</w:t>
            </w:r>
          </w:p>
        </w:tc>
      </w:tr>
      <w:tr w:rsidR="00145CE8" w:rsidRPr="00AB7ABA" w14:paraId="673656A4" w14:textId="77777777" w:rsidTr="00145CE8">
        <w:trPr>
          <w:trHeight w:val="854"/>
        </w:trPr>
        <w:tc>
          <w:tcPr>
            <w:tcW w:w="2304" w:type="dxa"/>
            <w:vAlign w:val="center"/>
          </w:tcPr>
          <w:p w14:paraId="3C001529" w14:textId="157C2700" w:rsidR="000F7C11" w:rsidRPr="00AB7ABA" w:rsidRDefault="000F7C11" w:rsidP="00A66883">
            <w:pPr>
              <w:rPr>
                <w:rFonts w:ascii="Times" w:hAnsi="Times"/>
                <w:b/>
                <w:sz w:val="22"/>
                <w:szCs w:val="20"/>
              </w:rPr>
            </w:pPr>
            <w:r w:rsidRPr="00AB7ABA">
              <w:rPr>
                <w:rFonts w:ascii="Times" w:hAnsi="Times"/>
                <w:b/>
                <w:sz w:val="22"/>
                <w:szCs w:val="20"/>
              </w:rPr>
              <w:t>Desired</w:t>
            </w:r>
          </w:p>
          <w:p w14:paraId="6A38A44D" w14:textId="77777777" w:rsidR="000F7C11" w:rsidRPr="00AB7ABA" w:rsidRDefault="000F7C11" w:rsidP="00A66883">
            <w:pPr>
              <w:rPr>
                <w:rFonts w:ascii="Times" w:hAnsi="Times"/>
                <w:b/>
                <w:sz w:val="22"/>
                <w:szCs w:val="20"/>
              </w:rPr>
            </w:pPr>
            <w:r w:rsidRPr="00AB7ABA">
              <w:rPr>
                <w:rFonts w:ascii="Times" w:hAnsi="Times"/>
                <w:b/>
                <w:sz w:val="22"/>
                <w:szCs w:val="20"/>
              </w:rPr>
              <w:t>Variables (essential for analysis</w:t>
            </w:r>
          </w:p>
          <w:p w14:paraId="1A041915" w14:textId="77777777" w:rsidR="000F7C11" w:rsidRPr="00AB7ABA" w:rsidRDefault="000F7C11" w:rsidP="00A66883">
            <w:pPr>
              <w:rPr>
                <w:rFonts w:ascii="Times" w:hAnsi="Times"/>
                <w:b/>
                <w:sz w:val="22"/>
                <w:szCs w:val="20"/>
              </w:rPr>
            </w:pPr>
            <w:r w:rsidRPr="00AB7ABA">
              <w:rPr>
                <w:rFonts w:ascii="Times" w:hAnsi="Times"/>
                <w:b/>
                <w:sz w:val="22"/>
                <w:szCs w:val="20"/>
              </w:rPr>
              <w:t>indicated by *)</w:t>
            </w:r>
          </w:p>
        </w:tc>
        <w:tc>
          <w:tcPr>
            <w:tcW w:w="7411" w:type="dxa"/>
          </w:tcPr>
          <w:p w14:paraId="7A06A40A" w14:textId="19F23761" w:rsidR="00C7247D" w:rsidRPr="00AB7ABA" w:rsidRDefault="00C7247D" w:rsidP="00C7247D">
            <w:pPr>
              <w:rPr>
                <w:rFonts w:ascii="Times" w:eastAsia="Times New Roman" w:hAnsi="Times" w:cs="Tahoma"/>
                <w:color w:val="212121"/>
                <w:szCs w:val="23"/>
              </w:rPr>
            </w:pPr>
            <w:proofErr w:type="spellStart"/>
            <w:r w:rsidRPr="00AB7ABA">
              <w:rPr>
                <w:rFonts w:ascii="Times" w:eastAsia="Times New Roman" w:hAnsi="Times"/>
                <w:color w:val="212121"/>
                <w:szCs w:val="22"/>
              </w:rPr>
              <w:t>eRC</w:t>
            </w:r>
            <w:proofErr w:type="spellEnd"/>
            <w:r w:rsidRPr="00AB7ABA">
              <w:rPr>
                <w:rFonts w:ascii="Times" w:eastAsia="Times New Roman" w:hAnsi="Times"/>
                <w:color w:val="212121"/>
                <w:szCs w:val="22"/>
              </w:rPr>
              <w:t xml:space="preserve"> data: ICD9/ICD10, age, race, sex, BMI with dates</w:t>
            </w:r>
          </w:p>
          <w:p w14:paraId="6BD000E0" w14:textId="77777777" w:rsidR="00C7247D" w:rsidRPr="00AB7ABA" w:rsidRDefault="00C7247D" w:rsidP="00C7247D">
            <w:pPr>
              <w:rPr>
                <w:rFonts w:ascii="Times" w:eastAsia="Times New Roman" w:hAnsi="Times" w:cs="Tahoma"/>
                <w:color w:val="212121"/>
                <w:szCs w:val="23"/>
              </w:rPr>
            </w:pPr>
            <w:r w:rsidRPr="00AB7ABA">
              <w:rPr>
                <w:rFonts w:ascii="Times" w:eastAsia="Times New Roman" w:hAnsi="Times"/>
                <w:color w:val="212121"/>
                <w:szCs w:val="22"/>
              </w:rPr>
              <w:t>data from sites – uric acid with dates, meds with dates</w:t>
            </w:r>
          </w:p>
          <w:p w14:paraId="01F93405" w14:textId="77777777" w:rsidR="00C7247D" w:rsidRPr="00AB7ABA" w:rsidRDefault="00C7247D" w:rsidP="00A66883">
            <w:pPr>
              <w:rPr>
                <w:rFonts w:ascii="Times" w:hAnsi="Times"/>
                <w:sz w:val="22"/>
                <w:szCs w:val="20"/>
              </w:rPr>
            </w:pPr>
          </w:p>
          <w:p w14:paraId="51B1178C" w14:textId="77777777" w:rsidR="000F7C11" w:rsidRPr="00AB7ABA" w:rsidRDefault="000F7C11" w:rsidP="00A66883">
            <w:pPr>
              <w:rPr>
                <w:rFonts w:ascii="Times" w:hAnsi="Times"/>
                <w:sz w:val="22"/>
                <w:szCs w:val="20"/>
              </w:rPr>
            </w:pPr>
            <w:r w:rsidRPr="00AB7ABA">
              <w:rPr>
                <w:rFonts w:ascii="Times" w:hAnsi="Times"/>
                <w:sz w:val="22"/>
                <w:szCs w:val="20"/>
              </w:rPr>
              <w:t>ICD 9 / 10 code *</w:t>
            </w:r>
          </w:p>
          <w:p w14:paraId="6633B846" w14:textId="11E12A28" w:rsidR="000F7C11" w:rsidRPr="00AB7ABA" w:rsidRDefault="000F7C11" w:rsidP="00A66883">
            <w:pPr>
              <w:rPr>
                <w:rFonts w:ascii="Times" w:hAnsi="Times"/>
                <w:sz w:val="22"/>
                <w:szCs w:val="20"/>
              </w:rPr>
            </w:pPr>
            <w:r w:rsidRPr="00AB7ABA">
              <w:rPr>
                <w:rFonts w:ascii="Times" w:hAnsi="Times"/>
                <w:sz w:val="22"/>
                <w:szCs w:val="20"/>
              </w:rPr>
              <w:t>Age*</w:t>
            </w:r>
          </w:p>
          <w:p w14:paraId="24B1D965" w14:textId="196D76E4" w:rsidR="000F7C11" w:rsidRPr="00AB7ABA" w:rsidRDefault="000F7C11" w:rsidP="00A66883">
            <w:pPr>
              <w:rPr>
                <w:rFonts w:ascii="Times" w:hAnsi="Times"/>
                <w:sz w:val="22"/>
                <w:szCs w:val="20"/>
              </w:rPr>
            </w:pPr>
            <w:r w:rsidRPr="00AB7ABA">
              <w:rPr>
                <w:rFonts w:ascii="Times" w:hAnsi="Times"/>
                <w:sz w:val="22"/>
                <w:szCs w:val="20"/>
              </w:rPr>
              <w:t>Race*</w:t>
            </w:r>
          </w:p>
          <w:p w14:paraId="777DC1DA" w14:textId="2E82C9BF" w:rsidR="000F7C11" w:rsidRPr="00AB7ABA" w:rsidRDefault="000F7C11" w:rsidP="00A66883">
            <w:pPr>
              <w:rPr>
                <w:rFonts w:ascii="Times" w:hAnsi="Times"/>
                <w:sz w:val="22"/>
                <w:szCs w:val="20"/>
              </w:rPr>
            </w:pPr>
            <w:r w:rsidRPr="00AB7ABA">
              <w:rPr>
                <w:rFonts w:ascii="Times" w:hAnsi="Times"/>
                <w:sz w:val="22"/>
                <w:szCs w:val="20"/>
              </w:rPr>
              <w:t>Sex*</w:t>
            </w:r>
          </w:p>
          <w:p w14:paraId="550C8B82" w14:textId="50EFC891" w:rsidR="000F7C11" w:rsidRPr="00AB7ABA" w:rsidRDefault="000F7C11" w:rsidP="00A66883">
            <w:pPr>
              <w:rPr>
                <w:rFonts w:ascii="Times" w:hAnsi="Times"/>
                <w:sz w:val="22"/>
                <w:szCs w:val="20"/>
              </w:rPr>
            </w:pPr>
            <w:r w:rsidRPr="00AB7ABA">
              <w:rPr>
                <w:rFonts w:ascii="Times" w:hAnsi="Times"/>
                <w:sz w:val="22"/>
                <w:szCs w:val="20"/>
              </w:rPr>
              <w:t>BMI</w:t>
            </w:r>
            <w:r w:rsidR="00444BA9" w:rsidRPr="00AB7ABA">
              <w:rPr>
                <w:rFonts w:ascii="Times" w:hAnsi="Times"/>
                <w:sz w:val="22"/>
                <w:szCs w:val="20"/>
              </w:rPr>
              <w:t xml:space="preserve"> with dates at any date available</w:t>
            </w:r>
          </w:p>
          <w:p w14:paraId="2119633F" w14:textId="21EF937C" w:rsidR="000F7C11" w:rsidRPr="00AB7ABA" w:rsidRDefault="000F7C11" w:rsidP="00A66883">
            <w:pPr>
              <w:rPr>
                <w:rFonts w:ascii="Times" w:hAnsi="Times"/>
                <w:sz w:val="22"/>
                <w:szCs w:val="20"/>
              </w:rPr>
            </w:pPr>
            <w:r w:rsidRPr="00AB7ABA">
              <w:rPr>
                <w:rFonts w:ascii="Times" w:hAnsi="Times"/>
                <w:sz w:val="22"/>
                <w:szCs w:val="20"/>
              </w:rPr>
              <w:t>Change in BMI</w:t>
            </w:r>
          </w:p>
          <w:p w14:paraId="5D50D317" w14:textId="19EE370C" w:rsidR="000F7C11" w:rsidRPr="00AB7ABA" w:rsidRDefault="000F7C11" w:rsidP="00A66883">
            <w:pPr>
              <w:rPr>
                <w:rFonts w:ascii="Times" w:hAnsi="Times"/>
                <w:sz w:val="22"/>
                <w:szCs w:val="20"/>
              </w:rPr>
            </w:pPr>
            <w:r w:rsidRPr="00AB7ABA">
              <w:rPr>
                <w:rFonts w:ascii="Times" w:hAnsi="Times"/>
                <w:sz w:val="22"/>
                <w:szCs w:val="20"/>
              </w:rPr>
              <w:t xml:space="preserve">Diuretics </w:t>
            </w:r>
            <w:r w:rsidR="00C065E1" w:rsidRPr="00AB7ABA">
              <w:rPr>
                <w:rFonts w:ascii="Times" w:hAnsi="Times"/>
                <w:sz w:val="22"/>
                <w:szCs w:val="20"/>
              </w:rPr>
              <w:t>with dates</w:t>
            </w:r>
          </w:p>
          <w:p w14:paraId="68FAFA8F" w14:textId="1724AB61" w:rsidR="000F7C11" w:rsidRPr="00AB7ABA" w:rsidRDefault="000F7C11" w:rsidP="00A66883">
            <w:pPr>
              <w:rPr>
                <w:rFonts w:ascii="Times" w:hAnsi="Times"/>
                <w:sz w:val="22"/>
                <w:szCs w:val="20"/>
              </w:rPr>
            </w:pPr>
            <w:r w:rsidRPr="00AB7ABA">
              <w:rPr>
                <w:rFonts w:ascii="Times" w:hAnsi="Times"/>
                <w:sz w:val="22"/>
                <w:szCs w:val="20"/>
              </w:rPr>
              <w:t xml:space="preserve">Aspirin </w:t>
            </w:r>
            <w:r w:rsidR="00C065E1" w:rsidRPr="00AB7ABA">
              <w:rPr>
                <w:rFonts w:ascii="Times" w:hAnsi="Times"/>
                <w:sz w:val="22"/>
                <w:szCs w:val="20"/>
              </w:rPr>
              <w:t>with dates</w:t>
            </w:r>
          </w:p>
          <w:p w14:paraId="2A42FED1" w14:textId="74CF6886" w:rsidR="000F7C11" w:rsidRPr="00AB7ABA" w:rsidRDefault="000F7C11" w:rsidP="00A66883">
            <w:pPr>
              <w:rPr>
                <w:rFonts w:ascii="Times" w:hAnsi="Times"/>
                <w:sz w:val="22"/>
                <w:szCs w:val="20"/>
              </w:rPr>
            </w:pPr>
            <w:r w:rsidRPr="00AB7ABA">
              <w:rPr>
                <w:rFonts w:ascii="Times" w:hAnsi="Times"/>
                <w:sz w:val="22"/>
                <w:szCs w:val="20"/>
              </w:rPr>
              <w:t xml:space="preserve">Smoking </w:t>
            </w:r>
            <w:r w:rsidR="00C065E1" w:rsidRPr="00AB7ABA">
              <w:rPr>
                <w:rFonts w:ascii="Times" w:hAnsi="Times"/>
                <w:sz w:val="22"/>
                <w:szCs w:val="20"/>
              </w:rPr>
              <w:t>status (ever/never)</w:t>
            </w:r>
          </w:p>
        </w:tc>
      </w:tr>
      <w:tr w:rsidR="00145CE8" w:rsidRPr="00AB7ABA" w14:paraId="2DC12B07" w14:textId="77777777" w:rsidTr="00145CE8">
        <w:trPr>
          <w:trHeight w:val="440"/>
        </w:trPr>
        <w:tc>
          <w:tcPr>
            <w:tcW w:w="2304" w:type="dxa"/>
            <w:vAlign w:val="center"/>
          </w:tcPr>
          <w:p w14:paraId="2AA6ACB1" w14:textId="66012B2C" w:rsidR="000F7C11" w:rsidRPr="00AB7ABA" w:rsidRDefault="000F7C11" w:rsidP="00A66883">
            <w:pPr>
              <w:rPr>
                <w:rFonts w:ascii="Times" w:hAnsi="Times"/>
                <w:b/>
                <w:sz w:val="22"/>
                <w:szCs w:val="20"/>
              </w:rPr>
            </w:pPr>
            <w:r w:rsidRPr="00AB7ABA">
              <w:rPr>
                <w:rFonts w:ascii="Times" w:hAnsi="Times"/>
                <w:b/>
                <w:sz w:val="22"/>
                <w:szCs w:val="20"/>
              </w:rPr>
              <w:lastRenderedPageBreak/>
              <w:t>Planned Statistical Analyses</w:t>
            </w:r>
          </w:p>
        </w:tc>
        <w:tc>
          <w:tcPr>
            <w:tcW w:w="7411" w:type="dxa"/>
          </w:tcPr>
          <w:p w14:paraId="573BD758" w14:textId="76F6F237" w:rsidR="000F7C11" w:rsidRPr="00AB7ABA" w:rsidRDefault="000F7C11" w:rsidP="00A66883">
            <w:pPr>
              <w:rPr>
                <w:rFonts w:ascii="Times" w:hAnsi="Times"/>
                <w:sz w:val="22"/>
                <w:szCs w:val="20"/>
              </w:rPr>
            </w:pPr>
            <w:r w:rsidRPr="00AB7ABA">
              <w:rPr>
                <w:rFonts w:ascii="Times" w:hAnsi="Times"/>
                <w:sz w:val="22"/>
                <w:szCs w:val="20"/>
              </w:rPr>
              <w:t>GWAS, Logistic regression</w:t>
            </w:r>
          </w:p>
        </w:tc>
      </w:tr>
      <w:tr w:rsidR="00145CE8" w:rsidRPr="00AB7ABA" w14:paraId="3C0FAC79" w14:textId="77777777" w:rsidTr="00145CE8">
        <w:trPr>
          <w:trHeight w:val="864"/>
        </w:trPr>
        <w:tc>
          <w:tcPr>
            <w:tcW w:w="2304" w:type="dxa"/>
            <w:vAlign w:val="center"/>
          </w:tcPr>
          <w:p w14:paraId="669C8023" w14:textId="77777777" w:rsidR="000F7C11" w:rsidRPr="00AB7ABA" w:rsidRDefault="000F7C11" w:rsidP="00A66883">
            <w:pPr>
              <w:rPr>
                <w:rFonts w:ascii="Times" w:hAnsi="Times"/>
                <w:b/>
                <w:sz w:val="22"/>
                <w:szCs w:val="20"/>
              </w:rPr>
            </w:pPr>
            <w:r w:rsidRPr="00AB7ABA">
              <w:rPr>
                <w:rFonts w:ascii="Times" w:hAnsi="Times"/>
                <w:b/>
                <w:sz w:val="22"/>
                <w:szCs w:val="20"/>
              </w:rPr>
              <w:t>Ethical considerations</w:t>
            </w:r>
          </w:p>
        </w:tc>
        <w:tc>
          <w:tcPr>
            <w:tcW w:w="7411" w:type="dxa"/>
          </w:tcPr>
          <w:p w14:paraId="1CEC9B54" w14:textId="7DB270B7" w:rsidR="000F7C11" w:rsidRPr="00AB7ABA" w:rsidRDefault="000F7C11" w:rsidP="00BA740C">
            <w:pPr>
              <w:rPr>
                <w:rFonts w:ascii="Times" w:hAnsi="Times"/>
                <w:sz w:val="22"/>
                <w:szCs w:val="20"/>
              </w:rPr>
            </w:pPr>
            <w:r w:rsidRPr="00AB7ABA">
              <w:rPr>
                <w:rFonts w:ascii="Times" w:hAnsi="Times"/>
                <w:sz w:val="22"/>
                <w:szCs w:val="20"/>
              </w:rPr>
              <w:t>The dat</w:t>
            </w:r>
            <w:r w:rsidR="00BA740C" w:rsidRPr="00AB7ABA">
              <w:rPr>
                <w:rFonts w:ascii="Times" w:hAnsi="Times"/>
                <w:sz w:val="22"/>
                <w:szCs w:val="20"/>
              </w:rPr>
              <w:t>a</w:t>
            </w:r>
            <w:r w:rsidRPr="00AB7ABA">
              <w:rPr>
                <w:rFonts w:ascii="Times" w:hAnsi="Times"/>
                <w:sz w:val="22"/>
                <w:szCs w:val="20"/>
              </w:rPr>
              <w:t xml:space="preserve"> </w:t>
            </w:r>
            <w:r w:rsidR="00C065E1" w:rsidRPr="00AB7ABA">
              <w:rPr>
                <w:rFonts w:ascii="Times" w:hAnsi="Times"/>
                <w:sz w:val="22"/>
                <w:szCs w:val="20"/>
              </w:rPr>
              <w:t>will be a limited dataset</w:t>
            </w:r>
            <w:r w:rsidRPr="00AB7ABA">
              <w:rPr>
                <w:rFonts w:ascii="Times" w:hAnsi="Times"/>
                <w:sz w:val="22"/>
                <w:szCs w:val="20"/>
              </w:rPr>
              <w:t>. The extent of this study lies within the scope of eMERGE of studying genetic association of clinical phenotypes</w:t>
            </w:r>
          </w:p>
        </w:tc>
      </w:tr>
      <w:tr w:rsidR="00145CE8" w:rsidRPr="00AB7ABA" w14:paraId="0CDD1D49" w14:textId="77777777" w:rsidTr="00145CE8">
        <w:tc>
          <w:tcPr>
            <w:tcW w:w="2304" w:type="dxa"/>
            <w:vAlign w:val="center"/>
          </w:tcPr>
          <w:p w14:paraId="40587852" w14:textId="77777777" w:rsidR="000F7C11" w:rsidRPr="00AB7ABA" w:rsidRDefault="000F7C11" w:rsidP="00A66883">
            <w:pPr>
              <w:rPr>
                <w:rFonts w:ascii="Times" w:hAnsi="Times"/>
                <w:b/>
                <w:sz w:val="22"/>
                <w:szCs w:val="20"/>
              </w:rPr>
            </w:pPr>
            <w:r w:rsidRPr="00AB7ABA">
              <w:rPr>
                <w:rFonts w:ascii="Times" w:hAnsi="Times"/>
                <w:b/>
                <w:sz w:val="22"/>
                <w:szCs w:val="20"/>
              </w:rPr>
              <w:t>Target Journal</w:t>
            </w:r>
          </w:p>
        </w:tc>
        <w:tc>
          <w:tcPr>
            <w:tcW w:w="7411" w:type="dxa"/>
          </w:tcPr>
          <w:p w14:paraId="1D0CBDE1" w14:textId="76821573" w:rsidR="000F7C11" w:rsidRPr="00AB7ABA" w:rsidRDefault="000F7C11" w:rsidP="00A66883">
            <w:pPr>
              <w:rPr>
                <w:rFonts w:ascii="Times" w:hAnsi="Times"/>
                <w:sz w:val="22"/>
                <w:szCs w:val="20"/>
              </w:rPr>
            </w:pPr>
            <w:r w:rsidRPr="00AB7ABA">
              <w:rPr>
                <w:rFonts w:ascii="Times" w:hAnsi="Times"/>
                <w:sz w:val="22"/>
                <w:szCs w:val="20"/>
              </w:rPr>
              <w:t>TBD</w:t>
            </w:r>
          </w:p>
        </w:tc>
      </w:tr>
      <w:tr w:rsidR="00145CE8" w:rsidRPr="00AB7ABA" w14:paraId="1AB08136" w14:textId="77777777" w:rsidTr="00145CE8">
        <w:trPr>
          <w:trHeight w:val="242"/>
        </w:trPr>
        <w:tc>
          <w:tcPr>
            <w:tcW w:w="2304" w:type="dxa"/>
            <w:vAlign w:val="center"/>
          </w:tcPr>
          <w:p w14:paraId="19B92402" w14:textId="77777777" w:rsidR="000F7C11" w:rsidRPr="00AB7ABA" w:rsidRDefault="000F7C11" w:rsidP="00A66883">
            <w:pPr>
              <w:rPr>
                <w:rFonts w:ascii="Times" w:hAnsi="Times"/>
                <w:b/>
                <w:sz w:val="22"/>
                <w:szCs w:val="20"/>
              </w:rPr>
            </w:pPr>
            <w:r w:rsidRPr="00AB7ABA">
              <w:rPr>
                <w:rFonts w:ascii="Times" w:hAnsi="Times"/>
                <w:b/>
                <w:sz w:val="22"/>
                <w:szCs w:val="20"/>
              </w:rPr>
              <w:t>Milestones**</w:t>
            </w:r>
          </w:p>
        </w:tc>
        <w:tc>
          <w:tcPr>
            <w:tcW w:w="7411" w:type="dxa"/>
          </w:tcPr>
          <w:tbl>
            <w:tblPr>
              <w:tblW w:w="4608" w:type="dxa"/>
              <w:tblInd w:w="1449" w:type="dxa"/>
              <w:tblLayout w:type="fixed"/>
              <w:tblCellMar>
                <w:left w:w="0" w:type="dxa"/>
                <w:right w:w="0" w:type="dxa"/>
              </w:tblCellMar>
              <w:tblLook w:val="04A0" w:firstRow="1" w:lastRow="0" w:firstColumn="1" w:lastColumn="0" w:noHBand="0" w:noVBand="1"/>
            </w:tblPr>
            <w:tblGrid>
              <w:gridCol w:w="1726"/>
              <w:gridCol w:w="540"/>
              <w:gridCol w:w="540"/>
              <w:gridCol w:w="630"/>
              <w:gridCol w:w="630"/>
              <w:gridCol w:w="542"/>
            </w:tblGrid>
            <w:tr w:rsidR="00145CE8" w:rsidRPr="00AB7ABA" w14:paraId="150B5714" w14:textId="00C338C0" w:rsidTr="00145CE8">
              <w:trPr>
                <w:trHeight w:val="520"/>
              </w:trPr>
              <w:tc>
                <w:tcPr>
                  <w:tcW w:w="1726" w:type="dxa"/>
                  <w:tcBorders>
                    <w:top w:val="nil"/>
                    <w:left w:val="nil"/>
                    <w:bottom w:val="single" w:sz="4" w:space="0" w:color="auto"/>
                    <w:right w:val="nil"/>
                  </w:tcBorders>
                  <w:shd w:val="clear" w:color="auto" w:fill="auto"/>
                  <w:noWrap/>
                  <w:vAlign w:val="bottom"/>
                  <w:hideMark/>
                </w:tcPr>
                <w:p w14:paraId="57968623" w14:textId="5A7EBEF5" w:rsidR="00B86B9E" w:rsidRPr="00AB7ABA" w:rsidRDefault="00B86B9E" w:rsidP="00E05D99">
                  <w:pPr>
                    <w:jc w:val="right"/>
                    <w:rPr>
                      <w:rFonts w:ascii="Times" w:hAnsi="Times" w:cstheme="minorBidi"/>
                      <w:b/>
                      <w:sz w:val="20"/>
                      <w:szCs w:val="18"/>
                    </w:rPr>
                  </w:pPr>
                  <w:r w:rsidRPr="00AB7ABA">
                    <w:rPr>
                      <w:rFonts w:ascii="Times" w:hAnsi="Times" w:cstheme="minorBidi"/>
                      <w:b/>
                      <w:sz w:val="20"/>
                      <w:szCs w:val="18"/>
                    </w:rPr>
                    <w:t>Months</w:t>
                  </w:r>
                </w:p>
              </w:tc>
              <w:tc>
                <w:tcPr>
                  <w:tcW w:w="540" w:type="dxa"/>
                  <w:tcBorders>
                    <w:top w:val="nil"/>
                    <w:left w:val="nil"/>
                    <w:bottom w:val="single" w:sz="4" w:space="0" w:color="auto"/>
                    <w:right w:val="nil"/>
                  </w:tcBorders>
                  <w:shd w:val="clear" w:color="auto" w:fill="auto"/>
                  <w:noWrap/>
                  <w:vAlign w:val="bottom"/>
                  <w:hideMark/>
                </w:tcPr>
                <w:p w14:paraId="44A4BF96" w14:textId="558CBC20" w:rsidR="00B86B9E" w:rsidRPr="00AB7ABA" w:rsidRDefault="00B86B9E" w:rsidP="00B86B9E">
                  <w:pPr>
                    <w:jc w:val="center"/>
                    <w:rPr>
                      <w:rFonts w:ascii="Times" w:hAnsi="Times"/>
                      <w:b/>
                      <w:color w:val="000000"/>
                      <w:sz w:val="20"/>
                      <w:szCs w:val="18"/>
                    </w:rPr>
                  </w:pPr>
                  <w:r w:rsidRPr="00AB7ABA">
                    <w:rPr>
                      <w:rFonts w:ascii="Times" w:hAnsi="Times"/>
                      <w:b/>
                      <w:color w:val="000000"/>
                      <w:sz w:val="20"/>
                      <w:szCs w:val="18"/>
                    </w:rPr>
                    <w:t>1-6</w:t>
                  </w:r>
                </w:p>
              </w:tc>
              <w:tc>
                <w:tcPr>
                  <w:tcW w:w="540" w:type="dxa"/>
                  <w:tcBorders>
                    <w:top w:val="nil"/>
                    <w:left w:val="nil"/>
                    <w:bottom w:val="single" w:sz="4" w:space="0" w:color="auto"/>
                    <w:right w:val="nil"/>
                  </w:tcBorders>
                  <w:shd w:val="clear" w:color="auto" w:fill="auto"/>
                  <w:noWrap/>
                  <w:vAlign w:val="bottom"/>
                  <w:hideMark/>
                </w:tcPr>
                <w:p w14:paraId="7F56B348" w14:textId="4054DDF3" w:rsidR="00B86B9E" w:rsidRPr="00AB7ABA" w:rsidRDefault="00B86B9E" w:rsidP="00B86B9E">
                  <w:pPr>
                    <w:jc w:val="center"/>
                    <w:rPr>
                      <w:rFonts w:ascii="Times" w:hAnsi="Times"/>
                      <w:b/>
                      <w:color w:val="000000"/>
                      <w:sz w:val="20"/>
                      <w:szCs w:val="18"/>
                    </w:rPr>
                  </w:pPr>
                  <w:r w:rsidRPr="00AB7ABA">
                    <w:rPr>
                      <w:rFonts w:ascii="Times" w:hAnsi="Times"/>
                      <w:b/>
                      <w:color w:val="000000"/>
                      <w:sz w:val="20"/>
                      <w:szCs w:val="18"/>
                    </w:rPr>
                    <w:t>6-12</w:t>
                  </w:r>
                </w:p>
              </w:tc>
              <w:tc>
                <w:tcPr>
                  <w:tcW w:w="630" w:type="dxa"/>
                  <w:tcBorders>
                    <w:top w:val="nil"/>
                    <w:left w:val="nil"/>
                    <w:bottom w:val="single" w:sz="4" w:space="0" w:color="auto"/>
                    <w:right w:val="nil"/>
                  </w:tcBorders>
                  <w:shd w:val="clear" w:color="auto" w:fill="auto"/>
                  <w:noWrap/>
                  <w:vAlign w:val="bottom"/>
                  <w:hideMark/>
                </w:tcPr>
                <w:p w14:paraId="04D4E985" w14:textId="404CB564" w:rsidR="00B86B9E" w:rsidRPr="00AB7ABA" w:rsidRDefault="00B86B9E" w:rsidP="00B86B9E">
                  <w:pPr>
                    <w:jc w:val="center"/>
                    <w:rPr>
                      <w:rFonts w:ascii="Times" w:hAnsi="Times"/>
                      <w:b/>
                      <w:color w:val="000000"/>
                      <w:sz w:val="20"/>
                      <w:szCs w:val="18"/>
                    </w:rPr>
                  </w:pPr>
                  <w:r w:rsidRPr="00AB7ABA">
                    <w:rPr>
                      <w:rFonts w:ascii="Times" w:hAnsi="Times"/>
                      <w:b/>
                      <w:color w:val="000000"/>
                      <w:sz w:val="20"/>
                      <w:szCs w:val="18"/>
                    </w:rPr>
                    <w:t>12-18</w:t>
                  </w:r>
                </w:p>
              </w:tc>
              <w:tc>
                <w:tcPr>
                  <w:tcW w:w="630" w:type="dxa"/>
                  <w:tcBorders>
                    <w:top w:val="nil"/>
                    <w:left w:val="nil"/>
                    <w:bottom w:val="single" w:sz="4" w:space="0" w:color="auto"/>
                    <w:right w:val="nil"/>
                  </w:tcBorders>
                  <w:vAlign w:val="bottom"/>
                </w:tcPr>
                <w:p w14:paraId="375138C0" w14:textId="1EA1773D" w:rsidR="00B86B9E" w:rsidRPr="00AB7ABA" w:rsidRDefault="00B86B9E" w:rsidP="00B86B9E">
                  <w:pPr>
                    <w:jc w:val="center"/>
                    <w:rPr>
                      <w:rFonts w:ascii="Times" w:hAnsi="Times"/>
                      <w:b/>
                      <w:color w:val="000000"/>
                      <w:sz w:val="20"/>
                      <w:szCs w:val="18"/>
                    </w:rPr>
                  </w:pPr>
                  <w:r w:rsidRPr="00AB7ABA">
                    <w:rPr>
                      <w:rFonts w:ascii="Times" w:hAnsi="Times"/>
                      <w:b/>
                      <w:color w:val="000000"/>
                      <w:sz w:val="20"/>
                      <w:szCs w:val="18"/>
                    </w:rPr>
                    <w:t>18-24</w:t>
                  </w:r>
                </w:p>
              </w:tc>
              <w:tc>
                <w:tcPr>
                  <w:tcW w:w="542" w:type="dxa"/>
                  <w:tcBorders>
                    <w:top w:val="nil"/>
                    <w:left w:val="nil"/>
                    <w:bottom w:val="single" w:sz="4" w:space="0" w:color="auto"/>
                    <w:right w:val="nil"/>
                  </w:tcBorders>
                  <w:vAlign w:val="bottom"/>
                </w:tcPr>
                <w:p w14:paraId="5C64C024" w14:textId="4FDC67D3" w:rsidR="00B86B9E" w:rsidRPr="00AB7ABA" w:rsidRDefault="00B86B9E" w:rsidP="00B86B9E">
                  <w:pPr>
                    <w:jc w:val="center"/>
                    <w:rPr>
                      <w:rFonts w:ascii="Times" w:hAnsi="Times"/>
                      <w:b/>
                      <w:color w:val="000000"/>
                      <w:sz w:val="20"/>
                      <w:szCs w:val="18"/>
                    </w:rPr>
                  </w:pPr>
                  <w:r w:rsidRPr="00AB7ABA">
                    <w:rPr>
                      <w:rFonts w:ascii="Times" w:hAnsi="Times"/>
                      <w:b/>
                      <w:color w:val="000000"/>
                      <w:sz w:val="20"/>
                      <w:szCs w:val="18"/>
                    </w:rPr>
                    <w:t>18-24</w:t>
                  </w:r>
                </w:p>
              </w:tc>
            </w:tr>
            <w:tr w:rsidR="00B86B9E" w:rsidRPr="00AB7ABA" w14:paraId="14BDB1BA" w14:textId="202C0D3B" w:rsidTr="00145CE8">
              <w:trPr>
                <w:trHeight w:val="261"/>
              </w:trPr>
              <w:tc>
                <w:tcPr>
                  <w:tcW w:w="1726" w:type="dxa"/>
                  <w:tcBorders>
                    <w:top w:val="single" w:sz="4" w:space="0" w:color="auto"/>
                    <w:left w:val="nil"/>
                    <w:bottom w:val="nil"/>
                    <w:right w:val="nil"/>
                  </w:tcBorders>
                  <w:shd w:val="clear" w:color="auto" w:fill="auto"/>
                  <w:noWrap/>
                  <w:vAlign w:val="bottom"/>
                  <w:hideMark/>
                </w:tcPr>
                <w:p w14:paraId="6F18626B" w14:textId="3CAD23CD" w:rsidR="00B86B9E" w:rsidRPr="00AB7ABA" w:rsidRDefault="00B86B9E" w:rsidP="000F7C11">
                  <w:pPr>
                    <w:rPr>
                      <w:rFonts w:ascii="Times" w:hAnsi="Times"/>
                      <w:color w:val="000000"/>
                      <w:sz w:val="22"/>
                      <w:szCs w:val="20"/>
                    </w:rPr>
                  </w:pPr>
                  <w:r w:rsidRPr="00AB7ABA">
                    <w:rPr>
                      <w:rFonts w:ascii="Times" w:hAnsi="Times"/>
                      <w:color w:val="000000"/>
                      <w:sz w:val="22"/>
                      <w:szCs w:val="20"/>
                    </w:rPr>
                    <w:t>A. Data collection</w:t>
                  </w:r>
                </w:p>
              </w:tc>
              <w:tc>
                <w:tcPr>
                  <w:tcW w:w="540" w:type="dxa"/>
                  <w:tcBorders>
                    <w:top w:val="single" w:sz="4" w:space="0" w:color="auto"/>
                    <w:left w:val="nil"/>
                    <w:bottom w:val="nil"/>
                    <w:right w:val="nil"/>
                  </w:tcBorders>
                  <w:shd w:val="clear" w:color="auto" w:fill="BFBFBF" w:themeFill="background1" w:themeFillShade="BF"/>
                  <w:noWrap/>
                  <w:vAlign w:val="bottom"/>
                  <w:hideMark/>
                </w:tcPr>
                <w:p w14:paraId="1584A001" w14:textId="77777777" w:rsidR="00B86B9E" w:rsidRPr="00AB7ABA" w:rsidRDefault="00B86B9E" w:rsidP="003B4169">
                  <w:pPr>
                    <w:rPr>
                      <w:rFonts w:ascii="Times" w:hAnsi="Times"/>
                      <w:color w:val="000000"/>
                      <w:sz w:val="22"/>
                      <w:szCs w:val="20"/>
                    </w:rPr>
                  </w:pPr>
                  <w:r w:rsidRPr="00AB7ABA">
                    <w:rPr>
                      <w:rFonts w:ascii="Times" w:hAnsi="Times"/>
                      <w:color w:val="000000"/>
                      <w:sz w:val="22"/>
                      <w:szCs w:val="20"/>
                    </w:rPr>
                    <w:t> </w:t>
                  </w:r>
                </w:p>
              </w:tc>
              <w:tc>
                <w:tcPr>
                  <w:tcW w:w="540" w:type="dxa"/>
                  <w:tcBorders>
                    <w:top w:val="single" w:sz="4" w:space="0" w:color="auto"/>
                    <w:left w:val="nil"/>
                    <w:bottom w:val="nil"/>
                    <w:right w:val="nil"/>
                  </w:tcBorders>
                  <w:shd w:val="clear" w:color="auto" w:fill="auto"/>
                  <w:noWrap/>
                  <w:vAlign w:val="bottom"/>
                  <w:hideMark/>
                </w:tcPr>
                <w:p w14:paraId="1BFB0707" w14:textId="77777777" w:rsidR="00B86B9E" w:rsidRPr="00AB7ABA" w:rsidRDefault="00B86B9E" w:rsidP="003B4169">
                  <w:pPr>
                    <w:rPr>
                      <w:rFonts w:ascii="Times" w:hAnsi="Times"/>
                      <w:color w:val="000000"/>
                      <w:sz w:val="22"/>
                      <w:szCs w:val="20"/>
                    </w:rPr>
                  </w:pPr>
                </w:p>
              </w:tc>
              <w:tc>
                <w:tcPr>
                  <w:tcW w:w="630" w:type="dxa"/>
                  <w:tcBorders>
                    <w:top w:val="single" w:sz="4" w:space="0" w:color="auto"/>
                    <w:left w:val="nil"/>
                    <w:bottom w:val="nil"/>
                    <w:right w:val="nil"/>
                  </w:tcBorders>
                  <w:shd w:val="clear" w:color="auto" w:fill="auto"/>
                  <w:noWrap/>
                  <w:vAlign w:val="bottom"/>
                  <w:hideMark/>
                </w:tcPr>
                <w:p w14:paraId="03283E71" w14:textId="77777777" w:rsidR="00B86B9E" w:rsidRPr="00AB7ABA" w:rsidRDefault="00B86B9E" w:rsidP="003B4169">
                  <w:pPr>
                    <w:rPr>
                      <w:rFonts w:ascii="Times" w:hAnsi="Times"/>
                      <w:sz w:val="22"/>
                      <w:szCs w:val="20"/>
                    </w:rPr>
                  </w:pPr>
                </w:p>
              </w:tc>
              <w:tc>
                <w:tcPr>
                  <w:tcW w:w="630" w:type="dxa"/>
                  <w:tcBorders>
                    <w:top w:val="single" w:sz="4" w:space="0" w:color="auto"/>
                    <w:left w:val="nil"/>
                    <w:bottom w:val="nil"/>
                    <w:right w:val="nil"/>
                  </w:tcBorders>
                </w:tcPr>
                <w:p w14:paraId="51E84553" w14:textId="77777777" w:rsidR="00B86B9E" w:rsidRPr="00AB7ABA" w:rsidRDefault="00B86B9E" w:rsidP="003B4169">
                  <w:pPr>
                    <w:rPr>
                      <w:rFonts w:ascii="Times" w:hAnsi="Times"/>
                      <w:sz w:val="22"/>
                      <w:szCs w:val="20"/>
                    </w:rPr>
                  </w:pPr>
                </w:p>
              </w:tc>
              <w:tc>
                <w:tcPr>
                  <w:tcW w:w="542" w:type="dxa"/>
                  <w:tcBorders>
                    <w:top w:val="single" w:sz="4" w:space="0" w:color="auto"/>
                    <w:left w:val="nil"/>
                    <w:bottom w:val="nil"/>
                    <w:right w:val="nil"/>
                  </w:tcBorders>
                </w:tcPr>
                <w:p w14:paraId="550461CE" w14:textId="77777777" w:rsidR="00B86B9E" w:rsidRPr="00AB7ABA" w:rsidRDefault="00B86B9E" w:rsidP="003B4169">
                  <w:pPr>
                    <w:rPr>
                      <w:rFonts w:ascii="Times" w:hAnsi="Times"/>
                      <w:sz w:val="22"/>
                      <w:szCs w:val="20"/>
                    </w:rPr>
                  </w:pPr>
                </w:p>
              </w:tc>
            </w:tr>
            <w:tr w:rsidR="00B86B9E" w:rsidRPr="00AB7ABA" w14:paraId="61637975" w14:textId="2428FFB8" w:rsidTr="00145CE8">
              <w:trPr>
                <w:trHeight w:val="201"/>
              </w:trPr>
              <w:tc>
                <w:tcPr>
                  <w:tcW w:w="1726" w:type="dxa"/>
                  <w:tcBorders>
                    <w:top w:val="nil"/>
                    <w:left w:val="nil"/>
                    <w:bottom w:val="nil"/>
                    <w:right w:val="nil"/>
                  </w:tcBorders>
                  <w:shd w:val="clear" w:color="auto" w:fill="auto"/>
                  <w:noWrap/>
                  <w:vAlign w:val="bottom"/>
                  <w:hideMark/>
                </w:tcPr>
                <w:p w14:paraId="4C57E3F1" w14:textId="2AC36689" w:rsidR="00B86B9E" w:rsidRPr="00AB7ABA" w:rsidRDefault="00B86B9E" w:rsidP="00E05D99">
                  <w:pPr>
                    <w:rPr>
                      <w:rFonts w:ascii="Times" w:hAnsi="Times"/>
                      <w:color w:val="000000"/>
                      <w:sz w:val="22"/>
                      <w:szCs w:val="20"/>
                    </w:rPr>
                  </w:pPr>
                  <w:r w:rsidRPr="00AB7ABA">
                    <w:rPr>
                      <w:rFonts w:ascii="Times" w:hAnsi="Times"/>
                      <w:color w:val="000000"/>
                      <w:sz w:val="22"/>
                      <w:szCs w:val="20"/>
                    </w:rPr>
                    <w:t>B. Case control assignment</w:t>
                  </w:r>
                </w:p>
              </w:tc>
              <w:tc>
                <w:tcPr>
                  <w:tcW w:w="540" w:type="dxa"/>
                  <w:tcBorders>
                    <w:top w:val="nil"/>
                    <w:left w:val="nil"/>
                    <w:bottom w:val="nil"/>
                    <w:right w:val="nil"/>
                  </w:tcBorders>
                  <w:shd w:val="clear" w:color="auto" w:fill="BFBFBF" w:themeFill="background1" w:themeFillShade="BF"/>
                  <w:noWrap/>
                  <w:vAlign w:val="bottom"/>
                  <w:hideMark/>
                </w:tcPr>
                <w:p w14:paraId="62D0774E" w14:textId="77777777" w:rsidR="00B86B9E" w:rsidRPr="00AB7ABA" w:rsidRDefault="00B86B9E" w:rsidP="003B4169">
                  <w:pPr>
                    <w:rPr>
                      <w:rFonts w:ascii="Times" w:hAnsi="Times"/>
                      <w:color w:val="000000"/>
                      <w:sz w:val="22"/>
                      <w:szCs w:val="20"/>
                    </w:rPr>
                  </w:pPr>
                  <w:r w:rsidRPr="00AB7ABA">
                    <w:rPr>
                      <w:rFonts w:ascii="Times" w:hAnsi="Times"/>
                      <w:color w:val="000000"/>
                      <w:sz w:val="22"/>
                      <w:szCs w:val="20"/>
                    </w:rPr>
                    <w:t> </w:t>
                  </w:r>
                </w:p>
              </w:tc>
              <w:tc>
                <w:tcPr>
                  <w:tcW w:w="540" w:type="dxa"/>
                  <w:tcBorders>
                    <w:top w:val="nil"/>
                    <w:left w:val="nil"/>
                    <w:bottom w:val="nil"/>
                    <w:right w:val="nil"/>
                  </w:tcBorders>
                  <w:shd w:val="clear" w:color="auto" w:fill="auto"/>
                  <w:noWrap/>
                  <w:vAlign w:val="bottom"/>
                  <w:hideMark/>
                </w:tcPr>
                <w:p w14:paraId="727DD49C" w14:textId="77777777" w:rsidR="00B86B9E" w:rsidRPr="00AB7ABA" w:rsidRDefault="00B86B9E" w:rsidP="003B4169">
                  <w:pPr>
                    <w:rPr>
                      <w:rFonts w:ascii="Times" w:hAnsi="Times"/>
                      <w:color w:val="000000"/>
                      <w:sz w:val="22"/>
                      <w:szCs w:val="20"/>
                    </w:rPr>
                  </w:pPr>
                </w:p>
              </w:tc>
              <w:tc>
                <w:tcPr>
                  <w:tcW w:w="630" w:type="dxa"/>
                  <w:tcBorders>
                    <w:top w:val="nil"/>
                    <w:left w:val="nil"/>
                    <w:bottom w:val="nil"/>
                    <w:right w:val="nil"/>
                  </w:tcBorders>
                  <w:shd w:val="clear" w:color="auto" w:fill="auto"/>
                  <w:noWrap/>
                  <w:vAlign w:val="bottom"/>
                  <w:hideMark/>
                </w:tcPr>
                <w:p w14:paraId="4F62CBAF" w14:textId="77777777" w:rsidR="00B86B9E" w:rsidRPr="00AB7ABA" w:rsidRDefault="00B86B9E" w:rsidP="003B4169">
                  <w:pPr>
                    <w:rPr>
                      <w:rFonts w:ascii="Times" w:hAnsi="Times"/>
                      <w:sz w:val="22"/>
                      <w:szCs w:val="20"/>
                    </w:rPr>
                  </w:pPr>
                </w:p>
              </w:tc>
              <w:tc>
                <w:tcPr>
                  <w:tcW w:w="630" w:type="dxa"/>
                  <w:tcBorders>
                    <w:top w:val="nil"/>
                    <w:left w:val="nil"/>
                    <w:bottom w:val="nil"/>
                    <w:right w:val="nil"/>
                  </w:tcBorders>
                </w:tcPr>
                <w:p w14:paraId="781D643D" w14:textId="77777777" w:rsidR="00B86B9E" w:rsidRPr="00AB7ABA" w:rsidRDefault="00B86B9E" w:rsidP="003B4169">
                  <w:pPr>
                    <w:rPr>
                      <w:rFonts w:ascii="Times" w:hAnsi="Times"/>
                      <w:sz w:val="22"/>
                      <w:szCs w:val="20"/>
                    </w:rPr>
                  </w:pPr>
                </w:p>
              </w:tc>
              <w:tc>
                <w:tcPr>
                  <w:tcW w:w="542" w:type="dxa"/>
                  <w:tcBorders>
                    <w:top w:val="nil"/>
                    <w:left w:val="nil"/>
                    <w:bottom w:val="nil"/>
                    <w:right w:val="nil"/>
                  </w:tcBorders>
                </w:tcPr>
                <w:p w14:paraId="53E6EE30" w14:textId="77777777" w:rsidR="00B86B9E" w:rsidRPr="00AB7ABA" w:rsidRDefault="00B86B9E" w:rsidP="003B4169">
                  <w:pPr>
                    <w:rPr>
                      <w:rFonts w:ascii="Times" w:hAnsi="Times"/>
                      <w:sz w:val="22"/>
                      <w:szCs w:val="20"/>
                    </w:rPr>
                  </w:pPr>
                </w:p>
              </w:tc>
            </w:tr>
            <w:tr w:rsidR="00B86B9E" w:rsidRPr="00AB7ABA" w14:paraId="2D7D0157" w14:textId="5D4C980E" w:rsidTr="00145CE8">
              <w:trPr>
                <w:trHeight w:val="201"/>
              </w:trPr>
              <w:tc>
                <w:tcPr>
                  <w:tcW w:w="1726" w:type="dxa"/>
                  <w:tcBorders>
                    <w:top w:val="nil"/>
                    <w:left w:val="nil"/>
                    <w:bottom w:val="nil"/>
                    <w:right w:val="nil"/>
                  </w:tcBorders>
                  <w:shd w:val="clear" w:color="auto" w:fill="auto"/>
                  <w:noWrap/>
                  <w:vAlign w:val="bottom"/>
                  <w:hideMark/>
                </w:tcPr>
                <w:p w14:paraId="23E3E22F" w14:textId="55E898F2" w:rsidR="00B86B9E" w:rsidRPr="00AB7ABA" w:rsidRDefault="00B86B9E" w:rsidP="00E05D99">
                  <w:pPr>
                    <w:rPr>
                      <w:rFonts w:ascii="Times" w:hAnsi="Times"/>
                      <w:color w:val="000000"/>
                      <w:sz w:val="22"/>
                      <w:szCs w:val="20"/>
                    </w:rPr>
                  </w:pPr>
                  <w:r w:rsidRPr="00AB7ABA">
                    <w:rPr>
                      <w:rFonts w:ascii="Times" w:hAnsi="Times"/>
                      <w:color w:val="000000"/>
                      <w:sz w:val="22"/>
                      <w:szCs w:val="20"/>
                    </w:rPr>
                    <w:t>C. GWAS analysis</w:t>
                  </w:r>
                </w:p>
              </w:tc>
              <w:tc>
                <w:tcPr>
                  <w:tcW w:w="540" w:type="dxa"/>
                  <w:tcBorders>
                    <w:top w:val="nil"/>
                    <w:left w:val="nil"/>
                    <w:bottom w:val="nil"/>
                    <w:right w:val="nil"/>
                  </w:tcBorders>
                  <w:shd w:val="clear" w:color="auto" w:fill="auto"/>
                  <w:noWrap/>
                  <w:vAlign w:val="bottom"/>
                  <w:hideMark/>
                </w:tcPr>
                <w:p w14:paraId="7868FB8A" w14:textId="77777777" w:rsidR="00B86B9E" w:rsidRPr="00AB7ABA" w:rsidRDefault="00B86B9E" w:rsidP="003B4169">
                  <w:pPr>
                    <w:rPr>
                      <w:rFonts w:ascii="Times" w:hAnsi="Times"/>
                      <w:color w:val="000000"/>
                      <w:sz w:val="22"/>
                      <w:szCs w:val="20"/>
                    </w:rPr>
                  </w:pPr>
                </w:p>
              </w:tc>
              <w:tc>
                <w:tcPr>
                  <w:tcW w:w="540" w:type="dxa"/>
                  <w:tcBorders>
                    <w:top w:val="nil"/>
                    <w:left w:val="nil"/>
                    <w:bottom w:val="nil"/>
                    <w:right w:val="nil"/>
                  </w:tcBorders>
                  <w:shd w:val="clear" w:color="auto" w:fill="BFBFBF" w:themeFill="background1" w:themeFillShade="BF"/>
                  <w:noWrap/>
                  <w:vAlign w:val="bottom"/>
                  <w:hideMark/>
                </w:tcPr>
                <w:p w14:paraId="6E86CE7F" w14:textId="77777777" w:rsidR="00B86B9E" w:rsidRPr="00AB7ABA" w:rsidRDefault="00B86B9E" w:rsidP="003B4169">
                  <w:pPr>
                    <w:rPr>
                      <w:rFonts w:ascii="Times" w:hAnsi="Times"/>
                      <w:sz w:val="22"/>
                      <w:szCs w:val="20"/>
                    </w:rPr>
                  </w:pPr>
                </w:p>
              </w:tc>
              <w:tc>
                <w:tcPr>
                  <w:tcW w:w="630" w:type="dxa"/>
                  <w:tcBorders>
                    <w:top w:val="nil"/>
                    <w:left w:val="nil"/>
                    <w:bottom w:val="nil"/>
                    <w:right w:val="nil"/>
                  </w:tcBorders>
                  <w:shd w:val="clear" w:color="auto" w:fill="auto"/>
                  <w:noWrap/>
                  <w:vAlign w:val="bottom"/>
                  <w:hideMark/>
                </w:tcPr>
                <w:p w14:paraId="35D7CCFE" w14:textId="77777777" w:rsidR="00B86B9E" w:rsidRPr="00AB7ABA" w:rsidRDefault="00B86B9E" w:rsidP="003B4169">
                  <w:pPr>
                    <w:rPr>
                      <w:rFonts w:ascii="Times" w:hAnsi="Times"/>
                      <w:color w:val="000000"/>
                      <w:sz w:val="22"/>
                      <w:szCs w:val="20"/>
                    </w:rPr>
                  </w:pPr>
                </w:p>
              </w:tc>
              <w:tc>
                <w:tcPr>
                  <w:tcW w:w="630" w:type="dxa"/>
                  <w:tcBorders>
                    <w:top w:val="nil"/>
                    <w:left w:val="nil"/>
                    <w:bottom w:val="nil"/>
                    <w:right w:val="nil"/>
                  </w:tcBorders>
                </w:tcPr>
                <w:p w14:paraId="56A7F916" w14:textId="77777777" w:rsidR="00B86B9E" w:rsidRPr="00AB7ABA" w:rsidRDefault="00B86B9E" w:rsidP="003B4169">
                  <w:pPr>
                    <w:rPr>
                      <w:rFonts w:ascii="Times" w:hAnsi="Times"/>
                      <w:color w:val="000000"/>
                      <w:sz w:val="22"/>
                      <w:szCs w:val="20"/>
                    </w:rPr>
                  </w:pPr>
                </w:p>
              </w:tc>
              <w:tc>
                <w:tcPr>
                  <w:tcW w:w="542" w:type="dxa"/>
                  <w:tcBorders>
                    <w:top w:val="nil"/>
                    <w:left w:val="nil"/>
                    <w:bottom w:val="nil"/>
                    <w:right w:val="nil"/>
                  </w:tcBorders>
                </w:tcPr>
                <w:p w14:paraId="5E722B26" w14:textId="77777777" w:rsidR="00B86B9E" w:rsidRPr="00AB7ABA" w:rsidRDefault="00B86B9E" w:rsidP="003B4169">
                  <w:pPr>
                    <w:rPr>
                      <w:rFonts w:ascii="Times" w:hAnsi="Times"/>
                      <w:color w:val="000000"/>
                      <w:sz w:val="22"/>
                      <w:szCs w:val="20"/>
                    </w:rPr>
                  </w:pPr>
                </w:p>
              </w:tc>
            </w:tr>
            <w:tr w:rsidR="00B86B9E" w:rsidRPr="00AB7ABA" w14:paraId="7882AF8C" w14:textId="5CEE3761" w:rsidTr="00145CE8">
              <w:trPr>
                <w:trHeight w:val="252"/>
              </w:trPr>
              <w:tc>
                <w:tcPr>
                  <w:tcW w:w="1726" w:type="dxa"/>
                  <w:tcBorders>
                    <w:top w:val="nil"/>
                    <w:left w:val="nil"/>
                    <w:bottom w:val="nil"/>
                    <w:right w:val="nil"/>
                  </w:tcBorders>
                  <w:shd w:val="clear" w:color="auto" w:fill="auto"/>
                  <w:noWrap/>
                  <w:vAlign w:val="bottom"/>
                  <w:hideMark/>
                </w:tcPr>
                <w:p w14:paraId="2FA923C0" w14:textId="6B7884D3" w:rsidR="00B86B9E" w:rsidRPr="00AB7ABA" w:rsidRDefault="00B86B9E" w:rsidP="00E05D99">
                  <w:pPr>
                    <w:rPr>
                      <w:rFonts w:ascii="Times" w:hAnsi="Times"/>
                      <w:color w:val="000000"/>
                      <w:sz w:val="22"/>
                      <w:szCs w:val="20"/>
                    </w:rPr>
                  </w:pPr>
                  <w:r w:rsidRPr="00AB7ABA">
                    <w:rPr>
                      <w:rFonts w:ascii="Times" w:hAnsi="Times"/>
                      <w:color w:val="000000"/>
                      <w:sz w:val="22"/>
                      <w:szCs w:val="20"/>
                    </w:rPr>
                    <w:t xml:space="preserve">E. Meta-analysis </w:t>
                  </w:r>
                </w:p>
              </w:tc>
              <w:tc>
                <w:tcPr>
                  <w:tcW w:w="540" w:type="dxa"/>
                  <w:tcBorders>
                    <w:top w:val="nil"/>
                    <w:left w:val="nil"/>
                    <w:bottom w:val="nil"/>
                    <w:right w:val="nil"/>
                  </w:tcBorders>
                  <w:shd w:val="clear" w:color="auto" w:fill="auto"/>
                  <w:noWrap/>
                  <w:vAlign w:val="bottom"/>
                  <w:hideMark/>
                </w:tcPr>
                <w:p w14:paraId="06CD389F" w14:textId="77777777" w:rsidR="00B86B9E" w:rsidRPr="00AB7ABA" w:rsidRDefault="00B86B9E" w:rsidP="003B4169">
                  <w:pPr>
                    <w:rPr>
                      <w:rFonts w:ascii="Times" w:hAnsi="Times"/>
                      <w:color w:val="000000"/>
                      <w:sz w:val="22"/>
                      <w:szCs w:val="20"/>
                    </w:rPr>
                  </w:pPr>
                </w:p>
              </w:tc>
              <w:tc>
                <w:tcPr>
                  <w:tcW w:w="540" w:type="dxa"/>
                  <w:tcBorders>
                    <w:top w:val="nil"/>
                    <w:left w:val="nil"/>
                    <w:bottom w:val="nil"/>
                    <w:right w:val="nil"/>
                  </w:tcBorders>
                  <w:shd w:val="clear" w:color="auto" w:fill="auto"/>
                  <w:noWrap/>
                  <w:vAlign w:val="bottom"/>
                  <w:hideMark/>
                </w:tcPr>
                <w:p w14:paraId="0A01E443" w14:textId="77777777" w:rsidR="00B86B9E" w:rsidRPr="00AB7ABA" w:rsidRDefault="00B86B9E" w:rsidP="003B4169">
                  <w:pPr>
                    <w:rPr>
                      <w:rFonts w:ascii="Times" w:hAnsi="Times"/>
                      <w:sz w:val="22"/>
                      <w:szCs w:val="20"/>
                    </w:rPr>
                  </w:pPr>
                </w:p>
              </w:tc>
              <w:tc>
                <w:tcPr>
                  <w:tcW w:w="630" w:type="dxa"/>
                  <w:tcBorders>
                    <w:top w:val="nil"/>
                    <w:left w:val="nil"/>
                    <w:bottom w:val="nil"/>
                    <w:right w:val="nil"/>
                  </w:tcBorders>
                  <w:shd w:val="clear" w:color="auto" w:fill="BFBFBF" w:themeFill="background1" w:themeFillShade="BF"/>
                  <w:noWrap/>
                  <w:vAlign w:val="bottom"/>
                  <w:hideMark/>
                </w:tcPr>
                <w:p w14:paraId="2F0D9372" w14:textId="77777777" w:rsidR="00B86B9E" w:rsidRPr="00AB7ABA" w:rsidRDefault="00B86B9E" w:rsidP="003B4169">
                  <w:pPr>
                    <w:rPr>
                      <w:rFonts w:ascii="Times" w:hAnsi="Times"/>
                      <w:color w:val="000000"/>
                      <w:sz w:val="22"/>
                      <w:szCs w:val="20"/>
                    </w:rPr>
                  </w:pPr>
                </w:p>
              </w:tc>
              <w:tc>
                <w:tcPr>
                  <w:tcW w:w="630" w:type="dxa"/>
                  <w:tcBorders>
                    <w:top w:val="nil"/>
                    <w:left w:val="nil"/>
                    <w:bottom w:val="nil"/>
                    <w:right w:val="nil"/>
                  </w:tcBorders>
                </w:tcPr>
                <w:p w14:paraId="2B7035D5" w14:textId="77777777" w:rsidR="00B86B9E" w:rsidRPr="00AB7ABA" w:rsidRDefault="00B86B9E" w:rsidP="003B4169">
                  <w:pPr>
                    <w:rPr>
                      <w:rFonts w:ascii="Times" w:hAnsi="Times"/>
                      <w:color w:val="000000"/>
                      <w:sz w:val="22"/>
                      <w:szCs w:val="20"/>
                    </w:rPr>
                  </w:pPr>
                </w:p>
              </w:tc>
              <w:tc>
                <w:tcPr>
                  <w:tcW w:w="542" w:type="dxa"/>
                  <w:tcBorders>
                    <w:top w:val="nil"/>
                    <w:left w:val="nil"/>
                    <w:bottom w:val="nil"/>
                    <w:right w:val="nil"/>
                  </w:tcBorders>
                </w:tcPr>
                <w:p w14:paraId="39CF77A1" w14:textId="77777777" w:rsidR="00B86B9E" w:rsidRPr="00AB7ABA" w:rsidRDefault="00B86B9E" w:rsidP="003B4169">
                  <w:pPr>
                    <w:rPr>
                      <w:rFonts w:ascii="Times" w:hAnsi="Times"/>
                      <w:color w:val="000000"/>
                      <w:sz w:val="22"/>
                      <w:szCs w:val="20"/>
                    </w:rPr>
                  </w:pPr>
                </w:p>
              </w:tc>
            </w:tr>
            <w:tr w:rsidR="00B86B9E" w:rsidRPr="00AB7ABA" w14:paraId="36E88E17" w14:textId="672D2AD6" w:rsidTr="00145CE8">
              <w:trPr>
                <w:trHeight w:val="201"/>
              </w:trPr>
              <w:tc>
                <w:tcPr>
                  <w:tcW w:w="1726" w:type="dxa"/>
                  <w:tcBorders>
                    <w:top w:val="nil"/>
                    <w:left w:val="nil"/>
                    <w:bottom w:val="nil"/>
                    <w:right w:val="nil"/>
                  </w:tcBorders>
                  <w:shd w:val="clear" w:color="auto" w:fill="auto"/>
                  <w:noWrap/>
                  <w:vAlign w:val="bottom"/>
                  <w:hideMark/>
                </w:tcPr>
                <w:p w14:paraId="48959242" w14:textId="7A3D705F" w:rsidR="00B86B9E" w:rsidRPr="00AB7ABA" w:rsidRDefault="00B86B9E" w:rsidP="00145CE8">
                  <w:pPr>
                    <w:rPr>
                      <w:rFonts w:ascii="Times" w:hAnsi="Times"/>
                      <w:color w:val="000000"/>
                      <w:sz w:val="22"/>
                      <w:szCs w:val="20"/>
                    </w:rPr>
                  </w:pPr>
                  <w:r w:rsidRPr="00AB7ABA">
                    <w:rPr>
                      <w:rFonts w:ascii="Times" w:hAnsi="Times"/>
                      <w:color w:val="000000"/>
                      <w:sz w:val="22"/>
                      <w:szCs w:val="20"/>
                    </w:rPr>
                    <w:t>F. Development of clinical risk score</w:t>
                  </w:r>
                </w:p>
              </w:tc>
              <w:tc>
                <w:tcPr>
                  <w:tcW w:w="540" w:type="dxa"/>
                  <w:tcBorders>
                    <w:top w:val="nil"/>
                    <w:left w:val="nil"/>
                    <w:bottom w:val="nil"/>
                    <w:right w:val="nil"/>
                  </w:tcBorders>
                  <w:shd w:val="clear" w:color="auto" w:fill="auto"/>
                  <w:noWrap/>
                  <w:vAlign w:val="bottom"/>
                  <w:hideMark/>
                </w:tcPr>
                <w:p w14:paraId="2D18C652" w14:textId="77777777" w:rsidR="00B86B9E" w:rsidRPr="00AB7ABA" w:rsidRDefault="00B86B9E" w:rsidP="003B4169">
                  <w:pPr>
                    <w:rPr>
                      <w:rFonts w:ascii="Times" w:hAnsi="Times"/>
                      <w:color w:val="000000"/>
                      <w:sz w:val="22"/>
                      <w:szCs w:val="20"/>
                    </w:rPr>
                  </w:pPr>
                </w:p>
              </w:tc>
              <w:tc>
                <w:tcPr>
                  <w:tcW w:w="540" w:type="dxa"/>
                  <w:tcBorders>
                    <w:top w:val="nil"/>
                    <w:left w:val="nil"/>
                    <w:bottom w:val="nil"/>
                    <w:right w:val="nil"/>
                  </w:tcBorders>
                  <w:shd w:val="clear" w:color="auto" w:fill="auto"/>
                  <w:noWrap/>
                  <w:vAlign w:val="bottom"/>
                  <w:hideMark/>
                </w:tcPr>
                <w:p w14:paraId="2A7CF130" w14:textId="77777777" w:rsidR="00B86B9E" w:rsidRPr="00AB7ABA" w:rsidRDefault="00B86B9E" w:rsidP="003B4169">
                  <w:pPr>
                    <w:rPr>
                      <w:rFonts w:ascii="Times" w:hAnsi="Times"/>
                      <w:sz w:val="22"/>
                      <w:szCs w:val="20"/>
                    </w:rPr>
                  </w:pPr>
                </w:p>
              </w:tc>
              <w:tc>
                <w:tcPr>
                  <w:tcW w:w="630" w:type="dxa"/>
                  <w:tcBorders>
                    <w:top w:val="nil"/>
                    <w:left w:val="nil"/>
                    <w:bottom w:val="nil"/>
                    <w:right w:val="nil"/>
                  </w:tcBorders>
                  <w:shd w:val="clear" w:color="000000" w:fill="auto"/>
                  <w:noWrap/>
                  <w:vAlign w:val="bottom"/>
                  <w:hideMark/>
                </w:tcPr>
                <w:p w14:paraId="4F1126A0" w14:textId="77777777" w:rsidR="00B86B9E" w:rsidRPr="00AB7ABA" w:rsidRDefault="00B86B9E" w:rsidP="003B4169">
                  <w:pPr>
                    <w:rPr>
                      <w:rFonts w:ascii="Times" w:hAnsi="Times"/>
                      <w:color w:val="000000"/>
                      <w:sz w:val="22"/>
                      <w:szCs w:val="20"/>
                    </w:rPr>
                  </w:pPr>
                  <w:r w:rsidRPr="00AB7ABA">
                    <w:rPr>
                      <w:rFonts w:ascii="Times" w:hAnsi="Times"/>
                      <w:color w:val="000000"/>
                      <w:sz w:val="22"/>
                      <w:szCs w:val="20"/>
                    </w:rPr>
                    <w:t> </w:t>
                  </w:r>
                </w:p>
              </w:tc>
              <w:tc>
                <w:tcPr>
                  <w:tcW w:w="630" w:type="dxa"/>
                  <w:tcBorders>
                    <w:top w:val="nil"/>
                    <w:left w:val="nil"/>
                    <w:bottom w:val="nil"/>
                    <w:right w:val="nil"/>
                  </w:tcBorders>
                  <w:shd w:val="clear" w:color="000000" w:fill="BFBFBF" w:themeFill="background1" w:themeFillShade="BF"/>
                </w:tcPr>
                <w:p w14:paraId="1D0DC14D" w14:textId="77777777" w:rsidR="00B86B9E" w:rsidRPr="00AB7ABA" w:rsidRDefault="00B86B9E" w:rsidP="003B4169">
                  <w:pPr>
                    <w:rPr>
                      <w:rFonts w:ascii="Times" w:hAnsi="Times"/>
                      <w:color w:val="000000"/>
                      <w:sz w:val="22"/>
                      <w:szCs w:val="20"/>
                    </w:rPr>
                  </w:pPr>
                </w:p>
              </w:tc>
              <w:tc>
                <w:tcPr>
                  <w:tcW w:w="542" w:type="dxa"/>
                  <w:tcBorders>
                    <w:top w:val="nil"/>
                    <w:left w:val="nil"/>
                    <w:bottom w:val="nil"/>
                    <w:right w:val="nil"/>
                  </w:tcBorders>
                  <w:shd w:val="clear" w:color="000000" w:fill="auto"/>
                </w:tcPr>
                <w:p w14:paraId="4AD13B4B" w14:textId="77777777" w:rsidR="00B86B9E" w:rsidRPr="00AB7ABA" w:rsidRDefault="00B86B9E" w:rsidP="003B4169">
                  <w:pPr>
                    <w:rPr>
                      <w:rFonts w:ascii="Times" w:hAnsi="Times"/>
                      <w:color w:val="000000"/>
                      <w:sz w:val="22"/>
                      <w:szCs w:val="20"/>
                    </w:rPr>
                  </w:pPr>
                </w:p>
              </w:tc>
            </w:tr>
            <w:tr w:rsidR="00B86B9E" w:rsidRPr="00AB7ABA" w14:paraId="0F174761" w14:textId="57DC8722" w:rsidTr="00145CE8">
              <w:trPr>
                <w:trHeight w:val="201"/>
              </w:trPr>
              <w:tc>
                <w:tcPr>
                  <w:tcW w:w="1726" w:type="dxa"/>
                  <w:tcBorders>
                    <w:top w:val="nil"/>
                    <w:left w:val="nil"/>
                    <w:bottom w:val="nil"/>
                    <w:right w:val="nil"/>
                  </w:tcBorders>
                  <w:shd w:val="clear" w:color="auto" w:fill="auto"/>
                  <w:noWrap/>
                  <w:vAlign w:val="bottom"/>
                  <w:hideMark/>
                </w:tcPr>
                <w:p w14:paraId="43FBC461" w14:textId="79CB70A8" w:rsidR="00B86B9E" w:rsidRPr="00AB7ABA" w:rsidRDefault="00B86B9E" w:rsidP="00E05D99">
                  <w:pPr>
                    <w:rPr>
                      <w:rFonts w:ascii="Times" w:hAnsi="Times"/>
                      <w:color w:val="000000"/>
                      <w:sz w:val="22"/>
                      <w:szCs w:val="20"/>
                    </w:rPr>
                  </w:pPr>
                  <w:r w:rsidRPr="00AB7ABA">
                    <w:rPr>
                      <w:rFonts w:ascii="Times" w:hAnsi="Times"/>
                      <w:color w:val="000000"/>
                      <w:sz w:val="22"/>
                      <w:szCs w:val="20"/>
                    </w:rPr>
                    <w:t xml:space="preserve">H. </w:t>
                  </w:r>
                  <w:r w:rsidR="00145CE8" w:rsidRPr="00AB7ABA">
                    <w:rPr>
                      <w:rFonts w:ascii="Times" w:hAnsi="Times"/>
                      <w:color w:val="000000"/>
                      <w:sz w:val="22"/>
                      <w:szCs w:val="20"/>
                    </w:rPr>
                    <w:t>Refine analysis and write manuscr</w:t>
                  </w:r>
                  <w:r w:rsidRPr="00AB7ABA">
                    <w:rPr>
                      <w:rFonts w:ascii="Times" w:hAnsi="Times"/>
                      <w:color w:val="000000"/>
                      <w:sz w:val="22"/>
                      <w:szCs w:val="20"/>
                    </w:rPr>
                    <w:t>ip</w:t>
                  </w:r>
                  <w:r w:rsidR="00145CE8" w:rsidRPr="00AB7ABA">
                    <w:rPr>
                      <w:rFonts w:ascii="Times" w:hAnsi="Times"/>
                      <w:color w:val="000000"/>
                      <w:sz w:val="22"/>
                      <w:szCs w:val="20"/>
                    </w:rPr>
                    <w:t>t</w:t>
                  </w:r>
                  <w:r w:rsidRPr="00AB7ABA">
                    <w:rPr>
                      <w:rFonts w:ascii="Times" w:hAnsi="Times"/>
                      <w:color w:val="000000"/>
                      <w:sz w:val="22"/>
                      <w:szCs w:val="20"/>
                    </w:rPr>
                    <w:t xml:space="preserve">  </w:t>
                  </w:r>
                </w:p>
              </w:tc>
              <w:tc>
                <w:tcPr>
                  <w:tcW w:w="540" w:type="dxa"/>
                  <w:tcBorders>
                    <w:top w:val="nil"/>
                    <w:left w:val="nil"/>
                    <w:bottom w:val="nil"/>
                    <w:right w:val="nil"/>
                  </w:tcBorders>
                  <w:shd w:val="clear" w:color="auto" w:fill="auto"/>
                  <w:noWrap/>
                  <w:vAlign w:val="bottom"/>
                  <w:hideMark/>
                </w:tcPr>
                <w:p w14:paraId="2CA99FC5" w14:textId="77777777" w:rsidR="00B86B9E" w:rsidRPr="00AB7ABA" w:rsidRDefault="00B86B9E" w:rsidP="003B4169">
                  <w:pPr>
                    <w:rPr>
                      <w:rFonts w:ascii="Times" w:hAnsi="Times"/>
                      <w:color w:val="000000"/>
                      <w:sz w:val="22"/>
                      <w:szCs w:val="20"/>
                    </w:rPr>
                  </w:pPr>
                </w:p>
              </w:tc>
              <w:tc>
                <w:tcPr>
                  <w:tcW w:w="540" w:type="dxa"/>
                  <w:tcBorders>
                    <w:top w:val="nil"/>
                    <w:left w:val="nil"/>
                    <w:bottom w:val="nil"/>
                    <w:right w:val="nil"/>
                  </w:tcBorders>
                  <w:shd w:val="clear" w:color="auto" w:fill="auto"/>
                  <w:noWrap/>
                  <w:vAlign w:val="bottom"/>
                  <w:hideMark/>
                </w:tcPr>
                <w:p w14:paraId="02631CF1" w14:textId="77777777" w:rsidR="00B86B9E" w:rsidRPr="00AB7ABA" w:rsidRDefault="00B86B9E" w:rsidP="003B4169">
                  <w:pPr>
                    <w:rPr>
                      <w:rFonts w:ascii="Times" w:hAnsi="Times"/>
                      <w:sz w:val="22"/>
                      <w:szCs w:val="20"/>
                    </w:rPr>
                  </w:pPr>
                </w:p>
              </w:tc>
              <w:tc>
                <w:tcPr>
                  <w:tcW w:w="630" w:type="dxa"/>
                  <w:tcBorders>
                    <w:top w:val="nil"/>
                    <w:left w:val="nil"/>
                    <w:bottom w:val="nil"/>
                    <w:right w:val="nil"/>
                  </w:tcBorders>
                  <w:shd w:val="clear" w:color="auto" w:fill="auto"/>
                  <w:noWrap/>
                  <w:vAlign w:val="bottom"/>
                  <w:hideMark/>
                </w:tcPr>
                <w:p w14:paraId="27952684" w14:textId="77777777" w:rsidR="00B86B9E" w:rsidRPr="00AB7ABA" w:rsidRDefault="00B86B9E" w:rsidP="003B4169">
                  <w:pPr>
                    <w:rPr>
                      <w:rFonts w:ascii="Times" w:hAnsi="Times"/>
                      <w:sz w:val="22"/>
                      <w:szCs w:val="20"/>
                    </w:rPr>
                  </w:pPr>
                </w:p>
              </w:tc>
              <w:tc>
                <w:tcPr>
                  <w:tcW w:w="630" w:type="dxa"/>
                  <w:tcBorders>
                    <w:top w:val="nil"/>
                    <w:left w:val="nil"/>
                    <w:bottom w:val="nil"/>
                    <w:right w:val="nil"/>
                  </w:tcBorders>
                </w:tcPr>
                <w:p w14:paraId="0679AEF5" w14:textId="77777777" w:rsidR="00B86B9E" w:rsidRPr="00AB7ABA" w:rsidRDefault="00B86B9E" w:rsidP="003B4169">
                  <w:pPr>
                    <w:rPr>
                      <w:rFonts w:ascii="Times" w:hAnsi="Times"/>
                      <w:sz w:val="22"/>
                      <w:szCs w:val="20"/>
                    </w:rPr>
                  </w:pPr>
                </w:p>
              </w:tc>
              <w:tc>
                <w:tcPr>
                  <w:tcW w:w="542" w:type="dxa"/>
                  <w:tcBorders>
                    <w:top w:val="nil"/>
                    <w:left w:val="nil"/>
                    <w:bottom w:val="nil"/>
                    <w:right w:val="nil"/>
                  </w:tcBorders>
                  <w:shd w:val="clear" w:color="auto" w:fill="BFBFBF" w:themeFill="background1" w:themeFillShade="BF"/>
                </w:tcPr>
                <w:p w14:paraId="423909DB" w14:textId="77777777" w:rsidR="00B86B9E" w:rsidRPr="00AB7ABA" w:rsidRDefault="00B86B9E" w:rsidP="003B4169">
                  <w:pPr>
                    <w:rPr>
                      <w:rFonts w:ascii="Times" w:hAnsi="Times"/>
                      <w:sz w:val="22"/>
                      <w:szCs w:val="20"/>
                    </w:rPr>
                  </w:pPr>
                </w:p>
              </w:tc>
            </w:tr>
          </w:tbl>
          <w:p w14:paraId="6EA713D3" w14:textId="0EEA8FAD" w:rsidR="000F7C11" w:rsidRPr="00AB7ABA" w:rsidRDefault="000F7C11" w:rsidP="00A66883">
            <w:pPr>
              <w:rPr>
                <w:rFonts w:ascii="Times" w:hAnsi="Times"/>
                <w:sz w:val="22"/>
                <w:szCs w:val="20"/>
              </w:rPr>
            </w:pPr>
          </w:p>
        </w:tc>
      </w:tr>
    </w:tbl>
    <w:p w14:paraId="0059BC54" w14:textId="77777777" w:rsidR="0071075A" w:rsidRPr="00AB7ABA" w:rsidRDefault="0071075A" w:rsidP="0071075A">
      <w:pPr>
        <w:rPr>
          <w:rFonts w:ascii="Times" w:hAnsi="Times"/>
          <w:b/>
          <w:sz w:val="22"/>
          <w:szCs w:val="20"/>
        </w:rPr>
      </w:pPr>
      <w:r w:rsidRPr="00AB7ABA">
        <w:rPr>
          <w:rFonts w:ascii="Times" w:hAnsi="Times"/>
          <w:b/>
          <w:sz w:val="22"/>
          <w:szCs w:val="20"/>
        </w:rPr>
        <w:t xml:space="preserve">References </w:t>
      </w:r>
    </w:p>
    <w:p w14:paraId="1CBFD783" w14:textId="53734DA8" w:rsidR="00520EEB" w:rsidRPr="00AB7ABA" w:rsidRDefault="00520EEB" w:rsidP="00520EEB">
      <w:pPr>
        <w:rPr>
          <w:rFonts w:ascii="Times" w:hAnsi="Times" w:cs="Arial"/>
          <w:sz w:val="22"/>
          <w:szCs w:val="20"/>
        </w:rPr>
      </w:pPr>
      <w:r w:rsidRPr="00AB7ABA">
        <w:rPr>
          <w:rFonts w:ascii="Times" w:hAnsi="Times" w:cs="Arial"/>
          <w:sz w:val="22"/>
          <w:szCs w:val="20"/>
        </w:rPr>
        <w:t xml:space="preserve">1. </w:t>
      </w:r>
      <w:r w:rsidR="000A7017" w:rsidRPr="00AB7ABA">
        <w:rPr>
          <w:rFonts w:ascii="Times" w:hAnsi="Times" w:cs="Arial"/>
          <w:sz w:val="22"/>
          <w:szCs w:val="20"/>
        </w:rPr>
        <w:tab/>
      </w:r>
      <w:r w:rsidRPr="00AB7ABA">
        <w:rPr>
          <w:rFonts w:ascii="Times" w:hAnsi="Times" w:cs="Arial"/>
          <w:sz w:val="22"/>
          <w:szCs w:val="20"/>
        </w:rPr>
        <w:t xml:space="preserve">Lin KC, Lin HY, Chou P. The interaction between uric acid level and other risk factors on the development of gout among asymptomatic </w:t>
      </w:r>
      <w:proofErr w:type="spellStart"/>
      <w:r w:rsidRPr="00AB7ABA">
        <w:rPr>
          <w:rFonts w:ascii="Times" w:hAnsi="Times" w:cs="Arial"/>
          <w:sz w:val="22"/>
          <w:szCs w:val="20"/>
        </w:rPr>
        <w:t>hyperuricemic</w:t>
      </w:r>
      <w:proofErr w:type="spellEnd"/>
      <w:r w:rsidRPr="00AB7ABA">
        <w:rPr>
          <w:rFonts w:ascii="Times" w:hAnsi="Times" w:cs="Arial"/>
          <w:sz w:val="22"/>
          <w:szCs w:val="20"/>
        </w:rPr>
        <w:t xml:space="preserve"> men in a prospective study. J </w:t>
      </w:r>
      <w:proofErr w:type="spellStart"/>
      <w:r w:rsidRPr="00AB7ABA">
        <w:rPr>
          <w:rFonts w:ascii="Times" w:hAnsi="Times" w:cs="Arial"/>
          <w:sz w:val="22"/>
          <w:szCs w:val="20"/>
        </w:rPr>
        <w:t>Rheumatol</w:t>
      </w:r>
      <w:proofErr w:type="spellEnd"/>
      <w:r w:rsidRPr="00AB7ABA">
        <w:rPr>
          <w:rFonts w:ascii="Times" w:hAnsi="Times" w:cs="Arial"/>
          <w:sz w:val="22"/>
          <w:szCs w:val="20"/>
        </w:rPr>
        <w:t xml:space="preserve"> 2000;27(6):1501-5.</w:t>
      </w:r>
    </w:p>
    <w:p w14:paraId="06BB881F" w14:textId="77777777" w:rsidR="00520EEB" w:rsidRPr="00AB7ABA" w:rsidRDefault="00520EEB" w:rsidP="00520EEB">
      <w:pPr>
        <w:rPr>
          <w:rFonts w:ascii="Times" w:hAnsi="Times" w:cs="Arial"/>
          <w:sz w:val="22"/>
          <w:szCs w:val="20"/>
        </w:rPr>
      </w:pPr>
      <w:r w:rsidRPr="00AB7ABA">
        <w:rPr>
          <w:rFonts w:ascii="Times" w:hAnsi="Times" w:cs="Arial"/>
          <w:sz w:val="22"/>
          <w:szCs w:val="20"/>
        </w:rPr>
        <w:t>2.</w:t>
      </w:r>
      <w:r w:rsidRPr="00AB7ABA">
        <w:rPr>
          <w:rFonts w:ascii="Times" w:hAnsi="Times" w:cs="Arial"/>
          <w:sz w:val="22"/>
          <w:szCs w:val="20"/>
        </w:rPr>
        <w:tab/>
        <w:t xml:space="preserve">Lin KC, Lin HY, Chou P. Community based epidemiological study on hyperuricemia and gout in Kin-Hu, Kinmen. J </w:t>
      </w:r>
      <w:proofErr w:type="spellStart"/>
      <w:r w:rsidRPr="00AB7ABA">
        <w:rPr>
          <w:rFonts w:ascii="Times" w:hAnsi="Times" w:cs="Arial"/>
          <w:sz w:val="22"/>
          <w:szCs w:val="20"/>
        </w:rPr>
        <w:t>Rheumatol</w:t>
      </w:r>
      <w:proofErr w:type="spellEnd"/>
      <w:r w:rsidRPr="00AB7ABA">
        <w:rPr>
          <w:rFonts w:ascii="Times" w:hAnsi="Times" w:cs="Arial"/>
          <w:sz w:val="22"/>
          <w:szCs w:val="20"/>
        </w:rPr>
        <w:t xml:space="preserve"> 2000;27(4):1045-50.</w:t>
      </w:r>
    </w:p>
    <w:p w14:paraId="6361C455" w14:textId="77777777" w:rsidR="00520EEB" w:rsidRPr="00AB7ABA" w:rsidRDefault="00520EEB" w:rsidP="00520EEB">
      <w:pPr>
        <w:rPr>
          <w:rFonts w:ascii="Times" w:hAnsi="Times" w:cs="Arial"/>
          <w:color w:val="000000" w:themeColor="text1"/>
          <w:sz w:val="22"/>
          <w:szCs w:val="20"/>
        </w:rPr>
      </w:pPr>
      <w:r w:rsidRPr="00AB7ABA">
        <w:rPr>
          <w:rFonts w:ascii="Times" w:hAnsi="Times" w:cs="Arial"/>
          <w:sz w:val="22"/>
          <w:szCs w:val="20"/>
        </w:rPr>
        <w:t>3.</w:t>
      </w:r>
      <w:r w:rsidRPr="00AB7ABA">
        <w:rPr>
          <w:rFonts w:ascii="Times" w:hAnsi="Times" w:cs="Arial"/>
          <w:sz w:val="22"/>
          <w:szCs w:val="20"/>
        </w:rPr>
        <w:tab/>
        <w:t xml:space="preserve">Zhu Y, Pandya BJ, Choi HK. Prevalence of gout and hyperuricemia in the US general population: the National Health and Nutrition </w:t>
      </w:r>
      <w:r w:rsidRPr="00AB7ABA">
        <w:rPr>
          <w:rFonts w:ascii="Times" w:hAnsi="Times" w:cs="Arial"/>
          <w:color w:val="000000" w:themeColor="text1"/>
          <w:sz w:val="22"/>
          <w:szCs w:val="20"/>
        </w:rPr>
        <w:t>Examination Survey 2007-2008. Arthritis Rheum 2011;63(10):3136-41.</w:t>
      </w:r>
    </w:p>
    <w:p w14:paraId="4AEF5050" w14:textId="3B8C9ACB" w:rsidR="000A7017" w:rsidRPr="00AB7ABA" w:rsidRDefault="000A7017" w:rsidP="00AB7ABA">
      <w:pPr>
        <w:rPr>
          <w:rFonts w:ascii="Times" w:eastAsia="Times New Roman" w:hAnsi="Times"/>
          <w:color w:val="000000" w:themeColor="text1"/>
          <w:sz w:val="22"/>
          <w:szCs w:val="20"/>
        </w:rPr>
      </w:pPr>
      <w:r w:rsidRPr="00AB7ABA">
        <w:rPr>
          <w:rFonts w:ascii="Times" w:hAnsi="Times" w:cs="Arial"/>
          <w:color w:val="000000" w:themeColor="text1"/>
          <w:sz w:val="22"/>
          <w:szCs w:val="20"/>
        </w:rPr>
        <w:t>4.</w:t>
      </w:r>
      <w:r w:rsidRPr="00AB7ABA">
        <w:rPr>
          <w:rFonts w:ascii="Times" w:hAnsi="Times" w:cs="Arial"/>
          <w:color w:val="000000" w:themeColor="text1"/>
          <w:sz w:val="22"/>
          <w:szCs w:val="20"/>
        </w:rPr>
        <w:tab/>
      </w:r>
      <w:proofErr w:type="spellStart"/>
      <w:r w:rsidRPr="00AB7ABA">
        <w:rPr>
          <w:rFonts w:ascii="Times" w:hAnsi="Times" w:cs="Arial"/>
          <w:color w:val="000000" w:themeColor="text1"/>
          <w:sz w:val="22"/>
          <w:szCs w:val="20"/>
        </w:rPr>
        <w:t>Köttgen</w:t>
      </w:r>
      <w:proofErr w:type="spellEnd"/>
      <w:r w:rsidRPr="00AB7ABA">
        <w:rPr>
          <w:rFonts w:ascii="Times" w:hAnsi="Times" w:cs="Arial"/>
          <w:color w:val="000000" w:themeColor="text1"/>
          <w:sz w:val="22"/>
          <w:szCs w:val="20"/>
        </w:rPr>
        <w:t xml:space="preserve"> A, Albrecht E, </w:t>
      </w:r>
      <w:proofErr w:type="spellStart"/>
      <w:r w:rsidRPr="00AB7ABA">
        <w:rPr>
          <w:rFonts w:ascii="Times" w:hAnsi="Times" w:cs="Arial"/>
          <w:color w:val="000000" w:themeColor="text1"/>
          <w:sz w:val="22"/>
          <w:szCs w:val="20"/>
        </w:rPr>
        <w:t>Teumer</w:t>
      </w:r>
      <w:proofErr w:type="spellEnd"/>
      <w:r w:rsidRPr="00AB7ABA">
        <w:rPr>
          <w:rFonts w:ascii="Times" w:hAnsi="Times" w:cs="Arial"/>
          <w:color w:val="000000" w:themeColor="text1"/>
          <w:sz w:val="22"/>
          <w:szCs w:val="20"/>
        </w:rPr>
        <w:t xml:space="preserve"> A. </w:t>
      </w:r>
      <w:r w:rsidRPr="00AB7ABA">
        <w:rPr>
          <w:rFonts w:ascii="Times" w:eastAsia="Times New Roman" w:hAnsi="Times" w:cs="Arial"/>
          <w:color w:val="000000" w:themeColor="text1"/>
          <w:sz w:val="22"/>
          <w:szCs w:val="20"/>
        </w:rPr>
        <w:t xml:space="preserve">Genome-wide association analyses identify 18 new loci associated with serum urate concentrations. </w:t>
      </w:r>
      <w:r w:rsidRPr="00AB7ABA">
        <w:rPr>
          <w:rStyle w:val="cit"/>
          <w:rFonts w:ascii="Times" w:hAnsi="Times" w:cs="Arial"/>
          <w:color w:val="000000" w:themeColor="text1"/>
          <w:sz w:val="22"/>
          <w:szCs w:val="20"/>
        </w:rPr>
        <w:t xml:space="preserve">Nat Genet. </w:t>
      </w:r>
      <w:proofErr w:type="gramStart"/>
      <w:r w:rsidRPr="00AB7ABA">
        <w:rPr>
          <w:rStyle w:val="cit"/>
          <w:rFonts w:ascii="Times" w:hAnsi="Times" w:cs="Arial"/>
          <w:color w:val="000000" w:themeColor="text1"/>
          <w:sz w:val="22"/>
          <w:szCs w:val="20"/>
        </w:rPr>
        <w:t>2013</w:t>
      </w:r>
      <w:proofErr w:type="gramEnd"/>
      <w:r w:rsidRPr="00AB7ABA">
        <w:rPr>
          <w:rStyle w:val="cit"/>
          <w:rFonts w:ascii="Times" w:hAnsi="Times" w:cs="Arial"/>
          <w:color w:val="000000" w:themeColor="text1"/>
          <w:sz w:val="22"/>
          <w:szCs w:val="20"/>
        </w:rPr>
        <w:t xml:space="preserve"> Feb; 45(2): 145–154.</w:t>
      </w:r>
    </w:p>
    <w:p w14:paraId="0D2A875A" w14:textId="33973B8C" w:rsidR="000A7017" w:rsidRPr="00AB7ABA" w:rsidRDefault="000A7017" w:rsidP="00520EEB">
      <w:pPr>
        <w:rPr>
          <w:rFonts w:ascii="Times" w:hAnsi="Times" w:cs="Arial"/>
          <w:sz w:val="22"/>
          <w:szCs w:val="20"/>
        </w:rPr>
      </w:pPr>
    </w:p>
    <w:p w14:paraId="0D9A8F7A" w14:textId="77777777" w:rsidR="00720375" w:rsidRPr="00C7247D" w:rsidRDefault="003C7F40">
      <w:pPr>
        <w:rPr>
          <w:rFonts w:ascii="Times" w:hAnsi="Times"/>
          <w:sz w:val="20"/>
          <w:szCs w:val="20"/>
        </w:rPr>
      </w:pPr>
    </w:p>
    <w:sectPr w:rsidR="00720375" w:rsidRPr="00C7247D" w:rsidSect="00CD61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1E50E" w14:textId="77777777" w:rsidR="000C2F9B" w:rsidRDefault="000C2F9B">
      <w:r>
        <w:separator/>
      </w:r>
    </w:p>
  </w:endnote>
  <w:endnote w:type="continuationSeparator" w:id="0">
    <w:p w14:paraId="088B079A" w14:textId="77777777" w:rsidR="000C2F9B" w:rsidRDefault="000C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919DE" w14:textId="51CDF359" w:rsidR="00263725" w:rsidRDefault="00146CB7">
    <w:pPr>
      <w:pStyle w:val="Footer"/>
      <w:jc w:val="center"/>
    </w:pPr>
    <w:r>
      <w:rPr>
        <w:rStyle w:val="PageNumber"/>
      </w:rPr>
      <w:fldChar w:fldCharType="begin"/>
    </w:r>
    <w:r>
      <w:rPr>
        <w:rStyle w:val="PageNumber"/>
      </w:rPr>
      <w:instrText xml:space="preserve"> PAGE </w:instrText>
    </w:r>
    <w:r>
      <w:rPr>
        <w:rStyle w:val="PageNumber"/>
      </w:rPr>
      <w:fldChar w:fldCharType="separate"/>
    </w:r>
    <w:r w:rsidR="003C7F40">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F879A" w14:textId="77777777" w:rsidR="000C2F9B" w:rsidRDefault="000C2F9B">
      <w:r>
        <w:separator/>
      </w:r>
    </w:p>
  </w:footnote>
  <w:footnote w:type="continuationSeparator" w:id="0">
    <w:p w14:paraId="4539D6CE" w14:textId="77777777" w:rsidR="000C2F9B" w:rsidRDefault="000C2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E424D"/>
    <w:multiLevelType w:val="hybridMultilevel"/>
    <w:tmpl w:val="188E4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6B050E"/>
    <w:multiLevelType w:val="hybridMultilevel"/>
    <w:tmpl w:val="94F4EEA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8C0893"/>
    <w:multiLevelType w:val="hybridMultilevel"/>
    <w:tmpl w:val="B3043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5A"/>
    <w:rsid w:val="00010022"/>
    <w:rsid w:val="0002042F"/>
    <w:rsid w:val="00032842"/>
    <w:rsid w:val="00033D75"/>
    <w:rsid w:val="00041BA0"/>
    <w:rsid w:val="00047AD4"/>
    <w:rsid w:val="000563B4"/>
    <w:rsid w:val="00072486"/>
    <w:rsid w:val="000834FC"/>
    <w:rsid w:val="0008481F"/>
    <w:rsid w:val="000A1597"/>
    <w:rsid w:val="000A1F0C"/>
    <w:rsid w:val="000A4DFC"/>
    <w:rsid w:val="000A6BC3"/>
    <w:rsid w:val="000A7017"/>
    <w:rsid w:val="000B144F"/>
    <w:rsid w:val="000C2F9B"/>
    <w:rsid w:val="000F7C11"/>
    <w:rsid w:val="00101670"/>
    <w:rsid w:val="00114050"/>
    <w:rsid w:val="0012342C"/>
    <w:rsid w:val="00145CE8"/>
    <w:rsid w:val="00146CB7"/>
    <w:rsid w:val="00163392"/>
    <w:rsid w:val="00171BDF"/>
    <w:rsid w:val="001877CB"/>
    <w:rsid w:val="001A48F2"/>
    <w:rsid w:val="001A5914"/>
    <w:rsid w:val="001B10D6"/>
    <w:rsid w:val="001E1967"/>
    <w:rsid w:val="001E6AA1"/>
    <w:rsid w:val="00200B4E"/>
    <w:rsid w:val="00212652"/>
    <w:rsid w:val="002434CE"/>
    <w:rsid w:val="0024634B"/>
    <w:rsid w:val="00270771"/>
    <w:rsid w:val="00280044"/>
    <w:rsid w:val="00294EA0"/>
    <w:rsid w:val="00297DA8"/>
    <w:rsid w:val="002A3565"/>
    <w:rsid w:val="002B05E0"/>
    <w:rsid w:val="002B4103"/>
    <w:rsid w:val="002C63F3"/>
    <w:rsid w:val="002D16FA"/>
    <w:rsid w:val="002F7C52"/>
    <w:rsid w:val="0030046D"/>
    <w:rsid w:val="0030421B"/>
    <w:rsid w:val="00310B3B"/>
    <w:rsid w:val="003148F7"/>
    <w:rsid w:val="0032622D"/>
    <w:rsid w:val="00326CA1"/>
    <w:rsid w:val="00330C5B"/>
    <w:rsid w:val="0034713F"/>
    <w:rsid w:val="00352B19"/>
    <w:rsid w:val="00361EC1"/>
    <w:rsid w:val="003741A6"/>
    <w:rsid w:val="00374312"/>
    <w:rsid w:val="00381975"/>
    <w:rsid w:val="003959BC"/>
    <w:rsid w:val="003C194C"/>
    <w:rsid w:val="003C7F40"/>
    <w:rsid w:val="003E04D2"/>
    <w:rsid w:val="003E7A03"/>
    <w:rsid w:val="003F5D63"/>
    <w:rsid w:val="004225C5"/>
    <w:rsid w:val="004238FA"/>
    <w:rsid w:val="0044007A"/>
    <w:rsid w:val="00444BA9"/>
    <w:rsid w:val="004454BF"/>
    <w:rsid w:val="00455C8F"/>
    <w:rsid w:val="0046380A"/>
    <w:rsid w:val="004976E2"/>
    <w:rsid w:val="004A0701"/>
    <w:rsid w:val="004A60A6"/>
    <w:rsid w:val="004B3654"/>
    <w:rsid w:val="004D035F"/>
    <w:rsid w:val="004E0AE0"/>
    <w:rsid w:val="004F2C00"/>
    <w:rsid w:val="004F30DA"/>
    <w:rsid w:val="00520EEB"/>
    <w:rsid w:val="00535A6A"/>
    <w:rsid w:val="005467D0"/>
    <w:rsid w:val="00553E0F"/>
    <w:rsid w:val="00566953"/>
    <w:rsid w:val="00580730"/>
    <w:rsid w:val="005E70C8"/>
    <w:rsid w:val="005F4F1F"/>
    <w:rsid w:val="00611B4E"/>
    <w:rsid w:val="00617B26"/>
    <w:rsid w:val="00644FBB"/>
    <w:rsid w:val="006536DB"/>
    <w:rsid w:val="00653D78"/>
    <w:rsid w:val="00676021"/>
    <w:rsid w:val="006A5B25"/>
    <w:rsid w:val="006B7362"/>
    <w:rsid w:val="006E606A"/>
    <w:rsid w:val="006F7B4F"/>
    <w:rsid w:val="007034B9"/>
    <w:rsid w:val="0071075A"/>
    <w:rsid w:val="007361E8"/>
    <w:rsid w:val="00737DCB"/>
    <w:rsid w:val="00780FB4"/>
    <w:rsid w:val="007A48FA"/>
    <w:rsid w:val="007D73DD"/>
    <w:rsid w:val="007E04BE"/>
    <w:rsid w:val="007E2C70"/>
    <w:rsid w:val="007E6E02"/>
    <w:rsid w:val="008004D5"/>
    <w:rsid w:val="00800AEB"/>
    <w:rsid w:val="00806D6B"/>
    <w:rsid w:val="008251BC"/>
    <w:rsid w:val="008556E8"/>
    <w:rsid w:val="00875D04"/>
    <w:rsid w:val="00887D23"/>
    <w:rsid w:val="00893E27"/>
    <w:rsid w:val="0089403D"/>
    <w:rsid w:val="008A3167"/>
    <w:rsid w:val="008D793B"/>
    <w:rsid w:val="008E71A7"/>
    <w:rsid w:val="008F7A96"/>
    <w:rsid w:val="0091773C"/>
    <w:rsid w:val="009233E7"/>
    <w:rsid w:val="0092782D"/>
    <w:rsid w:val="009410A0"/>
    <w:rsid w:val="00954A94"/>
    <w:rsid w:val="00960ADA"/>
    <w:rsid w:val="0096249D"/>
    <w:rsid w:val="0096571E"/>
    <w:rsid w:val="00967DB2"/>
    <w:rsid w:val="00975292"/>
    <w:rsid w:val="00986BF6"/>
    <w:rsid w:val="00987DB8"/>
    <w:rsid w:val="009978F1"/>
    <w:rsid w:val="009C32B1"/>
    <w:rsid w:val="009C4A56"/>
    <w:rsid w:val="009D67E9"/>
    <w:rsid w:val="009E4049"/>
    <w:rsid w:val="009E45EA"/>
    <w:rsid w:val="009F21B0"/>
    <w:rsid w:val="009F7F6A"/>
    <w:rsid w:val="00A33E66"/>
    <w:rsid w:val="00A34702"/>
    <w:rsid w:val="00A404EC"/>
    <w:rsid w:val="00A652AC"/>
    <w:rsid w:val="00A84058"/>
    <w:rsid w:val="00AB652D"/>
    <w:rsid w:val="00AB6684"/>
    <w:rsid w:val="00AB7ABA"/>
    <w:rsid w:val="00B2492B"/>
    <w:rsid w:val="00B32618"/>
    <w:rsid w:val="00B44557"/>
    <w:rsid w:val="00B85BB8"/>
    <w:rsid w:val="00B86B9E"/>
    <w:rsid w:val="00B93F24"/>
    <w:rsid w:val="00B94792"/>
    <w:rsid w:val="00BA11E9"/>
    <w:rsid w:val="00BA740C"/>
    <w:rsid w:val="00BF110D"/>
    <w:rsid w:val="00BF4D5F"/>
    <w:rsid w:val="00BF6A04"/>
    <w:rsid w:val="00C065E1"/>
    <w:rsid w:val="00C104E9"/>
    <w:rsid w:val="00C1681F"/>
    <w:rsid w:val="00C26694"/>
    <w:rsid w:val="00C31C5D"/>
    <w:rsid w:val="00C35B7D"/>
    <w:rsid w:val="00C3797E"/>
    <w:rsid w:val="00C7247D"/>
    <w:rsid w:val="00CC4C2E"/>
    <w:rsid w:val="00CC7CA0"/>
    <w:rsid w:val="00CD11DB"/>
    <w:rsid w:val="00CD2CB6"/>
    <w:rsid w:val="00D266A8"/>
    <w:rsid w:val="00D26769"/>
    <w:rsid w:val="00D57D34"/>
    <w:rsid w:val="00D67E92"/>
    <w:rsid w:val="00D7275B"/>
    <w:rsid w:val="00D72F89"/>
    <w:rsid w:val="00DB4DF8"/>
    <w:rsid w:val="00DB696A"/>
    <w:rsid w:val="00DC0E8F"/>
    <w:rsid w:val="00E029D6"/>
    <w:rsid w:val="00E05D99"/>
    <w:rsid w:val="00E15A18"/>
    <w:rsid w:val="00E527C9"/>
    <w:rsid w:val="00E57AE6"/>
    <w:rsid w:val="00EA2A1E"/>
    <w:rsid w:val="00EA5403"/>
    <w:rsid w:val="00EA607E"/>
    <w:rsid w:val="00ED3833"/>
    <w:rsid w:val="00EE4CC6"/>
    <w:rsid w:val="00F00440"/>
    <w:rsid w:val="00F06F0E"/>
    <w:rsid w:val="00F245D7"/>
    <w:rsid w:val="00F60488"/>
    <w:rsid w:val="00F856D5"/>
    <w:rsid w:val="00F87A66"/>
    <w:rsid w:val="00F9031D"/>
    <w:rsid w:val="00F92EF1"/>
    <w:rsid w:val="00FA00B8"/>
    <w:rsid w:val="00FA0B8B"/>
    <w:rsid w:val="00FB1CBA"/>
    <w:rsid w:val="00FB2107"/>
    <w:rsid w:val="00FC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55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75A"/>
    <w:rPr>
      <w:rFonts w:ascii="Times New Roman" w:hAnsi="Times New Roman" w:cs="Times New Roman"/>
    </w:rPr>
  </w:style>
  <w:style w:type="paragraph" w:styleId="Heading1">
    <w:name w:val="heading 1"/>
    <w:basedOn w:val="Normal"/>
    <w:link w:val="Heading1Char"/>
    <w:uiPriority w:val="9"/>
    <w:qFormat/>
    <w:rsid w:val="000A701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075A"/>
    <w:pPr>
      <w:spacing w:before="100" w:beforeAutospacing="1" w:after="100" w:afterAutospacing="1"/>
    </w:pPr>
    <w:rPr>
      <w:rFonts w:eastAsia="Times New Roman"/>
    </w:rPr>
  </w:style>
  <w:style w:type="paragraph" w:styleId="Footer">
    <w:name w:val="footer"/>
    <w:basedOn w:val="Normal"/>
    <w:link w:val="FooterChar"/>
    <w:rsid w:val="0071075A"/>
    <w:pPr>
      <w:tabs>
        <w:tab w:val="center" w:pos="4320"/>
        <w:tab w:val="right" w:pos="8640"/>
      </w:tabs>
    </w:pPr>
    <w:rPr>
      <w:rFonts w:eastAsia="Times New Roman"/>
    </w:rPr>
  </w:style>
  <w:style w:type="character" w:customStyle="1" w:styleId="FooterChar">
    <w:name w:val="Footer Char"/>
    <w:basedOn w:val="DefaultParagraphFont"/>
    <w:link w:val="Footer"/>
    <w:rsid w:val="0071075A"/>
    <w:rPr>
      <w:rFonts w:ascii="Times New Roman" w:eastAsia="Times New Roman" w:hAnsi="Times New Roman" w:cs="Times New Roman"/>
    </w:rPr>
  </w:style>
  <w:style w:type="character" w:styleId="PageNumber">
    <w:name w:val="page number"/>
    <w:basedOn w:val="DefaultParagraphFont"/>
    <w:rsid w:val="0071075A"/>
  </w:style>
  <w:style w:type="paragraph" w:styleId="ListParagraph">
    <w:name w:val="List Paragraph"/>
    <w:basedOn w:val="Normal"/>
    <w:uiPriority w:val="34"/>
    <w:qFormat/>
    <w:rsid w:val="0071075A"/>
    <w:pPr>
      <w:ind w:left="720"/>
      <w:contextualSpacing/>
    </w:pPr>
    <w:rPr>
      <w:rFonts w:eastAsia="Times New Roman"/>
    </w:rPr>
  </w:style>
  <w:style w:type="character" w:styleId="CommentReference">
    <w:name w:val="annotation reference"/>
    <w:basedOn w:val="DefaultParagraphFont"/>
    <w:uiPriority w:val="99"/>
    <w:semiHidden/>
    <w:unhideWhenUsed/>
    <w:rsid w:val="0071075A"/>
    <w:rPr>
      <w:sz w:val="18"/>
      <w:szCs w:val="18"/>
    </w:rPr>
  </w:style>
  <w:style w:type="paragraph" w:styleId="CommentText">
    <w:name w:val="annotation text"/>
    <w:basedOn w:val="Normal"/>
    <w:link w:val="CommentTextChar"/>
    <w:uiPriority w:val="99"/>
    <w:semiHidden/>
    <w:unhideWhenUsed/>
    <w:rsid w:val="0071075A"/>
    <w:rPr>
      <w:rFonts w:eastAsia="Times New Roman"/>
    </w:rPr>
  </w:style>
  <w:style w:type="character" w:customStyle="1" w:styleId="CommentTextChar">
    <w:name w:val="Comment Text Char"/>
    <w:basedOn w:val="DefaultParagraphFont"/>
    <w:link w:val="CommentText"/>
    <w:uiPriority w:val="99"/>
    <w:semiHidden/>
    <w:rsid w:val="0071075A"/>
    <w:rPr>
      <w:rFonts w:ascii="Times New Roman" w:eastAsia="Times New Roman" w:hAnsi="Times New Roman" w:cs="Times New Roman"/>
    </w:rPr>
  </w:style>
  <w:style w:type="character" w:styleId="Hyperlink">
    <w:name w:val="Hyperlink"/>
    <w:basedOn w:val="DefaultParagraphFont"/>
    <w:uiPriority w:val="99"/>
    <w:unhideWhenUsed/>
    <w:rsid w:val="0071075A"/>
    <w:rPr>
      <w:color w:val="0563C1" w:themeColor="hyperlink"/>
      <w:u w:val="single"/>
    </w:rPr>
  </w:style>
  <w:style w:type="paragraph" w:customStyle="1" w:styleId="p1">
    <w:name w:val="p1"/>
    <w:basedOn w:val="Normal"/>
    <w:rsid w:val="0071075A"/>
    <w:rPr>
      <w:rFonts w:ascii="Helvetica" w:hAnsi="Helvetica"/>
      <w:sz w:val="14"/>
      <w:szCs w:val="14"/>
    </w:rPr>
  </w:style>
  <w:style w:type="paragraph" w:styleId="CommentSubject">
    <w:name w:val="annotation subject"/>
    <w:basedOn w:val="CommentText"/>
    <w:next w:val="CommentText"/>
    <w:link w:val="CommentSubjectChar"/>
    <w:uiPriority w:val="99"/>
    <w:semiHidden/>
    <w:unhideWhenUsed/>
    <w:rsid w:val="008556E8"/>
    <w:rPr>
      <w:rFonts w:eastAsiaTheme="minorHAnsi"/>
      <w:b/>
      <w:bCs/>
      <w:sz w:val="20"/>
      <w:szCs w:val="20"/>
    </w:rPr>
  </w:style>
  <w:style w:type="character" w:customStyle="1" w:styleId="CommentSubjectChar">
    <w:name w:val="Comment Subject Char"/>
    <w:basedOn w:val="CommentTextChar"/>
    <w:link w:val="CommentSubject"/>
    <w:uiPriority w:val="99"/>
    <w:semiHidden/>
    <w:rsid w:val="00855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556E8"/>
    <w:rPr>
      <w:sz w:val="18"/>
      <w:szCs w:val="18"/>
    </w:rPr>
  </w:style>
  <w:style w:type="character" w:customStyle="1" w:styleId="BalloonTextChar">
    <w:name w:val="Balloon Text Char"/>
    <w:basedOn w:val="DefaultParagraphFont"/>
    <w:link w:val="BalloonText"/>
    <w:uiPriority w:val="99"/>
    <w:semiHidden/>
    <w:rsid w:val="008556E8"/>
    <w:rPr>
      <w:rFonts w:ascii="Times New Roman" w:hAnsi="Times New Roman" w:cs="Times New Roman"/>
      <w:sz w:val="18"/>
      <w:szCs w:val="18"/>
    </w:rPr>
  </w:style>
  <w:style w:type="character" w:customStyle="1" w:styleId="Heading1Char">
    <w:name w:val="Heading 1 Char"/>
    <w:basedOn w:val="DefaultParagraphFont"/>
    <w:link w:val="Heading1"/>
    <w:uiPriority w:val="9"/>
    <w:rsid w:val="000A7017"/>
    <w:rPr>
      <w:rFonts w:ascii="Times New Roman" w:hAnsi="Times New Roman" w:cs="Times New Roman"/>
      <w:b/>
      <w:bCs/>
      <w:kern w:val="36"/>
      <w:sz w:val="48"/>
      <w:szCs w:val="48"/>
    </w:rPr>
  </w:style>
  <w:style w:type="character" w:customStyle="1" w:styleId="cit">
    <w:name w:val="cit"/>
    <w:basedOn w:val="DefaultParagraphFont"/>
    <w:rsid w:val="000A7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861322">
      <w:bodyDiv w:val="1"/>
      <w:marLeft w:val="0"/>
      <w:marRight w:val="0"/>
      <w:marTop w:val="0"/>
      <w:marBottom w:val="0"/>
      <w:divBdr>
        <w:top w:val="none" w:sz="0" w:space="0" w:color="auto"/>
        <w:left w:val="none" w:sz="0" w:space="0" w:color="auto"/>
        <w:bottom w:val="none" w:sz="0" w:space="0" w:color="auto"/>
        <w:right w:val="none" w:sz="0" w:space="0" w:color="auto"/>
      </w:divBdr>
      <w:divsChild>
        <w:div w:id="1413431066">
          <w:marLeft w:val="0"/>
          <w:marRight w:val="0"/>
          <w:marTop w:val="0"/>
          <w:marBottom w:val="0"/>
          <w:divBdr>
            <w:top w:val="none" w:sz="0" w:space="0" w:color="auto"/>
            <w:left w:val="none" w:sz="0" w:space="0" w:color="auto"/>
            <w:bottom w:val="none" w:sz="0" w:space="0" w:color="auto"/>
            <w:right w:val="none" w:sz="0" w:space="0" w:color="auto"/>
          </w:divBdr>
        </w:div>
        <w:div w:id="1804814265">
          <w:marLeft w:val="0"/>
          <w:marRight w:val="0"/>
          <w:marTop w:val="0"/>
          <w:marBottom w:val="0"/>
          <w:divBdr>
            <w:top w:val="none" w:sz="0" w:space="0" w:color="auto"/>
            <w:left w:val="none" w:sz="0" w:space="0" w:color="auto"/>
            <w:bottom w:val="none" w:sz="0" w:space="0" w:color="auto"/>
            <w:right w:val="none" w:sz="0" w:space="0" w:color="auto"/>
          </w:divBdr>
        </w:div>
      </w:divsChild>
    </w:div>
    <w:div w:id="1679578174">
      <w:bodyDiv w:val="1"/>
      <w:marLeft w:val="0"/>
      <w:marRight w:val="0"/>
      <w:marTop w:val="0"/>
      <w:marBottom w:val="0"/>
      <w:divBdr>
        <w:top w:val="none" w:sz="0" w:space="0" w:color="auto"/>
        <w:left w:val="none" w:sz="0" w:space="0" w:color="auto"/>
        <w:bottom w:val="none" w:sz="0" w:space="0" w:color="auto"/>
        <w:right w:val="none" w:sz="0" w:space="0" w:color="auto"/>
      </w:divBdr>
    </w:div>
    <w:div w:id="1938637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City, Brittany</cp:lastModifiedBy>
  <cp:revision>3</cp:revision>
  <dcterms:created xsi:type="dcterms:W3CDTF">2017-11-27T15:30:00Z</dcterms:created>
  <dcterms:modified xsi:type="dcterms:W3CDTF">2017-11-27T15:30:00Z</dcterms:modified>
</cp:coreProperties>
</file>