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72692" w14:textId="77777777" w:rsidR="0008757F" w:rsidRDefault="0008757F" w:rsidP="0008757F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14:paraId="5B0F8176" w14:textId="77777777" w:rsidR="0008757F" w:rsidRDefault="0008757F" w:rsidP="0008757F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5760"/>
      </w:tblGrid>
      <w:tr w:rsidR="00C70E35" w:rsidRPr="005F7C97" w14:paraId="37BF4470" w14:textId="77777777" w:rsidTr="00EE00F7">
        <w:tc>
          <w:tcPr>
            <w:tcW w:w="2304" w:type="dxa"/>
            <w:vAlign w:val="center"/>
          </w:tcPr>
          <w:p w14:paraId="4C3A723B" w14:textId="4AECBDEF" w:rsidR="00C70E35" w:rsidRPr="005F7C97" w:rsidRDefault="00C70E35" w:rsidP="00EE00F7">
            <w:pPr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5760" w:type="dxa"/>
          </w:tcPr>
          <w:p w14:paraId="793D1799" w14:textId="71494F01" w:rsidR="00C70E35" w:rsidRPr="005F7C97" w:rsidRDefault="00C70E35" w:rsidP="00EE00F7">
            <w:r>
              <w:t>NT264</w:t>
            </w:r>
          </w:p>
        </w:tc>
      </w:tr>
      <w:tr w:rsidR="0008757F" w:rsidRPr="005F7C97" w14:paraId="76949A38" w14:textId="77777777" w:rsidTr="00EE00F7">
        <w:tc>
          <w:tcPr>
            <w:tcW w:w="2304" w:type="dxa"/>
            <w:vAlign w:val="center"/>
          </w:tcPr>
          <w:p w14:paraId="7CE669B6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5760" w:type="dxa"/>
          </w:tcPr>
          <w:p w14:paraId="2E726B8C" w14:textId="7B304311" w:rsidR="0008757F" w:rsidRPr="005F7C97" w:rsidRDefault="00C70E35" w:rsidP="00EE00F7">
            <w:r>
              <w:t>11/30/2017</w:t>
            </w:r>
          </w:p>
        </w:tc>
      </w:tr>
      <w:tr w:rsidR="0008757F" w:rsidRPr="005F7C97" w14:paraId="72ACD0E5" w14:textId="77777777" w:rsidTr="00EE00F7">
        <w:trPr>
          <w:trHeight w:val="720"/>
        </w:trPr>
        <w:tc>
          <w:tcPr>
            <w:tcW w:w="2304" w:type="dxa"/>
            <w:vAlign w:val="center"/>
          </w:tcPr>
          <w:p w14:paraId="3DED57AC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5760" w:type="dxa"/>
          </w:tcPr>
          <w:p w14:paraId="554928BD" w14:textId="7745911C" w:rsidR="0008757F" w:rsidRPr="003D2862" w:rsidRDefault="00EE00F7" w:rsidP="000B53B6">
            <w:pPr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A PheWAS approach to identi</w:t>
            </w:r>
            <w:r w:rsidR="000B53B6">
              <w:rPr>
                <w:sz w:val="22"/>
                <w:szCs w:val="22"/>
              </w:rPr>
              <w:t>fy clinical correlates of rare variation within genes linked to Hereditary Spastic Paraplesia</w:t>
            </w:r>
            <w:bookmarkEnd w:id="0"/>
          </w:p>
        </w:tc>
      </w:tr>
      <w:tr w:rsidR="0008757F" w:rsidRPr="005F7C97" w14:paraId="280E5EE5" w14:textId="77777777" w:rsidTr="00EE00F7">
        <w:tc>
          <w:tcPr>
            <w:tcW w:w="2304" w:type="dxa"/>
            <w:vAlign w:val="center"/>
          </w:tcPr>
          <w:p w14:paraId="6AD6D328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5760" w:type="dxa"/>
          </w:tcPr>
          <w:p w14:paraId="4E6F8A02" w14:textId="77777777" w:rsidR="0008757F" w:rsidRPr="003D2862" w:rsidRDefault="0008757F" w:rsidP="00EE0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Gordon</w:t>
            </w:r>
          </w:p>
        </w:tc>
      </w:tr>
      <w:tr w:rsidR="0008757F" w:rsidRPr="005F7C97" w14:paraId="397E4ADB" w14:textId="77777777" w:rsidTr="00EE00F7">
        <w:tc>
          <w:tcPr>
            <w:tcW w:w="2304" w:type="dxa"/>
            <w:vAlign w:val="center"/>
          </w:tcPr>
          <w:p w14:paraId="4A5B4DCF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Tentative Senior Author (last author)</w:t>
            </w:r>
          </w:p>
        </w:tc>
        <w:tc>
          <w:tcPr>
            <w:tcW w:w="5760" w:type="dxa"/>
          </w:tcPr>
          <w:p w14:paraId="2BC4D724" w14:textId="25A92783" w:rsidR="0008757F" w:rsidRPr="003D2862" w:rsidRDefault="00EE5D15" w:rsidP="00EE0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Gail Jarvik</w:t>
            </w:r>
          </w:p>
        </w:tc>
      </w:tr>
      <w:tr w:rsidR="0008757F" w:rsidRPr="005F7C97" w14:paraId="35AA9C6F" w14:textId="77777777" w:rsidTr="00EE00F7">
        <w:tc>
          <w:tcPr>
            <w:tcW w:w="2304" w:type="dxa"/>
            <w:vAlign w:val="center"/>
          </w:tcPr>
          <w:p w14:paraId="3D0A980A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5760" w:type="dxa"/>
          </w:tcPr>
          <w:p w14:paraId="5A77815C" w14:textId="77777777" w:rsidR="0008757F" w:rsidRPr="003D2862" w:rsidRDefault="0008757F" w:rsidP="0008757F">
            <w:pPr>
              <w:rPr>
                <w:sz w:val="22"/>
                <w:szCs w:val="22"/>
              </w:rPr>
            </w:pPr>
          </w:p>
        </w:tc>
      </w:tr>
      <w:tr w:rsidR="0008757F" w:rsidRPr="005F7C97" w14:paraId="58959DCF" w14:textId="77777777" w:rsidTr="00EE00F7">
        <w:trPr>
          <w:trHeight w:val="512"/>
        </w:trPr>
        <w:tc>
          <w:tcPr>
            <w:tcW w:w="2304" w:type="dxa"/>
            <w:vAlign w:val="center"/>
          </w:tcPr>
          <w:p w14:paraId="6D402B62" w14:textId="77777777" w:rsidR="0008757F" w:rsidRPr="005F7C97" w:rsidRDefault="0008757F" w:rsidP="00EE00F7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5760" w:type="dxa"/>
          </w:tcPr>
          <w:p w14:paraId="20B84757" w14:textId="6E029DCA" w:rsidR="0008757F" w:rsidRPr="005F7C97" w:rsidRDefault="00185A2C" w:rsidP="00EE00F7">
            <w:r>
              <w:rPr>
                <w:sz w:val="22"/>
                <w:szCs w:val="22"/>
              </w:rPr>
              <w:t>All</w:t>
            </w:r>
          </w:p>
        </w:tc>
      </w:tr>
      <w:tr w:rsidR="0008757F" w:rsidRPr="005F7C97" w14:paraId="24D68B28" w14:textId="77777777" w:rsidTr="00EE00F7">
        <w:trPr>
          <w:trHeight w:val="864"/>
        </w:trPr>
        <w:tc>
          <w:tcPr>
            <w:tcW w:w="2304" w:type="dxa"/>
            <w:vAlign w:val="center"/>
          </w:tcPr>
          <w:p w14:paraId="7ED3F9CB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5760" w:type="dxa"/>
          </w:tcPr>
          <w:p w14:paraId="1921313F" w14:textId="651DC9F9" w:rsidR="00CD2DA8" w:rsidRDefault="00717104" w:rsidP="008C3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Hereditary Spastic Paraplesia (HSP)</w:t>
            </w:r>
            <w:r w:rsidR="007700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is a debilitating adult-onset neurogenetic disease that affects roughly 1-10 per 100,000 patients of European descent. </w:t>
            </w:r>
            <w:r w:rsidR="00770028">
              <w:rPr>
                <w:sz w:val="22"/>
                <w:szCs w:val="22"/>
              </w:rPr>
              <w:t xml:space="preserve">The </w:t>
            </w:r>
            <w:r w:rsidR="008C357D">
              <w:rPr>
                <w:sz w:val="22"/>
                <w:szCs w:val="22"/>
              </w:rPr>
              <w:t xml:space="preserve">gene </w:t>
            </w:r>
            <w:r>
              <w:rPr>
                <w:i/>
                <w:sz w:val="22"/>
                <w:szCs w:val="22"/>
              </w:rPr>
              <w:t>SPG7</w:t>
            </w:r>
            <w:r w:rsidR="008C357D">
              <w:rPr>
                <w:sz w:val="22"/>
                <w:szCs w:val="22"/>
              </w:rPr>
              <w:t xml:space="preserve"> contains multiple causative alleles that collectively represent the most common neurogenetic disease-causing alleles among Europeans. Initially mapped to 16q24.3 via linkage analysis of a family with recessive HSP, </w:t>
            </w:r>
            <w:r w:rsidR="00810773">
              <w:rPr>
                <w:i/>
                <w:sz w:val="22"/>
                <w:szCs w:val="22"/>
              </w:rPr>
              <w:t xml:space="preserve">SPG7 </w:t>
            </w:r>
            <w:r w:rsidR="00810773">
              <w:rPr>
                <w:sz w:val="22"/>
                <w:szCs w:val="22"/>
              </w:rPr>
              <w:t>encodes paraplegin, a protease critical to mitochondr</w:t>
            </w:r>
            <w:r>
              <w:rPr>
                <w:sz w:val="22"/>
                <w:szCs w:val="22"/>
              </w:rPr>
              <w:t xml:space="preserve">ial misfolded protein response. </w:t>
            </w:r>
          </w:p>
          <w:p w14:paraId="0286F318" w14:textId="3388466E" w:rsidR="00770028" w:rsidRDefault="00CD2DA8" w:rsidP="007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Although several alleles within this gene have been linked to HSP, p.Ala510Val</w:t>
            </w:r>
            <w:r w:rsidR="00D665FC">
              <w:rPr>
                <w:sz w:val="22"/>
                <w:szCs w:val="22"/>
              </w:rPr>
              <w:t xml:space="preserve"> (rs61755320)</w:t>
            </w:r>
            <w:r>
              <w:rPr>
                <w:sz w:val="22"/>
                <w:szCs w:val="22"/>
              </w:rPr>
              <w:t xml:space="preserve"> in particular is thought to be the most common driver of HSP among European patients. Despite this strong association, </w:t>
            </w:r>
            <w:r w:rsidR="004E7A5F">
              <w:rPr>
                <w:sz w:val="22"/>
                <w:szCs w:val="22"/>
              </w:rPr>
              <w:t xml:space="preserve">penetrance of this allele </w:t>
            </w:r>
            <w:r w:rsidR="0079243E">
              <w:rPr>
                <w:sz w:val="22"/>
                <w:szCs w:val="22"/>
              </w:rPr>
              <w:t xml:space="preserve">in a larger patient population needs further investigation due to the disparity between expected homozygote prevalence and HSP incidence (20-40/100,000 and 1-10/100,000 respectively). </w:t>
            </w:r>
          </w:p>
          <w:p w14:paraId="46DD08BE" w14:textId="77777777" w:rsidR="00770028" w:rsidRDefault="00770028" w:rsidP="00770028">
            <w:pPr>
              <w:rPr>
                <w:sz w:val="22"/>
                <w:szCs w:val="22"/>
              </w:rPr>
            </w:pPr>
          </w:p>
          <w:p w14:paraId="67A7A0F3" w14:textId="4A1CD31D" w:rsidR="00D665FC" w:rsidRPr="00810773" w:rsidRDefault="00770028" w:rsidP="00D66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Though </w:t>
            </w:r>
            <w:r w:rsidRPr="00770028">
              <w:rPr>
                <w:i/>
                <w:sz w:val="22"/>
                <w:szCs w:val="22"/>
              </w:rPr>
              <w:t>SPG7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alleles may be the most common driver of this disease, over 41 genes have been associated with HSP, </w:t>
            </w:r>
            <w:r w:rsidR="00D665FC">
              <w:rPr>
                <w:sz w:val="22"/>
                <w:szCs w:val="22"/>
              </w:rPr>
              <w:t xml:space="preserve">and the specific disease phenotypes observed in HSP patients are often driven by low frequency variation within these genes. </w:t>
            </w:r>
            <w:r w:rsidR="00C72047" w:rsidRPr="00770028">
              <w:rPr>
                <w:sz w:val="22"/>
                <w:szCs w:val="22"/>
              </w:rPr>
              <w:t>Analysis</w:t>
            </w:r>
            <w:r w:rsidR="0079243E">
              <w:rPr>
                <w:sz w:val="22"/>
                <w:szCs w:val="22"/>
              </w:rPr>
              <w:t xml:space="preserve"> of </w:t>
            </w:r>
            <w:r w:rsidR="00D665FC">
              <w:rPr>
                <w:sz w:val="22"/>
                <w:szCs w:val="22"/>
              </w:rPr>
              <w:t xml:space="preserve">rare alleles within </w:t>
            </w:r>
            <w:r w:rsidR="00D665FC">
              <w:rPr>
                <w:i/>
                <w:sz w:val="22"/>
                <w:szCs w:val="22"/>
              </w:rPr>
              <w:t xml:space="preserve">SPG7 </w:t>
            </w:r>
            <w:r w:rsidR="00D665FC">
              <w:rPr>
                <w:sz w:val="22"/>
                <w:szCs w:val="22"/>
              </w:rPr>
              <w:t>and other HSP-linked genes</w:t>
            </w:r>
            <w:r w:rsidR="0079243E">
              <w:rPr>
                <w:sz w:val="22"/>
                <w:szCs w:val="22"/>
              </w:rPr>
              <w:t xml:space="preserve"> within the eMERGE cohort can not only </w:t>
            </w:r>
            <w:r w:rsidR="00C72047">
              <w:rPr>
                <w:sz w:val="22"/>
                <w:szCs w:val="22"/>
              </w:rPr>
              <w:t>clarify</w:t>
            </w:r>
            <w:r w:rsidR="0079243E">
              <w:rPr>
                <w:sz w:val="22"/>
                <w:szCs w:val="22"/>
              </w:rPr>
              <w:t xml:space="preserve"> previous associations </w:t>
            </w:r>
            <w:r w:rsidR="00D665FC">
              <w:rPr>
                <w:sz w:val="22"/>
                <w:szCs w:val="22"/>
              </w:rPr>
              <w:t>derived from family studies</w:t>
            </w:r>
            <w:r w:rsidR="0079243E">
              <w:rPr>
                <w:sz w:val="22"/>
                <w:szCs w:val="22"/>
              </w:rPr>
              <w:t xml:space="preserve">, but can </w:t>
            </w:r>
            <w:r w:rsidR="00C72047">
              <w:rPr>
                <w:sz w:val="22"/>
                <w:szCs w:val="22"/>
              </w:rPr>
              <w:t xml:space="preserve">also </w:t>
            </w:r>
            <w:r w:rsidR="0079243E">
              <w:rPr>
                <w:sz w:val="22"/>
                <w:szCs w:val="22"/>
              </w:rPr>
              <w:t>be espec</w:t>
            </w:r>
            <w:r w:rsidR="00C72047">
              <w:rPr>
                <w:sz w:val="22"/>
                <w:szCs w:val="22"/>
              </w:rPr>
              <w:t xml:space="preserve">ially valuable in unraveling </w:t>
            </w:r>
            <w:r>
              <w:rPr>
                <w:sz w:val="22"/>
                <w:szCs w:val="22"/>
              </w:rPr>
              <w:t xml:space="preserve">the genetic underpinnings of HSP phenotype </w:t>
            </w:r>
            <w:r w:rsidR="00D665FC">
              <w:rPr>
                <w:sz w:val="22"/>
                <w:szCs w:val="22"/>
              </w:rPr>
              <w:t xml:space="preserve">heterogeneity. </w:t>
            </w:r>
          </w:p>
        </w:tc>
      </w:tr>
      <w:tr w:rsidR="0008757F" w:rsidRPr="005F7C97" w14:paraId="285292F5" w14:textId="77777777" w:rsidTr="00EE00F7">
        <w:trPr>
          <w:trHeight w:val="864"/>
        </w:trPr>
        <w:tc>
          <w:tcPr>
            <w:tcW w:w="2304" w:type="dxa"/>
            <w:vAlign w:val="center"/>
          </w:tcPr>
          <w:p w14:paraId="55A54131" w14:textId="05203250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Outline of Project</w:t>
            </w:r>
          </w:p>
        </w:tc>
        <w:tc>
          <w:tcPr>
            <w:tcW w:w="5760" w:type="dxa"/>
          </w:tcPr>
          <w:p w14:paraId="2F9DD9D4" w14:textId="50D8D607" w:rsidR="0008757F" w:rsidRPr="00D6522B" w:rsidRDefault="00D665FC" w:rsidP="0008757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Acquire </w:t>
            </w:r>
            <w:r w:rsidR="00CE38CC">
              <w:rPr>
                <w:sz w:val="22"/>
                <w:szCs w:val="22"/>
              </w:rPr>
              <w:t>eI-III imputed array dataset</w:t>
            </w:r>
            <w:r w:rsidR="004C63D8">
              <w:rPr>
                <w:sz w:val="22"/>
                <w:szCs w:val="22"/>
              </w:rPr>
              <w:t xml:space="preserve"> (</w:t>
            </w:r>
            <w:r w:rsidR="004C63D8" w:rsidRPr="00BC5ED4">
              <w:rPr>
                <w:color w:val="FF0000"/>
                <w:sz w:val="22"/>
                <w:szCs w:val="22"/>
              </w:rPr>
              <w:t>already collected</w:t>
            </w:r>
            <w:r w:rsidR="004C63D8">
              <w:rPr>
                <w:sz w:val="22"/>
                <w:szCs w:val="22"/>
              </w:rPr>
              <w:t>)</w:t>
            </w:r>
          </w:p>
          <w:p w14:paraId="55BA6C70" w14:textId="56666E0D" w:rsidR="0008757F" w:rsidRPr="00D05E17" w:rsidRDefault="0008757F" w:rsidP="0008757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Assign </w:t>
            </w:r>
            <w:r w:rsidRPr="000F7B72">
              <w:rPr>
                <w:sz w:val="22"/>
                <w:szCs w:val="22"/>
              </w:rPr>
              <w:t>PheWAS</w:t>
            </w:r>
            <w:r>
              <w:rPr>
                <w:sz w:val="22"/>
                <w:szCs w:val="22"/>
              </w:rPr>
              <w:t xml:space="preserve"> groups</w:t>
            </w:r>
          </w:p>
          <w:p w14:paraId="0F7CC760" w14:textId="77777777" w:rsidR="00194F16" w:rsidRDefault="0008757F" w:rsidP="00EE00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E17">
              <w:rPr>
                <w:rFonts w:ascii="Times" w:hAnsi="Times" w:cs="Times"/>
                <w:sz w:val="22"/>
                <w:szCs w:val="22"/>
              </w:rPr>
              <w:t xml:space="preserve">Assess </w:t>
            </w:r>
            <w:r w:rsidR="00194F16">
              <w:rPr>
                <w:rFonts w:ascii="Times" w:hAnsi="Times" w:cs="Times"/>
                <w:sz w:val="22"/>
                <w:szCs w:val="22"/>
              </w:rPr>
              <w:t xml:space="preserve">phenotype </w:t>
            </w:r>
            <w:r w:rsidRPr="00D05E17">
              <w:rPr>
                <w:rFonts w:ascii="Times" w:hAnsi="Times" w:cs="Times"/>
                <w:sz w:val="22"/>
                <w:szCs w:val="22"/>
              </w:rPr>
              <w:t>association</w:t>
            </w:r>
            <w:r w:rsidR="00194F16">
              <w:rPr>
                <w:rFonts w:ascii="Times" w:hAnsi="Times" w:cs="Times"/>
                <w:sz w:val="22"/>
                <w:szCs w:val="22"/>
              </w:rPr>
              <w:t xml:space="preserve"> with variation within HSP genes</w:t>
            </w:r>
          </w:p>
          <w:p w14:paraId="5EEC3FA5" w14:textId="40F954EA" w:rsidR="0008757F" w:rsidRPr="00194F16" w:rsidRDefault="0008757F" w:rsidP="00EE00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94F16">
              <w:rPr>
                <w:rFonts w:ascii="Times" w:hAnsi="Times" w:cs="Times"/>
                <w:sz w:val="22"/>
                <w:szCs w:val="22"/>
              </w:rPr>
              <w:t>Write manuscript</w:t>
            </w:r>
          </w:p>
        </w:tc>
      </w:tr>
      <w:tr w:rsidR="0008757F" w:rsidRPr="005F7C97" w14:paraId="0B426C5D" w14:textId="77777777" w:rsidTr="00EE00F7">
        <w:trPr>
          <w:trHeight w:val="854"/>
        </w:trPr>
        <w:tc>
          <w:tcPr>
            <w:tcW w:w="2304" w:type="dxa"/>
            <w:vAlign w:val="center"/>
          </w:tcPr>
          <w:p w14:paraId="02DC77B5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Desired</w:t>
            </w:r>
          </w:p>
          <w:p w14:paraId="5EE8FECB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14:paraId="2B8399C0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5760" w:type="dxa"/>
          </w:tcPr>
          <w:p w14:paraId="72AE29B9" w14:textId="77777777" w:rsidR="0008757F" w:rsidRPr="00D05E17" w:rsidRDefault="0008757F" w:rsidP="00EE00F7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D05E17">
              <w:rPr>
                <w:b/>
                <w:color w:val="000000"/>
                <w:sz w:val="22"/>
                <w:szCs w:val="22"/>
                <w:u w:val="single"/>
              </w:rPr>
              <w:t>Phenotypes:</w:t>
            </w:r>
          </w:p>
          <w:p w14:paraId="1E838948" w14:textId="7F6DBF96" w:rsidR="0008757F" w:rsidRPr="00D05E17" w:rsidRDefault="0008757F" w:rsidP="0008757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PheWAS data outlined by Denny algorithm </w:t>
            </w:r>
          </w:p>
          <w:p w14:paraId="3736585D" w14:textId="77777777" w:rsidR="0008757F" w:rsidRPr="00D05E17" w:rsidRDefault="0008757F" w:rsidP="00EE00F7">
            <w:pPr>
              <w:rPr>
                <w:b/>
                <w:sz w:val="22"/>
                <w:szCs w:val="22"/>
                <w:u w:val="single"/>
              </w:rPr>
            </w:pPr>
            <w:r w:rsidRPr="00D05E17">
              <w:rPr>
                <w:b/>
                <w:sz w:val="22"/>
                <w:szCs w:val="22"/>
                <w:u w:val="single"/>
              </w:rPr>
              <w:t>Covariates:</w:t>
            </w:r>
          </w:p>
          <w:p w14:paraId="3AE8AD05" w14:textId="77777777" w:rsidR="0008757F" w:rsidRPr="00C67090" w:rsidRDefault="0008757F" w:rsidP="00EE00F7">
            <w:pPr>
              <w:ind w:left="360"/>
              <w:rPr>
                <w:sz w:val="22"/>
                <w:szCs w:val="22"/>
              </w:rPr>
            </w:pPr>
            <w:r w:rsidRPr="00D05E17">
              <w:rPr>
                <w:sz w:val="22"/>
                <w:szCs w:val="22"/>
                <w:u w:val="single"/>
              </w:rPr>
              <w:t>Demographic:</w:t>
            </w:r>
            <w:r w:rsidRPr="00D05E17">
              <w:rPr>
                <w:sz w:val="22"/>
                <w:szCs w:val="22"/>
              </w:rPr>
              <w:t xml:space="preserve"> Height, weight (at visit), sex, self-identified race and </w:t>
            </w:r>
            <w:r>
              <w:rPr>
                <w:sz w:val="22"/>
                <w:szCs w:val="22"/>
              </w:rPr>
              <w:t>decade of birth. (</w:t>
            </w:r>
            <w:r w:rsidRPr="00BC5ED4">
              <w:rPr>
                <w:color w:val="FF0000"/>
                <w:sz w:val="22"/>
                <w:szCs w:val="22"/>
              </w:rPr>
              <w:t>already collected</w:t>
            </w:r>
            <w:r>
              <w:rPr>
                <w:sz w:val="22"/>
                <w:szCs w:val="22"/>
              </w:rPr>
              <w:t>)</w:t>
            </w:r>
          </w:p>
        </w:tc>
      </w:tr>
      <w:tr w:rsidR="0008757F" w:rsidRPr="005F7C97" w14:paraId="437A67D9" w14:textId="77777777" w:rsidTr="00EE00F7">
        <w:trPr>
          <w:trHeight w:val="935"/>
        </w:trPr>
        <w:tc>
          <w:tcPr>
            <w:tcW w:w="2304" w:type="dxa"/>
            <w:vAlign w:val="center"/>
          </w:tcPr>
          <w:p w14:paraId="0E43F392" w14:textId="77777777" w:rsidR="0008757F" w:rsidRPr="005F7C97" w:rsidRDefault="0008757F" w:rsidP="00EE00F7">
            <w:pPr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5760" w:type="dxa"/>
          </w:tcPr>
          <w:p w14:paraId="5FE3DBF6" w14:textId="5360B2DB" w:rsidR="0008757F" w:rsidRPr="005F7C97" w:rsidRDefault="002700EB" w:rsidP="002700EB">
            <w:r w:rsidRPr="002700EB">
              <w:t>eI-III imputed array dataset</w:t>
            </w:r>
            <w:r w:rsidR="00194F16">
              <w:t>,</w:t>
            </w:r>
            <w:r w:rsidR="0008757F">
              <w:t xml:space="preserve"> PheWAS </w:t>
            </w:r>
            <w:r>
              <w:t>codes</w:t>
            </w:r>
            <w:r w:rsidR="0008757F">
              <w:t>, Covariates</w:t>
            </w:r>
            <w:r>
              <w:t>, demographic information</w:t>
            </w:r>
          </w:p>
        </w:tc>
      </w:tr>
      <w:tr w:rsidR="0008757F" w:rsidRPr="005F7C97" w14:paraId="180AB604" w14:textId="77777777" w:rsidTr="00EE00F7">
        <w:trPr>
          <w:trHeight w:val="440"/>
        </w:trPr>
        <w:tc>
          <w:tcPr>
            <w:tcW w:w="2304" w:type="dxa"/>
            <w:vAlign w:val="center"/>
          </w:tcPr>
          <w:p w14:paraId="49EED6DC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5760" w:type="dxa"/>
          </w:tcPr>
          <w:p w14:paraId="6AB58665" w14:textId="77777777" w:rsidR="0008757F" w:rsidRPr="00D05E17" w:rsidRDefault="0008757F" w:rsidP="00EE00F7">
            <w:pPr>
              <w:rPr>
                <w:b/>
                <w:iCs/>
                <w:sz w:val="22"/>
                <w:szCs w:val="22"/>
                <w:u w:val="single"/>
              </w:rPr>
            </w:pPr>
            <w:r w:rsidRPr="00D05E17">
              <w:rPr>
                <w:b/>
                <w:iCs/>
                <w:sz w:val="22"/>
                <w:szCs w:val="22"/>
                <w:u w:val="single"/>
              </w:rPr>
              <w:t>Association:</w:t>
            </w:r>
          </w:p>
          <w:p w14:paraId="7E0C57EB" w14:textId="77777777" w:rsidR="00194F16" w:rsidRDefault="00194F16" w:rsidP="00EE00F7">
            <w:pPr>
              <w:rPr>
                <w:sz w:val="22"/>
                <w:szCs w:val="22"/>
                <w:u w:val="single"/>
              </w:rPr>
            </w:pPr>
          </w:p>
          <w:p w14:paraId="62A0AFA5" w14:textId="54A2D8C0" w:rsidR="0008757F" w:rsidRDefault="00194F16" w:rsidP="00EE0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Association</w:t>
            </w:r>
            <w:r w:rsidR="0008757F" w:rsidRPr="000F7B72">
              <w:rPr>
                <w:sz w:val="22"/>
                <w:szCs w:val="22"/>
              </w:rPr>
              <w:t xml:space="preserve"> tests </w:t>
            </w:r>
            <w:r w:rsidR="0008757F">
              <w:rPr>
                <w:sz w:val="22"/>
                <w:szCs w:val="22"/>
              </w:rPr>
              <w:t>will</w:t>
            </w:r>
            <w:r w:rsidR="0008757F" w:rsidRPr="000F7B72">
              <w:rPr>
                <w:sz w:val="22"/>
                <w:szCs w:val="22"/>
              </w:rPr>
              <w:t xml:space="preserve"> </w:t>
            </w:r>
            <w:r w:rsidR="0008757F">
              <w:rPr>
                <w:sz w:val="22"/>
                <w:szCs w:val="22"/>
              </w:rPr>
              <w:t xml:space="preserve">be </w:t>
            </w:r>
            <w:r w:rsidR="0008757F" w:rsidRPr="000F7B72">
              <w:rPr>
                <w:sz w:val="22"/>
                <w:szCs w:val="22"/>
              </w:rPr>
              <w:t>performed using logistic regression</w:t>
            </w:r>
            <w:r w:rsidR="0008757F">
              <w:rPr>
                <w:sz w:val="22"/>
                <w:szCs w:val="22"/>
              </w:rPr>
              <w:t xml:space="preserve"> (case control of PheWAS group)</w:t>
            </w:r>
            <w:r w:rsidR="0008757F" w:rsidRPr="000F7B72">
              <w:rPr>
                <w:sz w:val="22"/>
                <w:szCs w:val="22"/>
              </w:rPr>
              <w:t xml:space="preserve"> in R with the PheWAS package, adjusted for decade of birth, self-reported sex, study site, and the first three principal component</w:t>
            </w:r>
            <w:r w:rsidR="0008757F">
              <w:rPr>
                <w:sz w:val="22"/>
                <w:szCs w:val="22"/>
              </w:rPr>
              <w:t xml:space="preserve">s. </w:t>
            </w:r>
            <w:r w:rsidR="00E523D7">
              <w:rPr>
                <w:sz w:val="22"/>
                <w:szCs w:val="22"/>
              </w:rPr>
              <w:t>We will also compare results from these standard PheWAS methods to SPA, a newly developed parallel methodology optimized for phenotypes with low case:control ratios (</w:t>
            </w:r>
            <w:r w:rsidR="00E523D7" w:rsidRPr="00E523D7">
              <w:rPr>
                <w:sz w:val="22"/>
                <w:szCs w:val="22"/>
              </w:rPr>
              <w:t>PMID: 28602423</w:t>
            </w:r>
            <w:r w:rsidR="00E523D7">
              <w:rPr>
                <w:sz w:val="22"/>
                <w:szCs w:val="22"/>
              </w:rPr>
              <w:t xml:space="preserve">). </w:t>
            </w:r>
          </w:p>
          <w:p w14:paraId="1789AEFC" w14:textId="40CC70B3" w:rsidR="0008757F" w:rsidRPr="00BC5ED4" w:rsidRDefault="0008757F" w:rsidP="00EE00F7">
            <w:pPr>
              <w:rPr>
                <w:sz w:val="22"/>
                <w:szCs w:val="22"/>
              </w:rPr>
            </w:pPr>
          </w:p>
        </w:tc>
      </w:tr>
      <w:tr w:rsidR="0008757F" w:rsidRPr="005F7C97" w14:paraId="5BD0CED2" w14:textId="77777777" w:rsidTr="00EE00F7">
        <w:trPr>
          <w:trHeight w:val="864"/>
        </w:trPr>
        <w:tc>
          <w:tcPr>
            <w:tcW w:w="2304" w:type="dxa"/>
            <w:vAlign w:val="center"/>
          </w:tcPr>
          <w:p w14:paraId="6DF58154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Ethical considerations</w:t>
            </w:r>
          </w:p>
        </w:tc>
        <w:tc>
          <w:tcPr>
            <w:tcW w:w="5760" w:type="dxa"/>
          </w:tcPr>
          <w:p w14:paraId="7E6F7776" w14:textId="77777777" w:rsidR="0008757F" w:rsidRDefault="0008757F" w:rsidP="00EE00F7"/>
          <w:p w14:paraId="1546E521" w14:textId="77777777" w:rsidR="0008757F" w:rsidRPr="005F7C97" w:rsidRDefault="0008757F" w:rsidP="00EE00F7">
            <w:r w:rsidRPr="00D05E17">
              <w:rPr>
                <w:sz w:val="22"/>
                <w:szCs w:val="22"/>
              </w:rPr>
              <w:t>There are no physical risks involved.</w:t>
            </w:r>
          </w:p>
        </w:tc>
      </w:tr>
      <w:tr w:rsidR="0008757F" w:rsidRPr="005F7C97" w14:paraId="2A6A5716" w14:textId="77777777" w:rsidTr="00EE00F7">
        <w:tc>
          <w:tcPr>
            <w:tcW w:w="2304" w:type="dxa"/>
            <w:vAlign w:val="center"/>
          </w:tcPr>
          <w:p w14:paraId="749B3217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5760" w:type="dxa"/>
          </w:tcPr>
          <w:p w14:paraId="507B6F51" w14:textId="7587B6B3" w:rsidR="0008757F" w:rsidRPr="005F7C97" w:rsidRDefault="00194F16" w:rsidP="00194F16">
            <w:r>
              <w:rPr>
                <w:sz w:val="22"/>
                <w:szCs w:val="22"/>
              </w:rPr>
              <w:t>?</w:t>
            </w:r>
          </w:p>
        </w:tc>
      </w:tr>
      <w:tr w:rsidR="0008757F" w:rsidRPr="005F7C97" w14:paraId="1A3E69A1" w14:textId="77777777" w:rsidTr="00EE00F7">
        <w:tc>
          <w:tcPr>
            <w:tcW w:w="2304" w:type="dxa"/>
            <w:vAlign w:val="center"/>
          </w:tcPr>
          <w:p w14:paraId="4C9BB212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>
              <w:rPr>
                <w:b/>
              </w:rPr>
              <w:t>**</w:t>
            </w:r>
          </w:p>
        </w:tc>
        <w:tc>
          <w:tcPr>
            <w:tcW w:w="5760" w:type="dxa"/>
          </w:tcPr>
          <w:p w14:paraId="0C0B3688" w14:textId="7B848A11" w:rsidR="0008757F" w:rsidRPr="00D05E17" w:rsidRDefault="0008757F" w:rsidP="00EE00F7">
            <w:pPr>
              <w:rPr>
                <w:sz w:val="22"/>
                <w:szCs w:val="22"/>
              </w:rPr>
            </w:pPr>
            <w:r w:rsidRPr="00D05E17">
              <w:rPr>
                <w:sz w:val="22"/>
                <w:szCs w:val="22"/>
              </w:rPr>
              <w:t xml:space="preserve">Project duration: </w:t>
            </w:r>
            <w:r w:rsidR="00194F16">
              <w:rPr>
                <w:sz w:val="22"/>
                <w:szCs w:val="22"/>
              </w:rPr>
              <w:t>five</w:t>
            </w:r>
            <w:r w:rsidRPr="00D05E17">
              <w:rPr>
                <w:sz w:val="22"/>
                <w:szCs w:val="22"/>
              </w:rPr>
              <w:t xml:space="preserve"> months</w:t>
            </w:r>
          </w:p>
          <w:p w14:paraId="65B3AFD0" w14:textId="77777777" w:rsidR="0008757F" w:rsidRDefault="0008757F" w:rsidP="00EE00F7"/>
          <w:p w14:paraId="396CB3E7" w14:textId="77777777" w:rsidR="0008757F" w:rsidRPr="005F7C97" w:rsidRDefault="0008757F" w:rsidP="00EE00F7"/>
        </w:tc>
      </w:tr>
    </w:tbl>
    <w:p w14:paraId="77A8A806" w14:textId="77777777" w:rsidR="0008757F" w:rsidRDefault="0008757F" w:rsidP="0008757F"/>
    <w:p w14:paraId="1C42EC36" w14:textId="77777777" w:rsidR="0008757F" w:rsidRDefault="0008757F" w:rsidP="0008757F"/>
    <w:p w14:paraId="4E6C9B2C" w14:textId="77777777" w:rsidR="000B2356" w:rsidRDefault="000B2356"/>
    <w:sectPr w:rsidR="000B2356" w:rsidSect="00EE00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4721" w14:textId="77777777" w:rsidR="009C6CAC" w:rsidRDefault="009C6CAC">
      <w:r>
        <w:separator/>
      </w:r>
    </w:p>
  </w:endnote>
  <w:endnote w:type="continuationSeparator" w:id="0">
    <w:p w14:paraId="78896CBD" w14:textId="77777777" w:rsidR="009C6CAC" w:rsidRDefault="009C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9D2BB" w14:textId="2BDCC34C" w:rsidR="00D665FC" w:rsidRDefault="00D665F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0E3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6D965" w14:textId="77777777" w:rsidR="009C6CAC" w:rsidRDefault="009C6CAC">
      <w:r>
        <w:separator/>
      </w:r>
    </w:p>
  </w:footnote>
  <w:footnote w:type="continuationSeparator" w:id="0">
    <w:p w14:paraId="36A2D368" w14:textId="77777777" w:rsidR="009C6CAC" w:rsidRDefault="009C6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B00"/>
    <w:multiLevelType w:val="hybridMultilevel"/>
    <w:tmpl w:val="78FCD13A"/>
    <w:lvl w:ilvl="0" w:tplc="D12AF7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7AA7"/>
    <w:multiLevelType w:val="hybridMultilevel"/>
    <w:tmpl w:val="8B8625C8"/>
    <w:lvl w:ilvl="0" w:tplc="67AEEA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7F"/>
    <w:rsid w:val="000322AD"/>
    <w:rsid w:val="0008757F"/>
    <w:rsid w:val="000B2356"/>
    <w:rsid w:val="000B53B6"/>
    <w:rsid w:val="00185A2C"/>
    <w:rsid w:val="00194F16"/>
    <w:rsid w:val="00241150"/>
    <w:rsid w:val="002700EB"/>
    <w:rsid w:val="002C0128"/>
    <w:rsid w:val="004C63D8"/>
    <w:rsid w:val="004E7A5F"/>
    <w:rsid w:val="005B7F4D"/>
    <w:rsid w:val="00603EF5"/>
    <w:rsid w:val="00717104"/>
    <w:rsid w:val="00770028"/>
    <w:rsid w:val="00777FD4"/>
    <w:rsid w:val="0079243E"/>
    <w:rsid w:val="00810773"/>
    <w:rsid w:val="008C357D"/>
    <w:rsid w:val="009C6CAC"/>
    <w:rsid w:val="00C70E35"/>
    <w:rsid w:val="00C72047"/>
    <w:rsid w:val="00CC3EFF"/>
    <w:rsid w:val="00CD2DA8"/>
    <w:rsid w:val="00CE38CC"/>
    <w:rsid w:val="00D665FC"/>
    <w:rsid w:val="00E523D7"/>
    <w:rsid w:val="00EE00F7"/>
    <w:rsid w:val="00E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8B1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5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8757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087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757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8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Sch of Med Dept of Genome Sciences Nickerson lab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S. GORDON</dc:creator>
  <cp:keywords/>
  <dc:description/>
  <cp:lastModifiedBy>City, Brittany</cp:lastModifiedBy>
  <cp:revision>2</cp:revision>
  <dcterms:created xsi:type="dcterms:W3CDTF">2017-11-30T21:44:00Z</dcterms:created>
  <dcterms:modified xsi:type="dcterms:W3CDTF">2017-11-30T21:44:00Z</dcterms:modified>
</cp:coreProperties>
</file>