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8263"/>
      </w:tblGrid>
      <w:tr w:rsidR="0093273D" w:rsidRPr="005F7C97" w:rsidTr="00900D3C">
        <w:trPr>
          <w:trHeight w:val="503"/>
        </w:trPr>
        <w:tc>
          <w:tcPr>
            <w:tcW w:w="11251" w:type="dxa"/>
            <w:gridSpan w:val="2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:rsidR="0093273D" w:rsidRPr="0093273D" w:rsidRDefault="0093273D" w:rsidP="0093273D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93273D">
              <w:rPr>
                <w:rFonts w:asciiTheme="majorHAnsi" w:hAnsiTheme="majorHAnsi"/>
                <w:b/>
                <w:color w:val="FFFFFF" w:themeColor="background1"/>
                <w:sz w:val="28"/>
              </w:rPr>
              <w:t>eMERGE Network: Proposal for Analysis</w:t>
            </w:r>
          </w:p>
          <w:p w:rsidR="0093273D" w:rsidRPr="0093273D" w:rsidRDefault="0093273D" w:rsidP="0093273D">
            <w:pPr>
              <w:spacing w:after="120"/>
              <w:jc w:val="center"/>
            </w:pPr>
            <w:r w:rsidRPr="0093273D">
              <w:rPr>
                <w:rFonts w:asciiTheme="majorHAnsi" w:hAnsiTheme="majorHAnsi"/>
                <w:color w:val="FFFFFF" w:themeColor="background1"/>
                <w:sz w:val="32"/>
              </w:rPr>
              <w:t>Project/Manuscript Concept Sheet</w:t>
            </w:r>
          </w:p>
        </w:tc>
      </w:tr>
      <w:tr w:rsidR="0093273D" w:rsidRPr="005F7C9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</w:p>
        </w:tc>
        <w:tc>
          <w:tcPr>
            <w:tcW w:w="8263" w:type="dxa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952FE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NT286</w:t>
            </w:r>
          </w:p>
        </w:tc>
      </w:tr>
      <w:tr w:rsidR="0093273D" w:rsidRPr="005F7C9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952FE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5/10/2018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952FE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829A5">
              <w:rPr>
                <w:rFonts w:ascii="Calibri" w:hAnsi="Calibri" w:cs="Calibri"/>
                <w:sz w:val="22"/>
                <w:szCs w:val="22"/>
              </w:rPr>
              <w:t>Using genetic data in a Bayesian precision medicine framework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</w:t>
            </w:r>
            <w:r w:rsidRPr="006829A5">
              <w:rPr>
                <w:rFonts w:ascii="Calibri" w:hAnsi="Calibri" w:cs="Calibri"/>
                <w:sz w:val="22"/>
                <w:szCs w:val="22"/>
              </w:rPr>
              <w:t xml:space="preserve"> prioritize rheumatic disease diagnoses</w:t>
            </w:r>
          </w:p>
        </w:tc>
      </w:tr>
      <w:tr w:rsidR="0093273D" w:rsidRPr="005F7C9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372517" w:rsidP="003725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Rachel Knevel</w:t>
            </w:r>
          </w:p>
        </w:tc>
      </w:tr>
      <w:tr w:rsidR="0093273D" w:rsidRPr="005F7C9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37251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Soumya Raychaudhuri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3273D" w:rsidRPr="008673B8" w:rsidRDefault="00952FE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Elizabeth Karlson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Sites Involved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52FE6" w:rsidRPr="006829A5" w:rsidRDefault="00952FE6" w:rsidP="00952FE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 network-wide study (all sites invited to participate). 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52FE6" w:rsidRPr="006829A5" w:rsidRDefault="00952FE6" w:rsidP="00952FE6">
            <w:pPr>
              <w:rPr>
                <w:rFonts w:ascii="Calibri" w:hAnsi="Calibri" w:cs="Calibri"/>
                <w:sz w:val="22"/>
                <w:szCs w:val="22"/>
              </w:rPr>
            </w:pPr>
            <w:r w:rsidRPr="006829A5">
              <w:rPr>
                <w:rFonts w:ascii="Calibri" w:hAnsi="Calibri" w:cs="Calibri"/>
                <w:sz w:val="22"/>
                <w:szCs w:val="22"/>
              </w:rPr>
              <w:t>In the current era of precision medicine and increasing application of next-generation sequencing, there is a rapidly increasing number of patients who have whole-genome genotype data available.</w:t>
            </w:r>
            <w:r w:rsidRPr="006829A5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829A5">
              <w:rPr>
                <w:rFonts w:ascii="Calibri" w:hAnsi="Calibri" w:cs="Calibri"/>
                <w:sz w:val="22"/>
                <w:szCs w:val="22"/>
              </w:rPr>
              <w:t xml:space="preserve">If these data </w:t>
            </w:r>
            <w:proofErr w:type="gramStart"/>
            <w:r w:rsidRPr="006829A5">
              <w:rPr>
                <w:rFonts w:ascii="Calibri" w:hAnsi="Calibri" w:cs="Calibri"/>
                <w:sz w:val="22"/>
                <w:szCs w:val="22"/>
              </w:rPr>
              <w:t>can be integrated</w:t>
            </w:r>
            <w:proofErr w:type="gramEnd"/>
            <w:r w:rsidRPr="006829A5">
              <w:rPr>
                <w:rFonts w:ascii="Calibri" w:hAnsi="Calibri" w:cs="Calibri"/>
                <w:sz w:val="22"/>
                <w:szCs w:val="22"/>
              </w:rPr>
              <w:t xml:space="preserve"> with medical records, they can be used in clinical care, and have valuable information that can be exploited in advance of a clinical visit.</w:t>
            </w:r>
            <w:r w:rsidRPr="006829A5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r w:rsidRPr="006829A5">
              <w:rPr>
                <w:rFonts w:ascii="Calibri" w:hAnsi="Calibri" w:cs="Calibri"/>
                <w:sz w:val="22"/>
                <w:szCs w:val="22"/>
              </w:rPr>
              <w:t>One of the important challenges at the patient’s first visit is to differentiate between the possible diseases that might be causing symptom. This is particular</w:t>
            </w:r>
            <w:r>
              <w:rPr>
                <w:rFonts w:ascii="Calibri" w:hAnsi="Calibri" w:cs="Calibri"/>
                <w:sz w:val="22"/>
                <w:szCs w:val="22"/>
              </w:rPr>
              <w:t>ly</w:t>
            </w:r>
            <w:r w:rsidRPr="006829A5">
              <w:rPr>
                <w:rFonts w:ascii="Calibri" w:hAnsi="Calibri" w:cs="Calibri"/>
                <w:sz w:val="22"/>
                <w:szCs w:val="22"/>
              </w:rPr>
              <w:t xml:space="preserve"> valuable for diseases where distinguishing symptoms might evolve over time and watchful waiting might be essential before a final diagnosis </w:t>
            </w:r>
            <w:proofErr w:type="gramStart"/>
            <w:r w:rsidRPr="006829A5">
              <w:rPr>
                <w:rFonts w:ascii="Calibri" w:hAnsi="Calibri" w:cs="Calibri"/>
                <w:sz w:val="22"/>
                <w:szCs w:val="22"/>
              </w:rPr>
              <w:t>can be achieved</w:t>
            </w:r>
            <w:proofErr w:type="gramEnd"/>
            <w:r w:rsidRPr="006829A5">
              <w:rPr>
                <w:rFonts w:ascii="Calibri" w:hAnsi="Calibri" w:cs="Calibri"/>
                <w:sz w:val="22"/>
                <w:szCs w:val="22"/>
              </w:rPr>
              <w:t>. In certain instances, genetic information might be useful at prioritizing likely diagnoses for patients with similar early-disease-stage symptoms.</w:t>
            </w:r>
            <w:r w:rsidRPr="006829A5">
              <w:rPr>
                <w:rFonts w:ascii="Calibri" w:hAnsi="Calibri" w:cs="Calibri"/>
                <w:sz w:val="22"/>
                <w:szCs w:val="22"/>
                <w:vertAlign w:val="superscript"/>
              </w:rPr>
              <w:t>2,3</w:t>
            </w:r>
          </w:p>
          <w:p w:rsidR="00952FE6" w:rsidRPr="006829A5" w:rsidRDefault="00952FE6" w:rsidP="00952FE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52FE6" w:rsidRPr="006829A5" w:rsidRDefault="00952FE6" w:rsidP="00952FE6">
            <w:pPr>
              <w:rPr>
                <w:rFonts w:ascii="Calibri" w:hAnsi="Calibri" w:cs="Calibri"/>
                <w:sz w:val="22"/>
                <w:szCs w:val="22"/>
              </w:rPr>
            </w:pPr>
            <w:r w:rsidRPr="006829A5">
              <w:rPr>
                <w:rFonts w:ascii="Calibri" w:hAnsi="Calibri" w:cs="Calibri"/>
                <w:sz w:val="22"/>
                <w:szCs w:val="22"/>
              </w:rPr>
              <w:t xml:space="preserve">To explore the opportunities of genetics for disease differentiation, we used the rheumatology outpatient clinic as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 </w:t>
            </w:r>
            <w:r w:rsidRPr="006829A5">
              <w:rPr>
                <w:rFonts w:ascii="Calibri" w:hAnsi="Calibri" w:cs="Calibri"/>
                <w:sz w:val="22"/>
                <w:szCs w:val="22"/>
              </w:rPr>
              <w:t xml:space="preserve">example. </w:t>
            </w:r>
            <w:proofErr w:type="gramStart"/>
            <w:r w:rsidRPr="006829A5">
              <w:rPr>
                <w:rFonts w:ascii="Calibri" w:hAnsi="Calibri" w:cs="Calibri"/>
                <w:sz w:val="22"/>
                <w:szCs w:val="22"/>
              </w:rPr>
              <w:t>Here, the majority of the patients present with synovitis as the first symptom and early disease identification is crucial for optimal care.</w:t>
            </w:r>
            <w:r w:rsidRPr="006829A5">
              <w:rPr>
                <w:rFonts w:ascii="Calibri" w:hAnsi="Calibri" w:cs="Calibri"/>
                <w:sz w:val="22"/>
                <w:szCs w:val="22"/>
                <w:vertAlign w:val="superscript"/>
              </w:rPr>
              <w:t>4,5</w:t>
            </w:r>
            <w:r w:rsidRPr="006829A5">
              <w:rPr>
                <w:rFonts w:ascii="Calibri" w:hAnsi="Calibri" w:cs="Calibri"/>
                <w:sz w:val="22"/>
                <w:szCs w:val="22"/>
              </w:rPr>
              <w:t xml:space="preserve"> Rheumatoid arthritis (RA), systemic lupus erythematosus (SLE), </w:t>
            </w:r>
            <w:proofErr w:type="spellStart"/>
            <w:r w:rsidRPr="006829A5">
              <w:rPr>
                <w:rFonts w:ascii="Calibri" w:hAnsi="Calibri" w:cs="Calibri"/>
                <w:sz w:val="22"/>
                <w:szCs w:val="22"/>
              </w:rPr>
              <w:t>spondyl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6829A5">
              <w:rPr>
                <w:rFonts w:ascii="Calibri" w:hAnsi="Calibri" w:cs="Calibri"/>
                <w:sz w:val="22"/>
                <w:szCs w:val="22"/>
              </w:rPr>
              <w:t>arthropathy</w:t>
            </w:r>
            <w:proofErr w:type="spellEnd"/>
            <w:r w:rsidRPr="006829A5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6829A5">
              <w:rPr>
                <w:rFonts w:ascii="Calibri" w:hAnsi="Calibri" w:cs="Calibri"/>
                <w:sz w:val="22"/>
                <w:szCs w:val="22"/>
              </w:rPr>
              <w:t>SpA</w:t>
            </w:r>
            <w:proofErr w:type="spellEnd"/>
            <w:r w:rsidRPr="006829A5">
              <w:rPr>
                <w:rFonts w:ascii="Calibri" w:hAnsi="Calibri" w:cs="Calibri"/>
                <w:sz w:val="22"/>
                <w:szCs w:val="22"/>
              </w:rPr>
              <w:t>), psoriatic arthritis (</w:t>
            </w:r>
            <w:proofErr w:type="spellStart"/>
            <w:r w:rsidRPr="006829A5">
              <w:rPr>
                <w:rFonts w:ascii="Calibri" w:hAnsi="Calibri" w:cs="Calibri"/>
                <w:sz w:val="22"/>
                <w:szCs w:val="22"/>
              </w:rPr>
              <w:t>PsA</w:t>
            </w:r>
            <w:proofErr w:type="spellEnd"/>
            <w:r w:rsidRPr="006829A5">
              <w:rPr>
                <w:rFonts w:ascii="Calibri" w:hAnsi="Calibri" w:cs="Calibri"/>
                <w:sz w:val="22"/>
                <w:szCs w:val="22"/>
              </w:rPr>
              <w:t>), and gout are synovitis causing diseases that encompass approximately 80% of the cases in the outpatient rheumatology clinic.</w:t>
            </w:r>
            <w:r w:rsidRPr="006829A5">
              <w:rPr>
                <w:rFonts w:ascii="Calibri" w:hAnsi="Calibri" w:cs="Calibri"/>
                <w:sz w:val="22"/>
                <w:szCs w:val="22"/>
                <w:vertAlign w:val="superscript"/>
              </w:rPr>
              <w:t>6,7</w:t>
            </w:r>
            <w:r w:rsidRPr="006829A5">
              <w:rPr>
                <w:rFonts w:ascii="Calibri" w:hAnsi="Calibri" w:cs="Calibri"/>
                <w:sz w:val="22"/>
                <w:szCs w:val="22"/>
              </w:rPr>
              <w:t xml:space="preserve"> These rheumatic diseases are particularly promising since many genetic risk loci have been identified for these diseases</w:t>
            </w:r>
            <w:r w:rsidRPr="006829A5">
              <w:rPr>
                <w:rFonts w:ascii="Calibri" w:hAnsi="Calibri" w:cs="Calibri"/>
                <w:sz w:val="22"/>
                <w:szCs w:val="22"/>
                <w:vertAlign w:val="superscript"/>
              </w:rPr>
              <w:t>8</w:t>
            </w:r>
            <w:r w:rsidRPr="006829A5">
              <w:rPr>
                <w:rFonts w:ascii="Calibri" w:hAnsi="Calibri" w:cs="Calibri"/>
                <w:sz w:val="22"/>
                <w:szCs w:val="22"/>
              </w:rPr>
              <w:t>, making synovitis the ideal symptom to test our proof of principle.</w:t>
            </w:r>
            <w:proofErr w:type="gramEnd"/>
            <w:r w:rsidRPr="006829A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52FE6" w:rsidRPr="006829A5" w:rsidRDefault="00952FE6" w:rsidP="00952FE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52FE6" w:rsidRDefault="00952FE6" w:rsidP="00952FE6">
            <w:pPr>
              <w:rPr>
                <w:rFonts w:ascii="Calibri" w:hAnsi="Calibri" w:cs="Calibri"/>
                <w:sz w:val="22"/>
                <w:szCs w:val="22"/>
              </w:rPr>
            </w:pPr>
            <w:r w:rsidRPr="006829A5">
              <w:rPr>
                <w:rFonts w:ascii="Calibri" w:hAnsi="Calibri" w:cs="Calibri"/>
                <w:sz w:val="22"/>
                <w:szCs w:val="22"/>
              </w:rPr>
              <w:t xml:space="preserve">We developed a genetic probability score where each patient gets a probability for each of the included disease. When a probability is sufficiently high or </w:t>
            </w:r>
            <w:proofErr w:type="gramStart"/>
            <w:r w:rsidRPr="006829A5">
              <w:rPr>
                <w:rFonts w:ascii="Calibri" w:hAnsi="Calibri" w:cs="Calibri"/>
                <w:sz w:val="22"/>
                <w:szCs w:val="22"/>
              </w:rPr>
              <w:t>low</w:t>
            </w:r>
            <w:proofErr w:type="gramEnd"/>
            <w:r w:rsidRPr="006829A5">
              <w:rPr>
                <w:rFonts w:ascii="Calibri" w:hAnsi="Calibri" w:cs="Calibri"/>
                <w:sz w:val="22"/>
                <w:szCs w:val="22"/>
              </w:rPr>
              <w:t xml:space="preserve"> a clinician may prioritize diagnostic testing if it is consistent with clinical signs and symptoms.</w:t>
            </w:r>
          </w:p>
          <w:p w:rsidR="00952FE6" w:rsidRPr="00654E55" w:rsidRDefault="00952FE6" w:rsidP="00952FE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54E55">
              <w:rPr>
                <w:rFonts w:ascii="Calibri" w:hAnsi="Calibri" w:cs="Calibri"/>
                <w:b/>
                <w:sz w:val="22"/>
                <w:szCs w:val="22"/>
              </w:rPr>
              <w:t xml:space="preserve">This is a </w:t>
            </w:r>
            <w:r w:rsidRPr="00887E3A">
              <w:rPr>
                <w:rFonts w:cs="Arial"/>
                <w:b/>
                <w:sz w:val="22"/>
                <w:szCs w:val="22"/>
              </w:rPr>
              <w:t>proof of principle study testing the performance of genetics to discriminate patients with synovitis.</w:t>
            </w:r>
            <w:r w:rsidRPr="00654E55">
              <w:rPr>
                <w:rFonts w:cs="Arial"/>
                <w:b/>
              </w:rPr>
              <w:t xml:space="preserve"> 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Outline of Project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52FE6" w:rsidRPr="006829A5" w:rsidRDefault="00952FE6" w:rsidP="00952FE6">
            <w:pPr>
              <w:rPr>
                <w:rFonts w:ascii="Calibri" w:hAnsi="Calibri" w:cs="Calibri"/>
                <w:sz w:val="22"/>
                <w:szCs w:val="22"/>
              </w:rPr>
            </w:pPr>
            <w:r w:rsidRPr="006829A5">
              <w:rPr>
                <w:rFonts w:ascii="Calibri" w:hAnsi="Calibri" w:cs="Calibri"/>
                <w:sz w:val="22"/>
                <w:szCs w:val="22"/>
              </w:rPr>
              <w:t xml:space="preserve">The genetic probability score combines population-level genetic risk and a sex adjusted symptom-level disease risk. We first calculate the population-based probabilities from a weighted-GRS for each disease with a sex-adjusted disease risk. These GRSs are a summation of the number of risk alleles (both single nucleotide polymorphisms (SNPs) and HLA </w:t>
            </w:r>
            <w:proofErr w:type="gramStart"/>
            <w:r w:rsidRPr="006829A5">
              <w:rPr>
                <w:rFonts w:ascii="Calibri" w:hAnsi="Calibri" w:cs="Calibri"/>
                <w:sz w:val="22"/>
                <w:szCs w:val="22"/>
              </w:rPr>
              <w:t>amino-acids</w:t>
            </w:r>
            <w:proofErr w:type="gramEnd"/>
            <w:r w:rsidRPr="006829A5">
              <w:rPr>
                <w:rFonts w:ascii="Calibri" w:hAnsi="Calibri" w:cs="Calibri"/>
                <w:sz w:val="22"/>
                <w:szCs w:val="22"/>
              </w:rPr>
              <w:t xml:space="preserve"> or haplotypes) weighted by the disease susceptibility effect size. Finally, we calculate the within-case probability, by normalizing the population-based probabilities such that the maximum reaches 1 in each patient. </w:t>
            </w:r>
          </w:p>
          <w:p w:rsidR="00952FE6" w:rsidRPr="006829A5" w:rsidRDefault="00952FE6" w:rsidP="00952FE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52FE6" w:rsidRPr="006829A5" w:rsidRDefault="00952FE6" w:rsidP="00952FE6">
            <w:pPr>
              <w:rPr>
                <w:rFonts w:ascii="Calibri" w:hAnsi="Calibri" w:cs="Calibri"/>
                <w:sz w:val="22"/>
                <w:szCs w:val="22"/>
              </w:rPr>
            </w:pPr>
            <w:r w:rsidRPr="006829A5">
              <w:rPr>
                <w:rFonts w:ascii="Calibri" w:hAnsi="Calibri" w:cs="Calibri"/>
                <w:sz w:val="22"/>
                <w:szCs w:val="22"/>
              </w:rPr>
              <w:t>The performance of the genetic probability score will be tested in multiple phases:</w:t>
            </w:r>
          </w:p>
          <w:p w:rsidR="00952FE6" w:rsidRPr="006829A5" w:rsidRDefault="00952FE6" w:rsidP="00952F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29A5">
              <w:rPr>
                <w:rFonts w:ascii="Calibri" w:hAnsi="Calibri" w:cs="Calibri"/>
                <w:sz w:val="22"/>
                <w:szCs w:val="22"/>
              </w:rPr>
              <w:t>Simulation of 1 million people with genetic-based case selection (n= 49,151) to test theoretical framework</w:t>
            </w:r>
          </w:p>
          <w:p w:rsidR="00952FE6" w:rsidRPr="006829A5" w:rsidRDefault="00952FE6" w:rsidP="00952F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829A5">
              <w:rPr>
                <w:rFonts w:ascii="Calibri" w:hAnsi="Calibri" w:cs="Calibri"/>
                <w:sz w:val="22"/>
                <w:szCs w:val="22"/>
              </w:rPr>
              <w:t>Partners</w:t>
            </w:r>
            <w:proofErr w:type="gramEnd"/>
            <w:r w:rsidRPr="006829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Biobank</w:t>
            </w:r>
            <w:r w:rsidRPr="006829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(n=15,043</w:t>
            </w:r>
            <w:r w:rsidRPr="006829A5">
              <w:rPr>
                <w:rFonts w:ascii="Calibri" w:hAnsi="Calibri" w:cs="Calibri"/>
                <w:sz w:val="22"/>
                <w:szCs w:val="22"/>
              </w:rPr>
              <w:t xml:space="preserve">) with 245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clinical </w:t>
            </w:r>
            <w:r w:rsidRPr="006829A5">
              <w:rPr>
                <w:rFonts w:ascii="Calibri" w:hAnsi="Calibri" w:cs="Calibri"/>
                <w:sz w:val="22"/>
                <w:szCs w:val="22"/>
              </w:rPr>
              <w:t>disease cases identified through chart review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952FE6" w:rsidRPr="006829A5" w:rsidRDefault="00952FE6" w:rsidP="00952F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829A5">
              <w:rPr>
                <w:rFonts w:ascii="Calibri" w:hAnsi="Calibri" w:cs="Calibri"/>
                <w:sz w:val="22"/>
                <w:szCs w:val="22"/>
              </w:rPr>
              <w:t>eMERGE</w:t>
            </w:r>
            <w:proofErr w:type="gramEnd"/>
            <w:r w:rsidRPr="006829A5">
              <w:rPr>
                <w:rFonts w:ascii="Calibri" w:hAnsi="Calibri" w:cs="Calibri"/>
                <w:sz w:val="22"/>
                <w:szCs w:val="22"/>
              </w:rPr>
              <w:t xml:space="preserve"> patient data (n=83,717) with </w:t>
            </w:r>
            <w:r>
              <w:rPr>
                <w:rFonts w:ascii="Calibri" w:hAnsi="Calibri" w:cs="Calibri"/>
                <w:sz w:val="22"/>
                <w:szCs w:val="22"/>
              </w:rPr>
              <w:t>ICD based case identification.</w:t>
            </w:r>
          </w:p>
          <w:p w:rsidR="00952FE6" w:rsidRPr="006829A5" w:rsidRDefault="00952FE6" w:rsidP="00952F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 have finalized p</w:t>
            </w: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hase </w:t>
            </w:r>
            <w:proofErr w:type="gramStart"/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 and II</w:t>
            </w:r>
            <w:proofErr w:type="gramEnd"/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have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</w:t>
            </w: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which both </w:t>
            </w: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show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ed</w:t>
            </w: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 good discriminatory ability of G-</w:t>
            </w:r>
            <w:proofErr w:type="spellStart"/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Prob</w:t>
            </w:r>
            <w:proofErr w:type="spellEnd"/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6829A5">
              <w:rPr>
                <w:rFonts w:ascii="Calibri" w:hAnsi="Calibri" w:cs="Calibri"/>
                <w:sz w:val="22"/>
                <w:szCs w:val="22"/>
              </w:rPr>
              <w:t xml:space="preserve">AUC=0.84 in the simulated data and 0.81 on the clinical data. </w:t>
            </w:r>
          </w:p>
          <w:p w:rsidR="00952FE6" w:rsidRPr="006829A5" w:rsidRDefault="00952FE6" w:rsidP="00952FE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</w:t>
            </w:r>
            <w:r w:rsidRPr="006829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intend to</w:t>
            </w:r>
            <w:r w:rsidRPr="006829A5">
              <w:rPr>
                <w:rFonts w:ascii="Calibri" w:hAnsi="Calibri" w:cs="Calibri"/>
                <w:sz w:val="22"/>
                <w:szCs w:val="22"/>
              </w:rPr>
              <w:t xml:space="preserve"> use </w:t>
            </w:r>
            <w:proofErr w:type="gramStart"/>
            <w:r w:rsidRPr="006829A5">
              <w:rPr>
                <w:rFonts w:ascii="Calibri" w:hAnsi="Calibri" w:cs="Calibri"/>
                <w:sz w:val="22"/>
                <w:szCs w:val="22"/>
              </w:rPr>
              <w:t>the eMERGE</w:t>
            </w:r>
            <w:proofErr w:type="gramEnd"/>
            <w:r w:rsidRPr="006829A5">
              <w:rPr>
                <w:rFonts w:ascii="Calibri" w:hAnsi="Calibri" w:cs="Calibri"/>
                <w:sz w:val="22"/>
                <w:szCs w:val="22"/>
              </w:rPr>
              <w:t xml:space="preserve"> as final replication step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6829A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Variables </w:t>
            </w:r>
          </w:p>
          <w:p w:rsidR="0093273D" w:rsidRPr="0074111E" w:rsidRDefault="0093273D" w:rsidP="00CF0D06">
            <w:pPr>
              <w:rPr>
                <w:rFonts w:ascii="Calibri Light" w:hAnsi="Calibri Light"/>
                <w:i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(essential for analysis</w:t>
            </w:r>
          </w:p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 xml:space="preserve">indicated by </w:t>
            </w:r>
            <w:r w:rsidRPr="00F3610D">
              <w:rPr>
                <w:rFonts w:ascii="Calibri Light" w:hAnsi="Calibri Light"/>
                <w:b/>
                <w:i/>
                <w:sz w:val="22"/>
              </w:rPr>
              <w:t>*</w:t>
            </w:r>
            <w:r w:rsidRPr="0074111E">
              <w:rPr>
                <w:rFonts w:ascii="Calibri Light" w:hAnsi="Calibri Light"/>
                <w:i/>
                <w:sz w:val="22"/>
              </w:rPr>
              <w:t>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52FE6" w:rsidRPr="006829A5" w:rsidRDefault="00952FE6" w:rsidP="00952FE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ICD9 or 10 codes*</w:t>
            </w:r>
          </w:p>
          <w:p w:rsidR="00952FE6" w:rsidRPr="006829A5" w:rsidRDefault="00952FE6" w:rsidP="00952FE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Demographics: age and gender*</w:t>
            </w:r>
          </w:p>
          <w:p w:rsidR="0093273D" w:rsidRPr="008673B8" w:rsidRDefault="00952FE6" w:rsidP="00952F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Common Variable set</w:t>
            </w: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: autoantibody status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for</w:t>
            </w: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anti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CCP, ANA, rheumatoid factor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37251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Imputed genetic data</w:t>
            </w:r>
            <w:bookmarkStart w:id="0" w:name="_GoBack"/>
            <w:bookmarkEnd w:id="0"/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52FE6" w:rsidRPr="006829A5" w:rsidRDefault="00952FE6" w:rsidP="00952FE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Building the genetic probability score consist of a combination of</w:t>
            </w:r>
          </w:p>
          <w:p w:rsidR="00952FE6" w:rsidRPr="006829A5" w:rsidRDefault="00952FE6" w:rsidP="00952FE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Weighted genetic risk score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(GRS)</w:t>
            </w:r>
          </w:p>
          <w:p w:rsidR="00952FE6" w:rsidRPr="006829A5" w:rsidRDefault="00952FE6" w:rsidP="00952FE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Logistic regression</w:t>
            </w:r>
          </w:p>
          <w:p w:rsidR="00952FE6" w:rsidRPr="006829A5" w:rsidRDefault="00952FE6" w:rsidP="00952FE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29A5">
              <w:rPr>
                <w:rFonts w:ascii="Calibri" w:hAnsi="Calibri" w:cs="Calibri"/>
                <w:sz w:val="22"/>
                <w:szCs w:val="22"/>
              </w:rPr>
              <w:t xml:space="preserve">Newton-Raphson method to estimate the ideal intercept for the </w:t>
            </w:r>
          </w:p>
          <w:p w:rsidR="00952FE6" w:rsidRPr="006829A5" w:rsidRDefault="00952FE6" w:rsidP="00952FE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Testing the models performance:</w:t>
            </w:r>
          </w:p>
          <w:p w:rsidR="00952FE6" w:rsidRPr="006829A5" w:rsidRDefault="00952FE6" w:rsidP="00952FE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Repeated measure correlation (R package </w:t>
            </w:r>
            <w:proofErr w:type="spellStart"/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rmcorr</w:t>
            </w:r>
            <w:proofErr w:type="spellEnd"/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8</w:t>
            </w:r>
          </w:p>
          <w:p w:rsidR="00952FE6" w:rsidRPr="006829A5" w:rsidRDefault="00952FE6" w:rsidP="00952FE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6829A5">
              <w:rPr>
                <w:rFonts w:ascii="Calibri" w:hAnsi="Calibri" w:cs="Calibri"/>
                <w:sz w:val="22"/>
                <w:szCs w:val="22"/>
              </w:rPr>
              <w:t xml:space="preserve">Area Under the receiver operating Curve </w:t>
            </w: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(R package </w:t>
            </w:r>
            <w:proofErr w:type="spellStart"/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pROC</w:t>
            </w:r>
            <w:proofErr w:type="spellEnd"/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9,10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52FE6" w:rsidRPr="006829A5" w:rsidRDefault="00952FE6" w:rsidP="00952FE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There are no additional risks involved. The analyses </w:t>
            </w:r>
            <w:proofErr w:type="gramStart"/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will be performed</w:t>
            </w:r>
            <w:proofErr w:type="gramEnd"/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on de-identified data. The data will be stored at Dr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Raychaudhuri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’s</w:t>
            </w:r>
            <w:proofErr w:type="spellEnd"/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servers at Partners’ Health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Care</w:t>
            </w: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  <w:p w:rsidR="0093273D" w:rsidRPr="008673B8" w:rsidRDefault="00952FE6" w:rsidP="00952F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This study makes use of data that is already obtained from electronic health records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952FE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TBD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Milestones**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52FE6" w:rsidRPr="006829A5" w:rsidRDefault="00952FE6" w:rsidP="00952FE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June 2018: eMERGE case-selection + genetic probability score calculation</w:t>
            </w:r>
          </w:p>
          <w:p w:rsidR="0093273D" w:rsidRPr="008673B8" w:rsidRDefault="00952FE6" w:rsidP="00952F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829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July 2018: writing the manuscript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2142B6" w:rsidRDefault="00372517"/>
    <w:p w:rsidR="0093273D" w:rsidRDefault="0093273D" w:rsidP="0093273D">
      <w:pPr>
        <w:rPr>
          <w:rFonts w:asciiTheme="majorHAnsi" w:hAnsiTheme="majorHAnsi"/>
          <w:i/>
          <w:sz w:val="22"/>
        </w:rPr>
      </w:pPr>
      <w:r w:rsidRPr="0093273D">
        <w:rPr>
          <w:rFonts w:asciiTheme="majorHAnsi" w:hAnsiTheme="majorHAnsi"/>
          <w:b/>
          <w:i/>
          <w:sz w:val="22"/>
        </w:rPr>
        <w:t xml:space="preserve">** </w:t>
      </w:r>
      <w:r w:rsidRPr="0093273D">
        <w:rPr>
          <w:rFonts w:asciiTheme="majorHAnsi" w:hAnsiTheme="majorHAnsi"/>
          <w:i/>
          <w:sz w:val="22"/>
        </w:rPr>
        <w:t>This section</w:t>
      </w:r>
      <w:r>
        <w:rPr>
          <w:rFonts w:asciiTheme="majorHAnsi" w:hAnsiTheme="majorHAnsi"/>
          <w:i/>
          <w:sz w:val="22"/>
        </w:rPr>
        <w:t xml:space="preserve"> should include the t</w:t>
      </w:r>
      <w:r w:rsidRPr="0093273D">
        <w:rPr>
          <w:rFonts w:asciiTheme="majorHAnsi" w:hAnsiTheme="majorHAnsi"/>
          <w:i/>
          <w:sz w:val="22"/>
        </w:rPr>
        <w:t>im</w:t>
      </w:r>
      <w:r>
        <w:rPr>
          <w:rFonts w:asciiTheme="majorHAnsi" w:hAnsiTheme="majorHAnsi"/>
          <w:i/>
          <w:sz w:val="22"/>
        </w:rPr>
        <w:t xml:space="preserve">eline for completion of project, </w:t>
      </w:r>
      <w:proofErr w:type="gramStart"/>
      <w:r w:rsidRPr="0093273D">
        <w:rPr>
          <w:rFonts w:asciiTheme="majorHAnsi" w:hAnsiTheme="majorHAnsi"/>
          <w:i/>
          <w:sz w:val="22"/>
        </w:rPr>
        <w:t>including</w:t>
      </w:r>
      <w:r>
        <w:rPr>
          <w:rFonts w:asciiTheme="majorHAnsi" w:hAnsiTheme="majorHAnsi"/>
          <w:i/>
          <w:sz w:val="22"/>
        </w:rPr>
        <w:t>:</w:t>
      </w:r>
      <w:proofErr w:type="gramEnd"/>
      <w:r w:rsidRPr="0093273D">
        <w:rPr>
          <w:rFonts w:asciiTheme="majorHAnsi" w:hAnsiTheme="majorHAnsi"/>
          <w:i/>
          <w:sz w:val="22"/>
        </w:rPr>
        <w:t xml:space="preserve"> approval, project duration, first and second draft of the paper and submission.</w:t>
      </w:r>
    </w:p>
    <w:p w:rsidR="00952FE6" w:rsidRDefault="00952FE6" w:rsidP="0093273D">
      <w:pPr>
        <w:rPr>
          <w:rFonts w:asciiTheme="majorHAnsi" w:hAnsiTheme="majorHAnsi"/>
          <w:i/>
          <w:sz w:val="22"/>
        </w:rPr>
      </w:pPr>
    </w:p>
    <w:p w:rsidR="00952FE6" w:rsidRPr="006829A5" w:rsidRDefault="00952FE6" w:rsidP="00952FE6">
      <w:pPr>
        <w:rPr>
          <w:rFonts w:ascii="Calibri" w:hAnsi="Calibri" w:cs="Calibri"/>
          <w:sz w:val="22"/>
          <w:szCs w:val="22"/>
        </w:rPr>
      </w:pPr>
      <w:r w:rsidRPr="006829A5">
        <w:rPr>
          <w:rFonts w:ascii="Calibri" w:hAnsi="Calibri" w:cs="Calibri"/>
          <w:sz w:val="22"/>
          <w:szCs w:val="22"/>
        </w:rPr>
        <w:t>References:</w:t>
      </w:r>
    </w:p>
    <w:p w:rsidR="00952FE6" w:rsidRPr="006829A5" w:rsidRDefault="00952FE6" w:rsidP="00952FE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829A5">
        <w:rPr>
          <w:rFonts w:ascii="Calibri" w:hAnsi="Calibri" w:cs="Calibri"/>
          <w:sz w:val="22"/>
          <w:szCs w:val="22"/>
        </w:rPr>
        <w:t>Evans, J. P., et al. (2017). "Introducing “Genomics and Precision Health”." JAMA 317(18): 1904-1905.</w:t>
      </w:r>
    </w:p>
    <w:p w:rsidR="00952FE6" w:rsidRPr="006829A5" w:rsidRDefault="00372517" w:rsidP="00952FE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hyperlink r:id="rId7" w:history="1">
        <w:r w:rsidR="00952FE6" w:rsidRPr="006829A5">
          <w:rPr>
            <w:rStyle w:val="Hyperlink"/>
            <w:rFonts w:ascii="Calibri" w:hAnsi="Calibri" w:cs="Calibri"/>
            <w:sz w:val="22"/>
            <w:szCs w:val="22"/>
          </w:rPr>
          <w:t>https://ignite-genomics.org/about-ignite/</w:t>
        </w:r>
      </w:hyperlink>
      <w:r w:rsidR="00952FE6" w:rsidRPr="006829A5">
        <w:rPr>
          <w:rFonts w:ascii="Calibri" w:hAnsi="Calibri" w:cs="Calibri"/>
          <w:color w:val="141413"/>
          <w:sz w:val="22"/>
          <w:szCs w:val="22"/>
        </w:rPr>
        <w:t xml:space="preserve"> </w:t>
      </w:r>
    </w:p>
    <w:p w:rsidR="00952FE6" w:rsidRPr="006829A5" w:rsidRDefault="00952FE6" w:rsidP="00952FE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829A5">
        <w:rPr>
          <w:rFonts w:ascii="Calibri" w:hAnsi="Calibri" w:cs="Calibri"/>
          <w:sz w:val="22"/>
          <w:szCs w:val="22"/>
        </w:rPr>
        <w:t>JAMA Insights: Genomics and Precision Health series + B.M.</w:t>
      </w:r>
      <w:proofErr w:type="gramStart"/>
      <w:r w:rsidRPr="006829A5">
        <w:rPr>
          <w:rFonts w:ascii="Calibri" w:hAnsi="Calibri" w:cs="Calibri"/>
          <w:sz w:val="22"/>
          <w:szCs w:val="22"/>
        </w:rPr>
        <w:t>, ,</w:t>
      </w:r>
      <w:proofErr w:type="gramEnd"/>
      <w:r w:rsidRPr="006829A5">
        <w:rPr>
          <w:rFonts w:ascii="Calibri" w:hAnsi="Calibri" w:cs="Calibri"/>
          <w:sz w:val="22"/>
          <w:szCs w:val="22"/>
        </w:rPr>
        <w:t xml:space="preserve"> Kuehn. (2017). "Pilot Programs Seek to Integrate Genomic Data Into Practice." JAMA 318(5): 410-412.</w:t>
      </w:r>
    </w:p>
    <w:p w:rsidR="00952FE6" w:rsidRPr="006829A5" w:rsidRDefault="00952FE6" w:rsidP="00952FE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proofErr w:type="spellStart"/>
      <w:r w:rsidRPr="006829A5">
        <w:rPr>
          <w:rFonts w:ascii="Calibri" w:hAnsi="Calibri" w:cs="Calibri"/>
          <w:sz w:val="22"/>
          <w:szCs w:val="22"/>
        </w:rPr>
        <w:t>Combe</w:t>
      </w:r>
      <w:proofErr w:type="spellEnd"/>
      <w:r w:rsidRPr="006829A5">
        <w:rPr>
          <w:rFonts w:ascii="Calibri" w:hAnsi="Calibri" w:cs="Calibri"/>
          <w:sz w:val="22"/>
          <w:szCs w:val="22"/>
        </w:rPr>
        <w:t>, B., et al. (2016). "2016 update of the EULAR recommendations for the management of early arthritis." Ann Rheum Dis 0: 1–12.</w:t>
      </w:r>
    </w:p>
    <w:p w:rsidR="00952FE6" w:rsidRPr="006829A5" w:rsidRDefault="00952FE6" w:rsidP="00952FE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829A5">
        <w:rPr>
          <w:rFonts w:ascii="Calibri" w:hAnsi="Calibri" w:cs="Calibri"/>
          <w:sz w:val="22"/>
          <w:szCs w:val="22"/>
        </w:rPr>
        <w:t xml:space="preserve">EULAR early arthritis, </w:t>
      </w:r>
      <w:proofErr w:type="spellStart"/>
      <w:r w:rsidRPr="006829A5">
        <w:rPr>
          <w:rFonts w:ascii="Calibri" w:hAnsi="Calibri" w:cs="Calibri"/>
          <w:sz w:val="22"/>
          <w:szCs w:val="22"/>
        </w:rPr>
        <w:t>vdHelm</w:t>
      </w:r>
      <w:proofErr w:type="spellEnd"/>
      <w:r w:rsidRPr="006829A5">
        <w:rPr>
          <w:rFonts w:ascii="Calibri" w:hAnsi="Calibri" w:cs="Calibri"/>
          <w:sz w:val="22"/>
          <w:szCs w:val="22"/>
        </w:rPr>
        <w:t xml:space="preserve"> and Karim Raza</w:t>
      </w:r>
    </w:p>
    <w:p w:rsidR="00952FE6" w:rsidRPr="006829A5" w:rsidRDefault="00952FE6" w:rsidP="00952FE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829A5">
        <w:rPr>
          <w:rFonts w:ascii="Calibri" w:hAnsi="Calibri" w:cs="Calibri"/>
          <w:sz w:val="22"/>
          <w:szCs w:val="22"/>
        </w:rPr>
        <w:t xml:space="preserve">Zink A, Listing J, </w:t>
      </w:r>
      <w:proofErr w:type="spellStart"/>
      <w:r w:rsidRPr="006829A5">
        <w:rPr>
          <w:rFonts w:ascii="Calibri" w:hAnsi="Calibri" w:cs="Calibri"/>
          <w:sz w:val="22"/>
          <w:szCs w:val="22"/>
        </w:rPr>
        <w:t>Klindworth</w:t>
      </w:r>
      <w:proofErr w:type="spellEnd"/>
      <w:r w:rsidRPr="006829A5">
        <w:rPr>
          <w:rFonts w:ascii="Calibri" w:hAnsi="Calibri" w:cs="Calibri"/>
          <w:sz w:val="22"/>
          <w:szCs w:val="22"/>
        </w:rPr>
        <w:t xml:space="preserve"> C, </w:t>
      </w:r>
      <w:proofErr w:type="spellStart"/>
      <w:r w:rsidRPr="006829A5">
        <w:rPr>
          <w:rFonts w:ascii="Calibri" w:hAnsi="Calibri" w:cs="Calibri"/>
          <w:sz w:val="22"/>
          <w:szCs w:val="22"/>
        </w:rPr>
        <w:t>Zeidler</w:t>
      </w:r>
      <w:proofErr w:type="spellEnd"/>
      <w:r w:rsidRPr="006829A5">
        <w:rPr>
          <w:rFonts w:ascii="Calibri" w:hAnsi="Calibri" w:cs="Calibri"/>
          <w:sz w:val="22"/>
          <w:szCs w:val="22"/>
        </w:rPr>
        <w:t xml:space="preserve"> H. The national database of the German Collaborative Arthritis </w:t>
      </w:r>
      <w:proofErr w:type="spellStart"/>
      <w:r w:rsidRPr="006829A5">
        <w:rPr>
          <w:rFonts w:ascii="Calibri" w:hAnsi="Calibri" w:cs="Calibri"/>
          <w:sz w:val="22"/>
          <w:szCs w:val="22"/>
        </w:rPr>
        <w:t>Centres</w:t>
      </w:r>
      <w:proofErr w:type="spellEnd"/>
      <w:r w:rsidRPr="006829A5">
        <w:rPr>
          <w:rFonts w:ascii="Calibri" w:hAnsi="Calibri" w:cs="Calibri"/>
          <w:sz w:val="22"/>
          <w:szCs w:val="22"/>
        </w:rPr>
        <w:t xml:space="preserve">: I. Structure, aims and patients. Ann Rheum Dis 2001; 60(3): 199-206. </w:t>
      </w:r>
      <w:proofErr w:type="spellStart"/>
      <w:r w:rsidRPr="006829A5">
        <w:rPr>
          <w:rFonts w:ascii="Calibri" w:hAnsi="Calibri" w:cs="Calibri"/>
          <w:sz w:val="22"/>
          <w:szCs w:val="22"/>
        </w:rPr>
        <w:t>doi</w:t>
      </w:r>
      <w:proofErr w:type="spellEnd"/>
      <w:r w:rsidRPr="006829A5">
        <w:rPr>
          <w:rFonts w:ascii="Calibri" w:hAnsi="Calibri" w:cs="Calibri"/>
          <w:sz w:val="22"/>
          <w:szCs w:val="22"/>
        </w:rPr>
        <w:t xml:space="preserve">: 10.1136/ard.60.3.199 </w:t>
      </w:r>
    </w:p>
    <w:p w:rsidR="00952FE6" w:rsidRPr="006829A5" w:rsidRDefault="00952FE6" w:rsidP="00952FE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proofErr w:type="spellStart"/>
      <w:r w:rsidRPr="006829A5">
        <w:rPr>
          <w:rFonts w:ascii="Calibri" w:hAnsi="Calibri" w:cs="Calibri"/>
          <w:sz w:val="22"/>
          <w:szCs w:val="22"/>
        </w:rPr>
        <w:t>Miedema</w:t>
      </w:r>
      <w:proofErr w:type="spellEnd"/>
      <w:r w:rsidRPr="006829A5">
        <w:rPr>
          <w:rFonts w:ascii="Calibri" w:hAnsi="Calibri" w:cs="Calibri"/>
          <w:sz w:val="22"/>
          <w:szCs w:val="22"/>
        </w:rPr>
        <w:t xml:space="preserve"> HS, van der Linden SM, </w:t>
      </w:r>
      <w:proofErr w:type="spellStart"/>
      <w:r w:rsidRPr="006829A5">
        <w:rPr>
          <w:rFonts w:ascii="Calibri" w:hAnsi="Calibri" w:cs="Calibri"/>
          <w:sz w:val="22"/>
          <w:szCs w:val="22"/>
        </w:rPr>
        <w:t>Rasker</w:t>
      </w:r>
      <w:proofErr w:type="spellEnd"/>
      <w:r w:rsidRPr="006829A5">
        <w:rPr>
          <w:rFonts w:ascii="Calibri" w:hAnsi="Calibri" w:cs="Calibri"/>
          <w:sz w:val="22"/>
          <w:szCs w:val="22"/>
        </w:rPr>
        <w:t xml:space="preserve"> JJ, </w:t>
      </w:r>
      <w:proofErr w:type="spellStart"/>
      <w:r w:rsidRPr="006829A5">
        <w:rPr>
          <w:rFonts w:ascii="Calibri" w:hAnsi="Calibri" w:cs="Calibri"/>
          <w:sz w:val="22"/>
          <w:szCs w:val="22"/>
        </w:rPr>
        <w:t>Valkenburg</w:t>
      </w:r>
      <w:proofErr w:type="spellEnd"/>
      <w:r w:rsidRPr="006829A5">
        <w:rPr>
          <w:rFonts w:ascii="Calibri" w:hAnsi="Calibri" w:cs="Calibri"/>
          <w:sz w:val="22"/>
          <w:szCs w:val="22"/>
        </w:rPr>
        <w:t xml:space="preserve"> HA. National database of patients visiting rheumatologists in the Netherlands: the standard diagnosis register of rheumatic diseases. A report and preliminary analysis. Br J </w:t>
      </w:r>
      <w:proofErr w:type="spellStart"/>
      <w:r w:rsidRPr="006829A5">
        <w:rPr>
          <w:rFonts w:ascii="Calibri" w:hAnsi="Calibri" w:cs="Calibri"/>
          <w:sz w:val="22"/>
          <w:szCs w:val="22"/>
        </w:rPr>
        <w:t>Rheumatol</w:t>
      </w:r>
      <w:proofErr w:type="spellEnd"/>
      <w:r w:rsidRPr="006829A5">
        <w:rPr>
          <w:rFonts w:ascii="Calibri" w:hAnsi="Calibri" w:cs="Calibri"/>
          <w:sz w:val="22"/>
          <w:szCs w:val="22"/>
        </w:rPr>
        <w:t xml:space="preserve"> 1998</w:t>
      </w:r>
      <w:proofErr w:type="gramStart"/>
      <w:r w:rsidRPr="006829A5">
        <w:rPr>
          <w:rFonts w:ascii="Calibri" w:hAnsi="Calibri" w:cs="Calibri"/>
          <w:sz w:val="22"/>
          <w:szCs w:val="22"/>
        </w:rPr>
        <w:t>;</w:t>
      </w:r>
      <w:proofErr w:type="gramEnd"/>
      <w:r w:rsidRPr="006829A5">
        <w:rPr>
          <w:rFonts w:ascii="Calibri" w:hAnsi="Calibri" w:cs="Calibri"/>
          <w:sz w:val="22"/>
          <w:szCs w:val="22"/>
        </w:rPr>
        <w:t xml:space="preserve"> 37(5): 555-61. </w:t>
      </w:r>
      <w:proofErr w:type="spellStart"/>
      <w:proofErr w:type="gramStart"/>
      <w:r w:rsidRPr="006829A5">
        <w:rPr>
          <w:rFonts w:ascii="Calibri" w:hAnsi="Calibri" w:cs="Calibri"/>
          <w:sz w:val="22"/>
          <w:szCs w:val="22"/>
        </w:rPr>
        <w:t>doi</w:t>
      </w:r>
      <w:proofErr w:type="spellEnd"/>
      <w:proofErr w:type="gramEnd"/>
      <w:r w:rsidRPr="006829A5">
        <w:rPr>
          <w:rFonts w:ascii="Calibri" w:hAnsi="Calibri" w:cs="Calibri"/>
          <w:sz w:val="22"/>
          <w:szCs w:val="22"/>
        </w:rPr>
        <w:t>: 10.1093/rheumatology/37.5.555.</w:t>
      </w:r>
    </w:p>
    <w:p w:rsidR="00952FE6" w:rsidRPr="006829A5" w:rsidRDefault="00952FE6" w:rsidP="00952FE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829A5">
        <w:rPr>
          <w:rFonts w:ascii="Calibri" w:eastAsiaTheme="minorHAnsi" w:hAnsi="Calibri" w:cs="Calibri"/>
          <w:sz w:val="22"/>
          <w:szCs w:val="22"/>
        </w:rPr>
        <w:t xml:space="preserve">Robin X, </w:t>
      </w:r>
      <w:proofErr w:type="spellStart"/>
      <w:r w:rsidRPr="006829A5">
        <w:rPr>
          <w:rFonts w:ascii="Calibri" w:eastAsiaTheme="minorHAnsi" w:hAnsi="Calibri" w:cs="Calibri"/>
          <w:sz w:val="22"/>
          <w:szCs w:val="22"/>
        </w:rPr>
        <w:t>Turck</w:t>
      </w:r>
      <w:proofErr w:type="spellEnd"/>
      <w:r w:rsidRPr="006829A5">
        <w:rPr>
          <w:rFonts w:ascii="Calibri" w:eastAsiaTheme="minorHAnsi" w:hAnsi="Calibri" w:cs="Calibri"/>
          <w:sz w:val="22"/>
          <w:szCs w:val="22"/>
        </w:rPr>
        <w:t xml:space="preserve"> N, </w:t>
      </w:r>
      <w:proofErr w:type="spellStart"/>
      <w:r w:rsidRPr="006829A5">
        <w:rPr>
          <w:rFonts w:ascii="Calibri" w:eastAsiaTheme="minorHAnsi" w:hAnsi="Calibri" w:cs="Calibri"/>
          <w:sz w:val="22"/>
          <w:szCs w:val="22"/>
        </w:rPr>
        <w:t>Hainard</w:t>
      </w:r>
      <w:proofErr w:type="spellEnd"/>
      <w:r w:rsidRPr="006829A5">
        <w:rPr>
          <w:rFonts w:ascii="Calibri" w:eastAsiaTheme="minorHAnsi" w:hAnsi="Calibri" w:cs="Calibri"/>
          <w:sz w:val="22"/>
          <w:szCs w:val="22"/>
        </w:rPr>
        <w:t xml:space="preserve"> A, </w:t>
      </w:r>
      <w:proofErr w:type="spellStart"/>
      <w:r w:rsidRPr="006829A5">
        <w:rPr>
          <w:rFonts w:ascii="Calibri" w:eastAsiaTheme="minorHAnsi" w:hAnsi="Calibri" w:cs="Calibri"/>
          <w:sz w:val="22"/>
          <w:szCs w:val="22"/>
        </w:rPr>
        <w:t>Tiberti</w:t>
      </w:r>
      <w:proofErr w:type="spellEnd"/>
      <w:r w:rsidRPr="006829A5">
        <w:rPr>
          <w:rFonts w:ascii="Calibri" w:eastAsiaTheme="minorHAnsi" w:hAnsi="Calibri" w:cs="Calibri"/>
          <w:sz w:val="22"/>
          <w:szCs w:val="22"/>
        </w:rPr>
        <w:t xml:space="preserve"> N, </w:t>
      </w:r>
      <w:proofErr w:type="spellStart"/>
      <w:proofErr w:type="gramStart"/>
      <w:r w:rsidRPr="006829A5">
        <w:rPr>
          <w:rFonts w:ascii="Calibri" w:eastAsiaTheme="minorHAnsi" w:hAnsi="Calibri" w:cs="Calibri"/>
          <w:sz w:val="22"/>
          <w:szCs w:val="22"/>
        </w:rPr>
        <w:t>Lisacek</w:t>
      </w:r>
      <w:proofErr w:type="spellEnd"/>
      <w:proofErr w:type="gramEnd"/>
      <w:r w:rsidRPr="006829A5">
        <w:rPr>
          <w:rFonts w:ascii="Calibri" w:eastAsiaTheme="minorHAnsi" w:hAnsi="Calibri" w:cs="Calibri"/>
          <w:sz w:val="22"/>
          <w:szCs w:val="22"/>
        </w:rPr>
        <w:t xml:space="preserve"> F, et al. (2011) </w:t>
      </w:r>
      <w:proofErr w:type="spellStart"/>
      <w:r w:rsidRPr="006829A5">
        <w:rPr>
          <w:rFonts w:ascii="Calibri" w:eastAsiaTheme="minorHAnsi" w:hAnsi="Calibri" w:cs="Calibri"/>
          <w:sz w:val="22"/>
          <w:szCs w:val="22"/>
        </w:rPr>
        <w:t>pROC</w:t>
      </w:r>
      <w:proofErr w:type="spellEnd"/>
      <w:r w:rsidRPr="006829A5">
        <w:rPr>
          <w:rFonts w:ascii="Calibri" w:eastAsiaTheme="minorHAnsi" w:hAnsi="Calibri" w:cs="Calibri"/>
          <w:sz w:val="22"/>
          <w:szCs w:val="22"/>
        </w:rPr>
        <w:t>: an open-source package for R and S+ to analyze and compare ROC curves. BMC Bioinformatics 12: 77.</w:t>
      </w:r>
    </w:p>
    <w:p w:rsidR="00952FE6" w:rsidRPr="006829A5" w:rsidRDefault="00952FE6" w:rsidP="00952FE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829A5">
        <w:rPr>
          <w:rFonts w:ascii="Calibri" w:eastAsiaTheme="minorHAnsi" w:hAnsi="Calibri" w:cs="Calibri"/>
          <w:sz w:val="22"/>
          <w:szCs w:val="22"/>
        </w:rPr>
        <w:t>Metz CE (1978) Basic principles of ROC analysis. Seminars in Nuclear Medicine 8: 283–298.</w:t>
      </w:r>
      <w:r w:rsidRPr="006829A5">
        <w:rPr>
          <w:rFonts w:ascii="Calibri" w:hAnsi="Calibri" w:cs="Calibri"/>
          <w:i/>
          <w:sz w:val="22"/>
          <w:szCs w:val="22"/>
        </w:rPr>
        <w:t xml:space="preserve">], </w:t>
      </w:r>
    </w:p>
    <w:p w:rsidR="00952FE6" w:rsidRPr="006829A5" w:rsidRDefault="00952FE6" w:rsidP="00952FE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829A5">
        <w:rPr>
          <w:rFonts w:ascii="Calibri" w:eastAsiaTheme="minorHAnsi" w:hAnsi="Calibri" w:cs="Calibri"/>
          <w:sz w:val="22"/>
          <w:szCs w:val="22"/>
        </w:rPr>
        <w:t xml:space="preserve">Lu Q, </w:t>
      </w:r>
      <w:proofErr w:type="spellStart"/>
      <w:r w:rsidRPr="006829A5">
        <w:rPr>
          <w:rFonts w:ascii="Calibri" w:eastAsiaTheme="minorHAnsi" w:hAnsi="Calibri" w:cs="Calibri"/>
          <w:sz w:val="22"/>
          <w:szCs w:val="22"/>
        </w:rPr>
        <w:t>Elston</w:t>
      </w:r>
      <w:proofErr w:type="spellEnd"/>
      <w:r w:rsidRPr="006829A5">
        <w:rPr>
          <w:rFonts w:ascii="Calibri" w:eastAsiaTheme="minorHAnsi" w:hAnsi="Calibri" w:cs="Calibri"/>
          <w:sz w:val="22"/>
          <w:szCs w:val="22"/>
        </w:rPr>
        <w:t xml:space="preserve"> RC (2008) Using the optimal receiver operating characteristic curve to design a predictive genetic test, exemplified with type </w:t>
      </w:r>
      <w:proofErr w:type="gramStart"/>
      <w:r w:rsidRPr="006829A5">
        <w:rPr>
          <w:rFonts w:ascii="Calibri" w:eastAsiaTheme="minorHAnsi" w:hAnsi="Calibri" w:cs="Calibri"/>
          <w:sz w:val="22"/>
          <w:szCs w:val="22"/>
        </w:rPr>
        <w:t>2</w:t>
      </w:r>
      <w:proofErr w:type="gramEnd"/>
      <w:r w:rsidRPr="006829A5">
        <w:rPr>
          <w:rFonts w:ascii="Calibri" w:eastAsiaTheme="minorHAnsi" w:hAnsi="Calibri" w:cs="Calibri"/>
          <w:sz w:val="22"/>
          <w:szCs w:val="22"/>
        </w:rPr>
        <w:t xml:space="preserve"> diabetes. Am J Hum Genet 82: 641–651</w:t>
      </w:r>
    </w:p>
    <w:p w:rsidR="00952FE6" w:rsidRPr="0093273D" w:rsidRDefault="00952FE6" w:rsidP="0093273D">
      <w:pPr>
        <w:rPr>
          <w:rFonts w:asciiTheme="majorHAnsi" w:hAnsiTheme="majorHAnsi"/>
          <w:i/>
          <w:sz w:val="22"/>
        </w:rPr>
      </w:pPr>
    </w:p>
    <w:sectPr w:rsidR="00952FE6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3D" w:rsidRDefault="0093273D" w:rsidP="0093273D">
      <w:r>
        <w:separator/>
      </w:r>
    </w:p>
  </w:endnote>
  <w:endnote w:type="continuationSeparator" w:id="0">
    <w:p w:rsidR="0093273D" w:rsidRDefault="0093273D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372517">
          <w:rPr>
            <w:rFonts w:asciiTheme="majorHAnsi" w:hAnsiTheme="majorHAnsi"/>
            <w:noProof/>
            <w:sz w:val="22"/>
          </w:rPr>
          <w:t>3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3D" w:rsidRDefault="0093273D" w:rsidP="0093273D">
      <w:r>
        <w:separator/>
      </w:r>
    </w:p>
  </w:footnote>
  <w:footnote w:type="continuationSeparator" w:id="0">
    <w:p w:rsidR="0093273D" w:rsidRDefault="0093273D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73D" w:rsidRDefault="0093273D">
    <w:pPr>
      <w:pStyle w:val="Header"/>
    </w:pPr>
    <w:r>
      <w:rPr>
        <w:noProof/>
      </w:rPr>
      <w:drawing>
        <wp:inline distT="0" distB="0" distL="0" distR="0">
          <wp:extent cx="1454263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D14"/>
    <w:multiLevelType w:val="hybridMultilevel"/>
    <w:tmpl w:val="01F45CEC"/>
    <w:lvl w:ilvl="0" w:tplc="6DD0384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0D86"/>
    <w:multiLevelType w:val="hybridMultilevel"/>
    <w:tmpl w:val="AF3C1498"/>
    <w:lvl w:ilvl="0" w:tplc="6700ED2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12AF0"/>
    <w:multiLevelType w:val="hybridMultilevel"/>
    <w:tmpl w:val="18026B5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D"/>
    <w:rsid w:val="00372517"/>
    <w:rsid w:val="007F3F81"/>
    <w:rsid w:val="008673B8"/>
    <w:rsid w:val="00900D3C"/>
    <w:rsid w:val="0093273D"/>
    <w:rsid w:val="00952FE6"/>
    <w:rsid w:val="00A674F0"/>
    <w:rsid w:val="00A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93476C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2F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gnite-genomics.org/about-ign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City, Brittany</cp:lastModifiedBy>
  <cp:revision>3</cp:revision>
  <dcterms:created xsi:type="dcterms:W3CDTF">2018-05-10T13:30:00Z</dcterms:created>
  <dcterms:modified xsi:type="dcterms:W3CDTF">2018-05-10T17:32:00Z</dcterms:modified>
</cp:coreProperties>
</file>