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10235B61"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 xml:space="preserve">eMERGE Network: </w:t>
            </w:r>
            <w:r w:rsidR="008C2527">
              <w:rPr>
                <w:rFonts w:asciiTheme="majorHAnsi" w:hAnsiTheme="majorHAnsi"/>
                <w:b/>
                <w:color w:val="FFFFFF" w:themeColor="background1"/>
                <w:sz w:val="28"/>
                <w:szCs w:val="28"/>
                <w:u w:val="single"/>
              </w:rPr>
              <w:t>External Collaborator</w:t>
            </w:r>
            <w:r w:rsidR="008C2527" w:rsidRPr="0007246C">
              <w:rPr>
                <w:rFonts w:asciiTheme="majorHAnsi" w:hAnsiTheme="majorHAnsi"/>
                <w:b/>
                <w:color w:val="FFFFFF" w:themeColor="background1"/>
                <w:sz w:val="28"/>
                <w:szCs w:val="28"/>
              </w:rPr>
              <w:t xml:space="preserve"> </w:t>
            </w:r>
            <w:r w:rsidRPr="00A726E3">
              <w:rPr>
                <w:rFonts w:asciiTheme="majorHAnsi" w:hAnsiTheme="majorHAnsi"/>
                <w:b/>
                <w:color w:val="FFFFFF" w:themeColor="background1"/>
                <w:sz w:val="28"/>
                <w:szCs w:val="28"/>
              </w:rPr>
              <w:t>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51D757A2" w:rsidR="0093273D" w:rsidRPr="00CE3EB3" w:rsidRDefault="00CE3EB3" w:rsidP="00CF0D06">
            <w:pPr>
              <w:rPr>
                <w:rFonts w:ascii="Helvetica" w:hAnsi="Helvetica" w:cs="Helvetica"/>
                <w:sz w:val="22"/>
                <w:szCs w:val="22"/>
              </w:rPr>
            </w:pPr>
            <w:r w:rsidRPr="00CE3EB3">
              <w:rPr>
                <w:rFonts w:ascii="Helvetica" w:hAnsi="Helvetica" w:cs="Helvetica"/>
                <w:sz w:val="22"/>
                <w:szCs w:val="22"/>
              </w:rPr>
              <w:t>NT298</w:t>
            </w:r>
          </w:p>
        </w:tc>
      </w:tr>
      <w:tr w:rsidR="00556C9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556C9D" w:rsidRPr="0074111E" w:rsidRDefault="00556C9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78CACE53" w:rsidR="00556C9D" w:rsidRPr="008673B8" w:rsidRDefault="00CE3EB3" w:rsidP="00CF0D06">
            <w:pPr>
              <w:rPr>
                <w:rFonts w:asciiTheme="majorHAnsi" w:hAnsiTheme="majorHAnsi" w:cstheme="majorHAnsi"/>
                <w:sz w:val="22"/>
                <w:szCs w:val="22"/>
              </w:rPr>
            </w:pPr>
            <w:r>
              <w:rPr>
                <w:rFonts w:ascii="Helvetica" w:hAnsi="Helvetica"/>
              </w:rPr>
              <w:t>7/23/</w:t>
            </w:r>
            <w:r w:rsidR="00556C9D" w:rsidRPr="00BB5340">
              <w:rPr>
                <w:rFonts w:ascii="Helvetica" w:hAnsi="Helvetica"/>
              </w:rPr>
              <w:t>2018</w:t>
            </w:r>
          </w:p>
        </w:tc>
      </w:tr>
      <w:tr w:rsidR="00556C9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556C9D" w:rsidRPr="0074111E" w:rsidRDefault="00556C9D" w:rsidP="00CF0D06">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7E3C127" w14:textId="77777777" w:rsidR="00556C9D" w:rsidRPr="00BB5340" w:rsidRDefault="00556C9D" w:rsidP="00EB7208">
            <w:pPr>
              <w:spacing w:line="276" w:lineRule="auto"/>
              <w:rPr>
                <w:rFonts w:ascii="Helvetica" w:hAnsi="Helvetica"/>
              </w:rPr>
            </w:pPr>
            <w:r>
              <w:rPr>
                <w:rFonts w:ascii="Helvetica" w:hAnsi="Helvetica"/>
              </w:rPr>
              <w:t>Association between variants in FBN1 and human height</w:t>
            </w:r>
          </w:p>
          <w:p w14:paraId="391AC091" w14:textId="77777777" w:rsidR="00556C9D" w:rsidRPr="008673B8" w:rsidRDefault="00556C9D" w:rsidP="00CF0D06">
            <w:pPr>
              <w:rPr>
                <w:rFonts w:asciiTheme="majorHAnsi" w:hAnsiTheme="majorHAnsi" w:cstheme="majorHAnsi"/>
                <w:sz w:val="22"/>
                <w:szCs w:val="22"/>
              </w:rPr>
            </w:pPr>
          </w:p>
        </w:tc>
      </w:tr>
      <w:tr w:rsidR="00556C9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556C9D" w:rsidRPr="0074111E" w:rsidRDefault="00556C9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0B54B3DF" w:rsidR="00556C9D" w:rsidRPr="008673B8" w:rsidRDefault="00556C9D" w:rsidP="00CF0D06">
            <w:pPr>
              <w:rPr>
                <w:rFonts w:asciiTheme="majorHAnsi" w:hAnsiTheme="majorHAnsi" w:cstheme="majorHAnsi"/>
                <w:sz w:val="22"/>
                <w:szCs w:val="22"/>
              </w:rPr>
            </w:pPr>
            <w:r w:rsidRPr="00BB5340">
              <w:rPr>
                <w:rFonts w:ascii="Helvetica" w:hAnsi="Helvetica"/>
              </w:rPr>
              <w:t>S. A</w:t>
            </w:r>
            <w:bookmarkStart w:id="0" w:name="_GoBack"/>
            <w:bookmarkEnd w:id="0"/>
            <w:r w:rsidRPr="00BB5340">
              <w:rPr>
                <w:rFonts w:ascii="Helvetica" w:hAnsi="Helvetica"/>
              </w:rPr>
              <w:t>sgari</w:t>
            </w:r>
            <w:r w:rsidR="00CE3EB3">
              <w:rPr>
                <w:rFonts w:ascii="Helvetica" w:hAnsi="Helvetica"/>
              </w:rPr>
              <w:t xml:space="preserve"> (</w:t>
            </w:r>
            <w:hyperlink r:id="rId7" w:history="1">
              <w:r w:rsidR="00CE3EB3" w:rsidRPr="005029C5">
                <w:rPr>
                  <w:rStyle w:val="Hyperlink"/>
                  <w:rFonts w:ascii="Helvetica" w:hAnsi="Helvetica"/>
                </w:rPr>
                <w:t>sasgari@broadinstitute.org</w:t>
              </w:r>
            </w:hyperlink>
            <w:r w:rsidR="00CE3EB3">
              <w:rPr>
                <w:rFonts w:ascii="Helvetica" w:hAnsi="Helvetica"/>
              </w:rPr>
              <w:t xml:space="preserve">) </w:t>
            </w:r>
          </w:p>
        </w:tc>
      </w:tr>
      <w:tr w:rsidR="00556C9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556C9D" w:rsidRDefault="00556C9D" w:rsidP="00CF0D06">
            <w:pPr>
              <w:rPr>
                <w:rFonts w:ascii="Calibri Light" w:hAnsi="Calibri Light"/>
                <w:b/>
                <w:sz w:val="22"/>
              </w:rPr>
            </w:pPr>
            <w:r w:rsidRPr="0074111E">
              <w:rPr>
                <w:rFonts w:ascii="Calibri Light" w:hAnsi="Calibri Light"/>
                <w:b/>
                <w:sz w:val="22"/>
              </w:rPr>
              <w:t xml:space="preserve">Tentative Senior Author </w:t>
            </w:r>
          </w:p>
          <w:p w14:paraId="4F66210D" w14:textId="77777777" w:rsidR="00556C9D" w:rsidRPr="0074111E" w:rsidRDefault="00556C9D" w:rsidP="00CF0D06">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6E7BAEDD" w:rsidR="00556C9D" w:rsidRPr="008673B8" w:rsidRDefault="00556C9D" w:rsidP="00CF0D06">
            <w:pPr>
              <w:rPr>
                <w:rFonts w:asciiTheme="majorHAnsi" w:hAnsiTheme="majorHAnsi" w:cstheme="majorHAnsi"/>
                <w:sz w:val="22"/>
                <w:szCs w:val="22"/>
              </w:rPr>
            </w:pPr>
            <w:r w:rsidRPr="00BB5340">
              <w:rPr>
                <w:rFonts w:ascii="Helvetica" w:hAnsi="Helvetica"/>
              </w:rPr>
              <w:t>S. Raychaudhuri</w:t>
            </w:r>
            <w:r w:rsidR="00CE3EB3">
              <w:rPr>
                <w:rFonts w:ascii="Helvetica" w:hAnsi="Helvetica"/>
              </w:rPr>
              <w:t xml:space="preserve"> (</w:t>
            </w:r>
            <w:hyperlink r:id="rId8" w:history="1">
              <w:r w:rsidR="00CE3EB3" w:rsidRPr="005029C5">
                <w:rPr>
                  <w:rStyle w:val="Hyperlink"/>
                  <w:rFonts w:ascii="Helvetica" w:hAnsi="Helvetica"/>
                </w:rPr>
                <w:t>soumya@broadinstitute.org</w:t>
              </w:r>
            </w:hyperlink>
            <w:r w:rsidR="00CE3EB3">
              <w:rPr>
                <w:rFonts w:ascii="Helvetica" w:hAnsi="Helvetica"/>
              </w:rPr>
              <w:t xml:space="preserve">) </w:t>
            </w:r>
          </w:p>
        </w:tc>
      </w:tr>
      <w:tr w:rsidR="00556C9D" w:rsidRPr="005F7C97" w14:paraId="5431E49C"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2080BF2" w14:textId="4E691514" w:rsidR="00556C9D" w:rsidRPr="0074111E" w:rsidRDefault="00556C9D" w:rsidP="00CF0D06">
            <w:pPr>
              <w:rPr>
                <w:rFonts w:ascii="Calibri Light" w:hAnsi="Calibri Light"/>
                <w:b/>
                <w:sz w:val="22"/>
              </w:rPr>
            </w:pPr>
            <w:r>
              <w:rPr>
                <w:rFonts w:ascii="Calibri Light" w:hAnsi="Calibri Light"/>
                <w:b/>
                <w:sz w:val="22"/>
              </w:rPr>
              <w:t>eMERGE Site Sponsor &amp; Contact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9BF1FC1" w14:textId="1B5B0DE3" w:rsidR="00556C9D" w:rsidRPr="00CE3EB3" w:rsidRDefault="00AB4FC9" w:rsidP="00CF0D06">
            <w:pPr>
              <w:rPr>
                <w:rFonts w:ascii="Helvetica" w:hAnsi="Helvetica" w:cs="Helvetica"/>
                <w:szCs w:val="22"/>
              </w:rPr>
            </w:pPr>
            <w:r w:rsidRPr="00CE3EB3">
              <w:rPr>
                <w:rFonts w:ascii="Helvetica" w:hAnsi="Helvetica" w:cs="Helvetica"/>
                <w:szCs w:val="22"/>
              </w:rPr>
              <w:t>S. Weiss</w:t>
            </w:r>
            <w:r w:rsidR="00CE3EB3" w:rsidRPr="00CE3EB3">
              <w:rPr>
                <w:rFonts w:ascii="Helvetica" w:hAnsi="Helvetica" w:cs="Helvetica"/>
                <w:szCs w:val="22"/>
              </w:rPr>
              <w:t xml:space="preserve"> (restw@channing.harvard.edu)</w:t>
            </w:r>
          </w:p>
        </w:tc>
      </w:tr>
      <w:tr w:rsidR="00556C9D"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556C9D" w:rsidRPr="0074111E" w:rsidRDefault="00556C9D" w:rsidP="00900D3C">
            <w:pPr>
              <w:rPr>
                <w:rFonts w:ascii="Calibri Light" w:hAnsi="Calibri Light"/>
                <w:b/>
                <w:sz w:val="22"/>
              </w:rPr>
            </w:pPr>
            <w:r w:rsidRPr="0074111E">
              <w:rPr>
                <w:rFonts w:ascii="Calibri Light" w:hAnsi="Calibri Light"/>
                <w:b/>
                <w:sz w:val="22"/>
              </w:rPr>
              <w:t xml:space="preserve">All </w:t>
            </w:r>
            <w:r>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B36893" w14:textId="1CF9A575" w:rsidR="00556C9D" w:rsidRPr="008673B8" w:rsidRDefault="00556C9D" w:rsidP="00CF0D06">
            <w:pPr>
              <w:rPr>
                <w:rFonts w:asciiTheme="majorHAnsi" w:hAnsiTheme="majorHAnsi" w:cstheme="majorHAnsi"/>
                <w:sz w:val="22"/>
                <w:szCs w:val="22"/>
              </w:rPr>
            </w:pPr>
            <w:r>
              <w:rPr>
                <w:rFonts w:ascii="Helvetica" w:hAnsi="Helvetica"/>
              </w:rPr>
              <w:t>S. Weiss, E. Karlson</w:t>
            </w:r>
          </w:p>
        </w:tc>
      </w:tr>
      <w:tr w:rsidR="00556C9D"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7A56141C" w:rsidR="00556C9D" w:rsidRPr="0074111E" w:rsidRDefault="00556C9D" w:rsidP="00CF0D06">
            <w:pPr>
              <w:rPr>
                <w:rFonts w:ascii="Calibri Light" w:hAnsi="Calibri Light"/>
                <w:b/>
                <w:sz w:val="22"/>
              </w:rPr>
            </w:pPr>
            <w:r w:rsidRPr="0074111E">
              <w:rPr>
                <w:rFonts w:ascii="Calibri Light" w:hAnsi="Calibri Light"/>
                <w:b/>
                <w:sz w:val="22"/>
              </w:rPr>
              <w:t xml:space="preserve">Sites </w:t>
            </w:r>
            <w:r>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7C5FDB2" w14:textId="311BA97B" w:rsidR="00556C9D" w:rsidRPr="008673B8" w:rsidRDefault="00556C9D" w:rsidP="00CF0D06">
            <w:pPr>
              <w:rPr>
                <w:rFonts w:asciiTheme="majorHAnsi" w:hAnsiTheme="majorHAnsi" w:cstheme="majorHAnsi"/>
                <w:sz w:val="22"/>
                <w:szCs w:val="22"/>
              </w:rPr>
            </w:pPr>
            <w:r w:rsidRPr="00BB5340">
              <w:rPr>
                <w:rFonts w:ascii="Helvetica" w:hAnsi="Helvetica"/>
              </w:rPr>
              <w:t>We invite each site to join</w:t>
            </w:r>
          </w:p>
        </w:tc>
      </w:tr>
      <w:tr w:rsidR="00556C9D"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556C9D" w:rsidRPr="0074111E" w:rsidRDefault="00556C9D" w:rsidP="00CF0D06">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2FD9547" w14:textId="77777777" w:rsidR="00556C9D" w:rsidRPr="00EC51C5" w:rsidRDefault="00556C9D" w:rsidP="00556C9D">
            <w:pPr>
              <w:rPr>
                <w:rFonts w:ascii="Helvetica" w:hAnsi="Helvetica"/>
                <w:color w:val="000000" w:themeColor="text1"/>
              </w:rPr>
            </w:pPr>
            <w:r w:rsidRPr="00BB5340">
              <w:rPr>
                <w:rFonts w:ascii="Helvetica" w:hAnsi="Helvetica"/>
                <w:color w:val="000000"/>
                <w:shd w:val="clear" w:color="auto" w:fill="FFFFFF"/>
              </w:rPr>
              <w:t xml:space="preserve">Height is a highly heritable, classic polygenic trait </w:t>
            </w:r>
            <w:hyperlink r:id="rId9" w:history="1">
              <w:r w:rsidRPr="00BB5340">
                <w:rPr>
                  <w:rStyle w:val="Hyperlink"/>
                  <w:rFonts w:ascii="Helvetica" w:hAnsi="Helvetica"/>
                  <w:color w:val="1155CC"/>
                  <w:shd w:val="clear" w:color="auto" w:fill="FFFFFF"/>
                </w:rPr>
                <w:t>(Fisher 1919; Galton 1886; Visscher et al. 2006)</w:t>
              </w:r>
            </w:hyperlink>
            <w:r w:rsidRPr="00BB5340">
              <w:rPr>
                <w:rFonts w:ascii="Helvetica" w:hAnsi="Helvetica"/>
                <w:color w:val="000000"/>
                <w:shd w:val="clear" w:color="auto" w:fill="FFFFFF"/>
              </w:rPr>
              <w:t xml:space="preserve">. </w:t>
            </w:r>
            <w:r w:rsidRPr="00BB5340">
              <w:rPr>
                <w:rFonts w:ascii="Helvetica" w:hAnsi="Helvetica"/>
                <w:color w:val="333333"/>
                <w:shd w:val="clear" w:color="auto" w:fill="FFFFFF"/>
              </w:rPr>
              <w:t>Previous height genetic studies, done predominantly in European populations, have identified ~700 independent height-associated variants</w:t>
            </w:r>
            <w:r w:rsidRPr="00BB5340">
              <w:rPr>
                <w:rFonts w:ascii="Helvetica" w:hAnsi="Helvetica"/>
                <w:color w:val="000000"/>
                <w:shd w:val="clear" w:color="auto" w:fill="FFFFFF"/>
              </w:rPr>
              <w:t xml:space="preserve"> </w:t>
            </w:r>
            <w:hyperlink r:id="rId10" w:history="1">
              <w:r w:rsidRPr="00BB5340">
                <w:rPr>
                  <w:rStyle w:val="Hyperlink"/>
                  <w:rFonts w:ascii="Helvetica" w:hAnsi="Helvetica"/>
                  <w:color w:val="1155CC"/>
                  <w:shd w:val="clear" w:color="auto" w:fill="FFFFFF"/>
                </w:rPr>
                <w:t>(Wood et al. 2014; Lango Allen et al. 2010)</w:t>
              </w:r>
            </w:hyperlink>
            <w:r w:rsidRPr="00BB5340">
              <w:rPr>
                <w:rFonts w:ascii="Helvetica" w:hAnsi="Helvetica"/>
                <w:color w:val="333333"/>
                <w:shd w:val="clear" w:color="auto" w:fill="FFFFFF"/>
              </w:rPr>
              <w:t xml:space="preserve">. However, these variants </w:t>
            </w:r>
            <w:r w:rsidRPr="00BB5340">
              <w:rPr>
                <w:rFonts w:ascii="Helvetica" w:hAnsi="Helvetica"/>
                <w:color w:val="000000"/>
                <w:shd w:val="clear" w:color="auto" w:fill="FFFFFF"/>
              </w:rPr>
              <w:t xml:space="preserve">cannot explain a large portion of phenotypic variance in non-European populations </w:t>
            </w:r>
            <w:hyperlink r:id="rId11" w:history="1">
              <w:r w:rsidRPr="00BB5340">
                <w:rPr>
                  <w:rStyle w:val="Hyperlink"/>
                  <w:rFonts w:ascii="Helvetica" w:hAnsi="Helvetica"/>
                  <w:color w:val="1155CC"/>
                  <w:shd w:val="clear" w:color="auto" w:fill="FFFFFF"/>
                </w:rPr>
                <w:t>(Vilhjálmsson et al. 2015; Martin et al. 2017)</w:t>
              </w:r>
            </w:hyperlink>
            <w:r w:rsidRPr="00BB5340">
              <w:rPr>
                <w:rFonts w:ascii="Helvetica" w:hAnsi="Helvetica"/>
                <w:color w:val="000000"/>
                <w:shd w:val="clear" w:color="auto" w:fill="FFFFFF"/>
              </w:rPr>
              <w:t xml:space="preserve">.  </w:t>
            </w:r>
            <w:r w:rsidRPr="00BB5340">
              <w:rPr>
                <w:rFonts w:ascii="Helvetica" w:hAnsi="Helvetica"/>
                <w:shd w:val="clear" w:color="auto" w:fill="FFFFFF"/>
              </w:rPr>
              <w:t xml:space="preserve">Our group recently performed </w:t>
            </w:r>
            <w:r w:rsidRPr="00BB5340">
              <w:rPr>
                <w:rFonts w:ascii="Helvetica" w:hAnsi="Helvetica"/>
                <w:color w:val="000000" w:themeColor="text1"/>
              </w:rPr>
              <w:t>the first large-scale genetic study of height in the Peruvian population</w:t>
            </w:r>
            <w:r>
              <w:rPr>
                <w:rFonts w:ascii="Helvetica" w:hAnsi="Helvetica"/>
                <w:color w:val="000000" w:themeColor="text1"/>
              </w:rPr>
              <w:t xml:space="preserve"> (</w:t>
            </w:r>
            <w:hyperlink r:id="rId12" w:history="1">
              <w:r w:rsidRPr="004109C8">
                <w:rPr>
                  <w:rStyle w:val="Hyperlink"/>
                  <w:rFonts w:ascii="Helvetica" w:hAnsi="Helvetica"/>
                </w:rPr>
                <w:t>https://bit.ly/2xzn2bf</w:t>
              </w:r>
            </w:hyperlink>
            <w:r>
              <w:rPr>
                <w:rFonts w:ascii="Helvetica" w:hAnsi="Helvetica"/>
                <w:color w:val="000000" w:themeColor="text1"/>
              </w:rPr>
              <w:t>)</w:t>
            </w:r>
            <w:r w:rsidRPr="00BB5340">
              <w:rPr>
                <w:rFonts w:ascii="Helvetica" w:hAnsi="Helvetica"/>
                <w:color w:val="000000" w:themeColor="text1"/>
              </w:rPr>
              <w:t>.</w:t>
            </w:r>
            <w:r>
              <w:rPr>
                <w:rFonts w:ascii="Helvetica" w:hAnsi="Helvetica"/>
                <w:color w:val="000000" w:themeColor="text1"/>
              </w:rPr>
              <w:t xml:space="preserve"> </w:t>
            </w:r>
            <w:r w:rsidRPr="00BB5340">
              <w:rPr>
                <w:rFonts w:ascii="Helvetica" w:hAnsi="Helvetica"/>
                <w:color w:val="000000" w:themeColor="text1"/>
              </w:rPr>
              <w:t xml:space="preserve"> </w:t>
            </w:r>
            <w:r w:rsidRPr="00BB5340">
              <w:rPr>
                <w:rFonts w:ascii="Helvetica" w:hAnsi="Helvetica"/>
                <w:color w:val="333333"/>
                <w:shd w:val="clear" w:color="auto" w:fill="FFFFFF"/>
              </w:rPr>
              <w:t xml:space="preserve">We identified a new </w:t>
            </w:r>
            <w:r>
              <w:rPr>
                <w:rFonts w:ascii="Helvetica" w:hAnsi="Helvetica"/>
                <w:color w:val="333333"/>
                <w:shd w:val="clear" w:color="auto" w:fill="FFFFFF"/>
              </w:rPr>
              <w:t>locus on chromosome 15 that was</w:t>
            </w:r>
            <w:r w:rsidRPr="00BB5340">
              <w:rPr>
                <w:rFonts w:ascii="Helvetica" w:hAnsi="Helvetica"/>
                <w:color w:val="333333"/>
                <w:shd w:val="clear" w:color="auto" w:fill="FFFFFF"/>
              </w:rPr>
              <w:t xml:space="preserve"> significantly (p-value &lt; 5e-8) associated with human height. This locus included five SNPs in FBN1. </w:t>
            </w:r>
            <w:r w:rsidRPr="00BB5340">
              <w:rPr>
                <w:rFonts w:ascii="Helvetica" w:hAnsi="Helvetica"/>
              </w:rPr>
              <w:t xml:space="preserve">The top SNP (MAF ~0.05) was associated with </w:t>
            </w:r>
            <w:r w:rsidRPr="00BB5340">
              <w:rPr>
                <w:rFonts w:ascii="Helvetica" w:hAnsi="Helvetica"/>
                <w:color w:val="000000" w:themeColor="text1"/>
              </w:rPr>
              <w:t xml:space="preserve">a 2.2 cm reduction of height in the Peruvians population, making this variant one of the largest effect common variants ever reported. </w:t>
            </w:r>
            <w:r w:rsidRPr="00BB5340">
              <w:rPr>
                <w:rFonts w:ascii="Helvetica" w:hAnsi="Helvetica"/>
                <w:color w:val="333333"/>
                <w:shd w:val="clear" w:color="auto" w:fill="FFFFFF"/>
              </w:rPr>
              <w:t>Among the five significantly associated variants in FBN1, one was a missense variant and the other four were intronic variants. These five variants were in high-LD in our data (0.94 ≤ pair-wise r</w:t>
            </w:r>
            <w:r w:rsidRPr="00BB5340">
              <w:rPr>
                <w:rFonts w:ascii="Helvetica" w:hAnsi="Helvetica"/>
                <w:color w:val="333333"/>
                <w:shd w:val="clear" w:color="auto" w:fill="FFFFFF"/>
                <w:vertAlign w:val="superscript"/>
              </w:rPr>
              <w:t>2</w:t>
            </w:r>
            <w:r w:rsidRPr="00BB5340">
              <w:rPr>
                <w:rFonts w:ascii="Helvetica" w:hAnsi="Helvetica"/>
                <w:color w:val="333333"/>
                <w:shd w:val="clear" w:color="auto" w:fill="FFFFFF"/>
              </w:rPr>
              <w:t xml:space="preserve"> ≤ 1). </w:t>
            </w:r>
            <w:r w:rsidRPr="00BB5340">
              <w:rPr>
                <w:rFonts w:ascii="Helvetica" w:hAnsi="Helvetica"/>
                <w:color w:val="000000"/>
                <w:shd w:val="clear" w:color="auto" w:fill="FFFFFF"/>
              </w:rPr>
              <w:t>W</w:t>
            </w:r>
            <w:r>
              <w:rPr>
                <w:rFonts w:ascii="Helvetica" w:hAnsi="Helvetica"/>
                <w:color w:val="000000"/>
                <w:shd w:val="clear" w:color="auto" w:fill="FFFFFF"/>
              </w:rPr>
              <w:t xml:space="preserve">e used fine mapping strategies </w:t>
            </w:r>
            <w:r w:rsidRPr="00BB5340">
              <w:rPr>
                <w:rFonts w:ascii="Helvetica" w:hAnsi="Helvetica"/>
                <w:color w:val="000000"/>
                <w:shd w:val="clear" w:color="auto" w:fill="FFFFFF"/>
              </w:rPr>
              <w:t xml:space="preserve">to pinpoint the likely causal SNP among these five SNPs. </w:t>
            </w:r>
            <w:r w:rsidRPr="00BB5340">
              <w:rPr>
                <w:rFonts w:ascii="Helvetica" w:hAnsi="Helvetica"/>
                <w:color w:val="222222"/>
                <w:shd w:val="clear" w:color="auto" w:fill="FFFFFF"/>
              </w:rPr>
              <w:t xml:space="preserve">All five variants had similar posterior probabilities (0.18 &lt; p &lt; 0.23) making it impossible to pinpoint the variant that is deriving the observed effect on height. </w:t>
            </w:r>
          </w:p>
          <w:p w14:paraId="5554653C" w14:textId="77777777" w:rsidR="00556C9D" w:rsidRPr="00BB5340" w:rsidRDefault="00556C9D" w:rsidP="00556C9D">
            <w:pPr>
              <w:spacing w:line="276" w:lineRule="auto"/>
              <w:rPr>
                <w:rFonts w:ascii="Helvetica" w:hAnsi="Helvetica"/>
              </w:rPr>
            </w:pPr>
          </w:p>
          <w:p w14:paraId="21BCA197" w14:textId="77777777" w:rsidR="00556C9D" w:rsidRPr="00BB5340" w:rsidRDefault="00556C9D" w:rsidP="00556C9D">
            <w:pPr>
              <w:pStyle w:val="NormalWeb"/>
              <w:spacing w:before="0" w:beforeAutospacing="0" w:after="0" w:afterAutospacing="0" w:line="276" w:lineRule="auto"/>
              <w:rPr>
                <w:rFonts w:ascii="Helvetica" w:hAnsi="Helvetica"/>
              </w:rPr>
            </w:pPr>
            <w:r w:rsidRPr="00BB5340">
              <w:rPr>
                <w:rFonts w:ascii="Helvetica" w:hAnsi="Helvetica"/>
                <w:i/>
                <w:iCs/>
                <w:color w:val="000000"/>
                <w:shd w:val="clear" w:color="auto" w:fill="FFFFFF"/>
              </w:rPr>
              <w:t>FBN1</w:t>
            </w:r>
            <w:r w:rsidRPr="00BB5340">
              <w:rPr>
                <w:rFonts w:ascii="Helvetica" w:hAnsi="Helvetica"/>
                <w:color w:val="000000"/>
                <w:shd w:val="clear" w:color="auto" w:fill="FFFFFF"/>
              </w:rPr>
              <w:t xml:space="preserve"> encodes a preproprotein which is proteolytically processed to generate two proteins Fibrillin-1 and asprosin</w:t>
            </w:r>
            <w:r w:rsidRPr="00BB5340">
              <w:rPr>
                <w:rFonts w:ascii="Helvetica" w:hAnsi="Helvetica"/>
                <w:color w:val="000000"/>
              </w:rPr>
              <w:t xml:space="preserve">. </w:t>
            </w:r>
            <w:r w:rsidRPr="00BB5340">
              <w:rPr>
                <w:rFonts w:ascii="Helvetica" w:hAnsi="Helvetica"/>
                <w:color w:val="000000"/>
                <w:shd w:val="clear" w:color="auto" w:fill="FFFFFF"/>
              </w:rPr>
              <w:t xml:space="preserve">Fibrillin-1 is an extracellular matrix glycoprotein that serves as a structural component of calcium-binding microfibrils. These microfibrils provide force-bearing structural support in elastic and non-elastic connective tissue throughout the body </w:t>
            </w:r>
            <w:hyperlink r:id="rId13" w:history="1">
              <w:r w:rsidRPr="00BB5340">
                <w:rPr>
                  <w:rStyle w:val="Hyperlink"/>
                  <w:rFonts w:ascii="Helvetica" w:hAnsi="Helvetica"/>
                  <w:color w:val="1155CC"/>
                  <w:shd w:val="clear" w:color="auto" w:fill="FFFFFF"/>
                </w:rPr>
                <w:t>(Sakai et al. 1986; Lin et al. 2002)</w:t>
              </w:r>
            </w:hyperlink>
            <w:r w:rsidRPr="00BB5340">
              <w:rPr>
                <w:rFonts w:ascii="Helvetica" w:hAnsi="Helvetica"/>
                <w:color w:val="000000"/>
                <w:shd w:val="clear" w:color="auto" w:fill="FFFFFF"/>
              </w:rPr>
              <w:t xml:space="preserve">. Missense mutations in FBN1 are most well known to cause Marfan syndrome, but can cause a number of other diseases, most of which include skeletal problems among other symptoms. Marfan syndrome for example is characterized by tall stature, while stiff skin syndrome and acromicric dysplasia are characterized by short statute </w:t>
            </w:r>
            <w:hyperlink r:id="rId14" w:history="1">
              <w:r w:rsidRPr="00BB5340">
                <w:rPr>
                  <w:rStyle w:val="Hyperlink"/>
                  <w:rFonts w:ascii="Helvetica" w:hAnsi="Helvetica"/>
                  <w:color w:val="1155CC"/>
                  <w:shd w:val="clear" w:color="auto" w:fill="FFFFFF"/>
                </w:rPr>
                <w:t>(Ramachandra et al. 2015)</w:t>
              </w:r>
            </w:hyperlink>
            <w:r w:rsidRPr="00BB5340">
              <w:rPr>
                <w:rFonts w:ascii="Helvetica" w:hAnsi="Helvetica"/>
                <w:color w:val="000000"/>
                <w:shd w:val="clear" w:color="auto" w:fill="FFFFFF"/>
              </w:rPr>
              <w:t xml:space="preserve">. </w:t>
            </w:r>
          </w:p>
          <w:p w14:paraId="5C8FF2D3" w14:textId="77777777" w:rsidR="00556C9D" w:rsidRPr="00BB5340" w:rsidRDefault="00556C9D" w:rsidP="00556C9D">
            <w:pPr>
              <w:spacing w:line="276" w:lineRule="auto"/>
              <w:rPr>
                <w:rFonts w:ascii="Helvetica" w:hAnsi="Helvetica"/>
                <w:shd w:val="clear" w:color="auto" w:fill="FFFFFF"/>
              </w:rPr>
            </w:pPr>
          </w:p>
          <w:p w14:paraId="196361BF" w14:textId="77777777" w:rsidR="00556C9D" w:rsidRPr="00BB5340" w:rsidRDefault="00556C9D" w:rsidP="00556C9D">
            <w:pPr>
              <w:spacing w:line="276" w:lineRule="auto"/>
              <w:rPr>
                <w:rFonts w:ascii="Helvetica" w:hAnsi="Helvetica"/>
                <w:color w:val="000000"/>
                <w:shd w:val="clear" w:color="auto" w:fill="FFFFFF"/>
              </w:rPr>
            </w:pPr>
            <w:r w:rsidRPr="00BB5340">
              <w:rPr>
                <w:rFonts w:ascii="Helvetica" w:hAnsi="Helvetica"/>
                <w:color w:val="000000"/>
                <w:shd w:val="clear" w:color="auto" w:fill="FFFFFF"/>
              </w:rPr>
              <w:t>Our Aims are to:</w:t>
            </w:r>
          </w:p>
          <w:p w14:paraId="14A98EBE" w14:textId="77777777" w:rsidR="00556C9D" w:rsidRPr="00BB5340" w:rsidRDefault="00556C9D" w:rsidP="00556C9D">
            <w:pPr>
              <w:spacing w:line="276" w:lineRule="auto"/>
              <w:rPr>
                <w:rFonts w:ascii="Helvetica" w:hAnsi="Helvetica"/>
                <w:color w:val="000000"/>
                <w:shd w:val="clear" w:color="auto" w:fill="FFFFFF"/>
                <w:lang w:bidi="fa-IR"/>
              </w:rPr>
            </w:pPr>
            <w:r w:rsidRPr="00BB5340">
              <w:rPr>
                <w:rFonts w:ascii="Helvetica" w:hAnsi="Helvetica"/>
                <w:color w:val="000000"/>
                <w:shd w:val="clear" w:color="auto" w:fill="FFFFFF"/>
              </w:rPr>
              <w:t xml:space="preserve">1- To test the association between </w:t>
            </w:r>
            <w:r>
              <w:rPr>
                <w:rFonts w:ascii="Helvetica" w:hAnsi="Helvetica"/>
                <w:color w:val="000000"/>
                <w:shd w:val="clear" w:color="auto" w:fill="FFFFFF"/>
              </w:rPr>
              <w:t xml:space="preserve">common (MAF ≥ 0.01) </w:t>
            </w:r>
            <w:r w:rsidRPr="00BB5340">
              <w:rPr>
                <w:rFonts w:ascii="Helvetica" w:hAnsi="Helvetica"/>
                <w:color w:val="000000"/>
                <w:shd w:val="clear" w:color="auto" w:fill="FFFFFF"/>
              </w:rPr>
              <w:t>variants</w:t>
            </w:r>
            <w:r>
              <w:rPr>
                <w:rFonts w:ascii="Helvetica" w:hAnsi="Helvetica"/>
                <w:color w:val="000000"/>
                <w:shd w:val="clear" w:color="auto" w:fill="FFFFFF"/>
              </w:rPr>
              <w:t xml:space="preserve"> in FBN1</w:t>
            </w:r>
            <w:r w:rsidRPr="00BB5340">
              <w:rPr>
                <w:rFonts w:ascii="Helvetica" w:hAnsi="Helvetica"/>
                <w:color w:val="000000"/>
                <w:shd w:val="clear" w:color="auto" w:fill="FFFFFF"/>
              </w:rPr>
              <w:t xml:space="preserve"> and height in order to pinpoint the casual variant among the five FBN1 height-associated variants and/or to discover new </w:t>
            </w:r>
            <w:r>
              <w:rPr>
                <w:rFonts w:ascii="Helvetica" w:hAnsi="Helvetica"/>
                <w:color w:val="000000"/>
                <w:shd w:val="clear" w:color="auto" w:fill="FFFFFF"/>
              </w:rPr>
              <w:t xml:space="preserve">height </w:t>
            </w:r>
            <w:r w:rsidRPr="00BB5340">
              <w:rPr>
                <w:rFonts w:ascii="Helvetica" w:hAnsi="Helvetica"/>
                <w:color w:val="000000"/>
                <w:shd w:val="clear" w:color="auto" w:fill="FFFFFF"/>
              </w:rPr>
              <w:t>associations.</w:t>
            </w:r>
          </w:p>
          <w:p w14:paraId="47D5C4E6" w14:textId="77777777" w:rsidR="00556C9D" w:rsidRPr="001B0746" w:rsidRDefault="00556C9D" w:rsidP="00556C9D">
            <w:pPr>
              <w:spacing w:line="276" w:lineRule="auto"/>
              <w:rPr>
                <w:rFonts w:ascii="Helvetica" w:eastAsia="Heiti SC Light" w:hAnsi="Helvetica"/>
                <w:color w:val="000000"/>
                <w:shd w:val="clear" w:color="auto" w:fill="FFFFFF"/>
              </w:rPr>
            </w:pPr>
            <w:r w:rsidRPr="00BB5340">
              <w:rPr>
                <w:rFonts w:ascii="Helvetica" w:hAnsi="Helvetica"/>
                <w:color w:val="000000"/>
                <w:shd w:val="clear" w:color="auto" w:fill="FFFFFF"/>
              </w:rPr>
              <w:t>2- To test the association between the burden of rare</w:t>
            </w:r>
            <w:r>
              <w:rPr>
                <w:rFonts w:ascii="Helvetica" w:hAnsi="Helvetica"/>
                <w:color w:val="000000"/>
                <w:shd w:val="clear" w:color="auto" w:fill="FFFFFF"/>
              </w:rPr>
              <w:t xml:space="preserve"> (MAF &lt; </w:t>
            </w:r>
            <w:r w:rsidRPr="001B0746">
              <w:rPr>
                <w:rFonts w:ascii="Helvetica" w:eastAsia="Heiti SC Light" w:hAnsi="Helvetica"/>
                <w:color w:val="000000"/>
                <w:shd w:val="clear" w:color="auto" w:fill="FFFFFF"/>
              </w:rPr>
              <w:t>0.01) variants in FBN1 and height.</w:t>
            </w:r>
          </w:p>
          <w:p w14:paraId="6EEF7608" w14:textId="77777777" w:rsidR="00556C9D" w:rsidRDefault="00556C9D" w:rsidP="00556C9D">
            <w:pPr>
              <w:spacing w:line="276" w:lineRule="auto"/>
              <w:rPr>
                <w:rFonts w:ascii="Helvetica" w:eastAsia="Heiti SC Light" w:hAnsi="Helvetica"/>
                <w:color w:val="000000"/>
                <w:shd w:val="clear" w:color="auto" w:fill="FFFFFF"/>
              </w:rPr>
            </w:pPr>
            <w:r w:rsidRPr="001B0746">
              <w:rPr>
                <w:rFonts w:ascii="Helvetica" w:eastAsia="Heiti SC Light" w:hAnsi="Helvetica"/>
                <w:color w:val="000000"/>
                <w:shd w:val="clear" w:color="auto" w:fill="FFFFFF"/>
              </w:rPr>
              <w:t>3- To explore the association between the five FBN1 height-associated variants with the following phenotypes</w:t>
            </w:r>
            <w:r>
              <w:rPr>
                <w:rFonts w:ascii="Helvetica" w:eastAsia="Heiti SC Light" w:hAnsi="Helvetica"/>
                <w:color w:val="000000"/>
                <w:shd w:val="clear" w:color="auto" w:fill="FFFFFF"/>
              </w:rPr>
              <w:t>:</w:t>
            </w:r>
          </w:p>
          <w:p w14:paraId="738FFFDF" w14:textId="77777777" w:rsidR="00556C9D" w:rsidRPr="00546ED1" w:rsidRDefault="00556C9D" w:rsidP="00556C9D">
            <w:pPr>
              <w:pStyle w:val="ListParagraph"/>
              <w:numPr>
                <w:ilvl w:val="0"/>
                <w:numId w:val="6"/>
              </w:numPr>
              <w:spacing w:line="276" w:lineRule="auto"/>
              <w:rPr>
                <w:rFonts w:ascii="Helvetica" w:eastAsia="Heiti SC Light" w:hAnsi="Helvetica"/>
                <w:color w:val="000000"/>
                <w:shd w:val="clear" w:color="auto" w:fill="FFFFFF"/>
              </w:rPr>
            </w:pPr>
            <w:r w:rsidRPr="00546ED1">
              <w:rPr>
                <w:rFonts w:ascii="Helvetica" w:eastAsia="Heiti SC Light" w:hAnsi="Helvetica"/>
                <w:color w:val="000000"/>
                <w:shd w:val="clear" w:color="auto" w:fill="FFFFFF"/>
              </w:rPr>
              <w:t>Height</w:t>
            </w:r>
          </w:p>
          <w:p w14:paraId="76580EA9" w14:textId="77777777" w:rsidR="00556C9D" w:rsidRPr="00546ED1" w:rsidRDefault="00556C9D" w:rsidP="00556C9D">
            <w:pPr>
              <w:pStyle w:val="ListParagraph"/>
              <w:numPr>
                <w:ilvl w:val="0"/>
                <w:numId w:val="6"/>
              </w:numPr>
              <w:spacing w:line="276" w:lineRule="auto"/>
              <w:rPr>
                <w:rFonts w:ascii="Helvetica" w:eastAsia="Heiti SC Light" w:hAnsi="Helvetica"/>
                <w:color w:val="000000"/>
                <w:shd w:val="clear" w:color="auto" w:fill="FFFFFF"/>
              </w:rPr>
            </w:pPr>
            <w:r w:rsidRPr="00546ED1">
              <w:rPr>
                <w:rFonts w:ascii="Helvetica" w:eastAsia="Heiti SC Light" w:hAnsi="Helvetica"/>
                <w:shd w:val="clear" w:color="auto" w:fill="FFFFFF"/>
              </w:rPr>
              <w:t>Diffuse diseases of connective tissue (ICD9 code: 710)</w:t>
            </w:r>
          </w:p>
          <w:p w14:paraId="2B3764F4" w14:textId="77777777" w:rsidR="00556C9D" w:rsidRPr="00546ED1" w:rsidRDefault="00556C9D" w:rsidP="00556C9D">
            <w:pPr>
              <w:pStyle w:val="ListParagraph"/>
              <w:numPr>
                <w:ilvl w:val="0"/>
                <w:numId w:val="6"/>
              </w:numPr>
              <w:spacing w:line="276" w:lineRule="auto"/>
              <w:rPr>
                <w:rFonts w:ascii="Helvetica" w:eastAsia="Heiti SC Light" w:hAnsi="Helvetica"/>
                <w:color w:val="000000"/>
                <w:shd w:val="clear" w:color="auto" w:fill="FFFFFF"/>
              </w:rPr>
            </w:pPr>
            <w:r w:rsidRPr="00546ED1">
              <w:rPr>
                <w:rFonts w:ascii="Helvetica" w:eastAsia="Heiti SC Light" w:hAnsi="Helvetica"/>
                <w:shd w:val="clear" w:color="auto" w:fill="FFFFFF"/>
              </w:rPr>
              <w:t>Systemic sclerosis (710.1)</w:t>
            </w:r>
          </w:p>
          <w:p w14:paraId="0728AC5A" w14:textId="77777777" w:rsidR="00556C9D" w:rsidRPr="00546ED1" w:rsidRDefault="00556C9D" w:rsidP="00556C9D">
            <w:pPr>
              <w:pStyle w:val="ListParagraph"/>
              <w:numPr>
                <w:ilvl w:val="0"/>
                <w:numId w:val="6"/>
              </w:numPr>
              <w:spacing w:line="276" w:lineRule="auto"/>
              <w:rPr>
                <w:rFonts w:ascii="Helvetica" w:eastAsia="Heiti SC Light" w:hAnsi="Helvetica"/>
                <w:color w:val="000000"/>
                <w:shd w:val="clear" w:color="auto" w:fill="FFFFFF"/>
              </w:rPr>
            </w:pPr>
            <w:r w:rsidRPr="00546ED1">
              <w:rPr>
                <w:rFonts w:ascii="Helvetica" w:eastAsia="Heiti SC Light" w:hAnsi="Helvetica"/>
                <w:shd w:val="clear" w:color="auto" w:fill="FFFFFF"/>
              </w:rPr>
              <w:t>Sicca syndrome (710.2)</w:t>
            </w:r>
          </w:p>
          <w:p w14:paraId="3E68A5A7" w14:textId="77777777" w:rsidR="00556C9D" w:rsidRPr="00546ED1" w:rsidRDefault="00556C9D" w:rsidP="00556C9D">
            <w:pPr>
              <w:pStyle w:val="ListParagraph"/>
              <w:numPr>
                <w:ilvl w:val="0"/>
                <w:numId w:val="6"/>
              </w:numPr>
              <w:spacing w:line="276" w:lineRule="auto"/>
              <w:rPr>
                <w:rFonts w:ascii="Helvetica" w:eastAsia="Heiti SC Light" w:hAnsi="Helvetica"/>
                <w:color w:val="000000"/>
                <w:shd w:val="clear" w:color="auto" w:fill="FFFFFF"/>
              </w:rPr>
            </w:pPr>
            <w:r w:rsidRPr="00546ED1">
              <w:rPr>
                <w:rFonts w:ascii="Helvetica" w:eastAsia="Heiti SC Light" w:hAnsi="Helvetica"/>
                <w:shd w:val="clear" w:color="auto" w:fill="FFFFFF"/>
              </w:rPr>
              <w:t>Dermatomyositis (710.3)</w:t>
            </w:r>
          </w:p>
          <w:p w14:paraId="4FA7D0E8" w14:textId="77777777" w:rsidR="00556C9D" w:rsidRPr="00546ED1" w:rsidRDefault="00556C9D" w:rsidP="00556C9D">
            <w:pPr>
              <w:pStyle w:val="ListParagraph"/>
              <w:numPr>
                <w:ilvl w:val="0"/>
                <w:numId w:val="6"/>
              </w:numPr>
              <w:spacing w:line="276" w:lineRule="auto"/>
              <w:rPr>
                <w:rFonts w:ascii="Helvetica" w:eastAsia="Heiti SC Light" w:hAnsi="Helvetica"/>
                <w:color w:val="000000"/>
                <w:shd w:val="clear" w:color="auto" w:fill="FFFFFF"/>
              </w:rPr>
            </w:pPr>
            <w:r w:rsidRPr="00546ED1">
              <w:rPr>
                <w:rFonts w:ascii="Helvetica" w:eastAsia="Heiti SC Light" w:hAnsi="Helvetica"/>
                <w:shd w:val="clear" w:color="auto" w:fill="FFFFFF"/>
              </w:rPr>
              <w:t>Polymyositis (710.4)</w:t>
            </w:r>
          </w:p>
          <w:p w14:paraId="74063AEE" w14:textId="77777777" w:rsidR="00556C9D" w:rsidRPr="00546ED1" w:rsidRDefault="00556C9D" w:rsidP="00556C9D">
            <w:pPr>
              <w:pStyle w:val="ListParagraph"/>
              <w:numPr>
                <w:ilvl w:val="0"/>
                <w:numId w:val="6"/>
              </w:numPr>
              <w:spacing w:line="276" w:lineRule="auto"/>
              <w:rPr>
                <w:rFonts w:ascii="Helvetica" w:eastAsia="Heiti SC Light" w:hAnsi="Helvetica"/>
                <w:color w:val="000000"/>
                <w:shd w:val="clear" w:color="auto" w:fill="FFFFFF"/>
              </w:rPr>
            </w:pPr>
            <w:r w:rsidRPr="00546ED1">
              <w:rPr>
                <w:rFonts w:ascii="Helvetica" w:eastAsia="Heiti SC Light" w:hAnsi="Helvetica"/>
                <w:shd w:val="clear" w:color="auto" w:fill="FFFFFF"/>
              </w:rPr>
              <w:t>Other specified diffuse diseases of connective tissue (710.8)</w:t>
            </w:r>
          </w:p>
          <w:p w14:paraId="2E0FB6D2" w14:textId="77777777" w:rsidR="00556C9D" w:rsidRPr="00546ED1" w:rsidRDefault="00556C9D" w:rsidP="00556C9D">
            <w:pPr>
              <w:pStyle w:val="ListParagraph"/>
              <w:numPr>
                <w:ilvl w:val="0"/>
                <w:numId w:val="6"/>
              </w:numPr>
              <w:spacing w:line="276" w:lineRule="auto"/>
              <w:rPr>
                <w:rFonts w:ascii="Helvetica" w:eastAsia="Heiti SC Light" w:hAnsi="Helvetica"/>
                <w:color w:val="000000"/>
                <w:shd w:val="clear" w:color="auto" w:fill="FFFFFF"/>
              </w:rPr>
            </w:pPr>
            <w:r w:rsidRPr="00546ED1">
              <w:rPr>
                <w:rFonts w:ascii="Helvetica" w:eastAsia="Heiti SC Light" w:hAnsi="Helvetica"/>
                <w:shd w:val="clear" w:color="auto" w:fill="FFFFFF"/>
              </w:rPr>
              <w:t>Unspecified diffuse connective tissue disease (710.9)</w:t>
            </w:r>
            <w:r w:rsidRPr="00546ED1">
              <w:rPr>
                <w:rFonts w:ascii="Helvetica" w:hAnsi="Helvetica"/>
                <w:color w:val="000000"/>
                <w:shd w:val="clear" w:color="auto" w:fill="FFFFFF"/>
              </w:rPr>
              <w:t>.</w:t>
            </w:r>
          </w:p>
          <w:p w14:paraId="3CD7DE62" w14:textId="77777777" w:rsidR="00556C9D" w:rsidRPr="008673B8" w:rsidRDefault="00556C9D" w:rsidP="00CF0D06">
            <w:pPr>
              <w:rPr>
                <w:rFonts w:asciiTheme="majorHAnsi" w:hAnsiTheme="majorHAnsi" w:cstheme="majorHAnsi"/>
                <w:color w:val="000000"/>
                <w:sz w:val="22"/>
                <w:szCs w:val="22"/>
              </w:rPr>
            </w:pPr>
          </w:p>
        </w:tc>
      </w:tr>
      <w:tr w:rsidR="00556C9D"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556C9D" w:rsidRPr="0074111E" w:rsidRDefault="00556C9D" w:rsidP="00CF0D06">
            <w:pPr>
              <w:rPr>
                <w:rFonts w:ascii="Calibri Light" w:hAnsi="Calibri Light"/>
                <w:b/>
                <w:sz w:val="22"/>
              </w:rPr>
            </w:pPr>
            <w:r w:rsidRPr="0074111E">
              <w:rPr>
                <w:rFonts w:ascii="Calibri Light" w:hAnsi="Calibri Light"/>
                <w:b/>
                <w:sz w:val="22"/>
              </w:rPr>
              <w:lastRenderedPageBreak/>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A07B420" w14:textId="77777777" w:rsidR="00556C9D" w:rsidRPr="00BB5340" w:rsidRDefault="00556C9D" w:rsidP="00556C9D">
            <w:pPr>
              <w:spacing w:line="276" w:lineRule="auto"/>
              <w:rPr>
                <w:rFonts w:ascii="Helvetica" w:hAnsi="Helvetica"/>
              </w:rPr>
            </w:pPr>
            <w:r w:rsidRPr="00BB5340">
              <w:rPr>
                <w:rFonts w:ascii="Helvetica" w:hAnsi="Helvetica"/>
              </w:rPr>
              <w:t>ANALYSIS PLAN</w:t>
            </w:r>
          </w:p>
          <w:p w14:paraId="74961F6A" w14:textId="77777777" w:rsidR="00556C9D" w:rsidRPr="00BB5340" w:rsidRDefault="00556C9D" w:rsidP="00556C9D">
            <w:pPr>
              <w:pStyle w:val="NormalWeb"/>
              <w:spacing w:before="0" w:beforeAutospacing="0" w:after="0" w:afterAutospacing="0" w:line="276" w:lineRule="auto"/>
              <w:rPr>
                <w:rFonts w:ascii="Helvetica" w:hAnsi="Helvetica"/>
              </w:rPr>
            </w:pPr>
            <w:r w:rsidRPr="00BB5340">
              <w:rPr>
                <w:rFonts w:ascii="Helvetica" w:hAnsi="Helvetica"/>
              </w:rPr>
              <w:t>1-</w:t>
            </w:r>
            <w:r>
              <w:rPr>
                <w:rFonts w:ascii="Helvetica" w:hAnsi="Helvetica"/>
              </w:rPr>
              <w:t xml:space="preserve"> Common variant</w:t>
            </w:r>
            <w:r w:rsidRPr="00BB5340">
              <w:rPr>
                <w:rFonts w:ascii="Helvetica" w:hAnsi="Helvetica"/>
              </w:rPr>
              <w:t xml:space="preserve"> </w:t>
            </w:r>
            <w:r>
              <w:rPr>
                <w:rFonts w:ascii="Helvetica" w:hAnsi="Helvetica"/>
                <w:color w:val="000000"/>
                <w:shd w:val="clear" w:color="auto" w:fill="FFFFFF"/>
              </w:rPr>
              <w:t xml:space="preserve">(MAF ≥ 0.01) </w:t>
            </w:r>
            <w:r w:rsidRPr="00BB5340">
              <w:rPr>
                <w:rFonts w:ascii="Helvetica" w:hAnsi="Helvetica"/>
              </w:rPr>
              <w:t xml:space="preserve">association testing: </w:t>
            </w:r>
            <w:r>
              <w:rPr>
                <w:rFonts w:ascii="Helvetica" w:hAnsi="Helvetica"/>
                <w:color w:val="333333"/>
                <w:shd w:val="clear" w:color="auto" w:fill="FFFFFF"/>
              </w:rPr>
              <w:t>We will use</w:t>
            </w:r>
            <w:r w:rsidRPr="00BB5340">
              <w:rPr>
                <w:rFonts w:ascii="Helvetica" w:hAnsi="Helvetica"/>
                <w:color w:val="333333"/>
                <w:shd w:val="clear" w:color="auto" w:fill="FFFFFF"/>
              </w:rPr>
              <w:t xml:space="preserve"> GEMMA </w:t>
            </w:r>
            <w:hyperlink r:id="rId15" w:history="1">
              <w:r w:rsidRPr="00BB5340">
                <w:rPr>
                  <w:rStyle w:val="Hyperlink"/>
                  <w:rFonts w:ascii="Helvetica" w:hAnsi="Helvetica"/>
                  <w:color w:val="1155CC"/>
                  <w:shd w:val="clear" w:color="auto" w:fill="FFFFFF"/>
                </w:rPr>
                <w:t>(Zhou and Stephens 2014)</w:t>
              </w:r>
            </w:hyperlink>
            <w:r>
              <w:rPr>
                <w:rFonts w:ascii="Helvetica" w:hAnsi="Helvetica"/>
                <w:color w:val="333333"/>
                <w:shd w:val="clear" w:color="auto" w:fill="FFFFFF"/>
              </w:rPr>
              <w:t xml:space="preserve"> to performed </w:t>
            </w:r>
            <w:r w:rsidRPr="00BB5340">
              <w:rPr>
                <w:rFonts w:ascii="Helvetica" w:hAnsi="Helvetica"/>
                <w:color w:val="333333"/>
                <w:shd w:val="clear" w:color="auto" w:fill="FFFFFF"/>
              </w:rPr>
              <w:t xml:space="preserve">association analysis using linear mixed model. GEMMA </w:t>
            </w:r>
            <w:r w:rsidRPr="00BB5340">
              <w:rPr>
                <w:rFonts w:ascii="Helvetica" w:hAnsi="Helvetica"/>
                <w:color w:val="000000"/>
                <w:shd w:val="clear" w:color="auto" w:fill="FFFFFF"/>
              </w:rPr>
              <w:t>allows accounting for population structure and cryptic relatedness. Age, gender and the relevant PCs will be included as covariates in the model</w:t>
            </w:r>
            <w:r w:rsidRPr="00BB5340">
              <w:rPr>
                <w:rFonts w:ascii="Helvetica" w:hAnsi="Helvetica"/>
                <w:color w:val="000000"/>
              </w:rPr>
              <w:t>.</w:t>
            </w:r>
          </w:p>
          <w:p w14:paraId="3E402603" w14:textId="77777777" w:rsidR="00556C9D" w:rsidRPr="00BB5340" w:rsidRDefault="00556C9D" w:rsidP="00556C9D">
            <w:pPr>
              <w:spacing w:line="276" w:lineRule="auto"/>
              <w:rPr>
                <w:rFonts w:ascii="Helvetica" w:hAnsi="Helvetica"/>
              </w:rPr>
            </w:pPr>
          </w:p>
          <w:p w14:paraId="3DFF0859" w14:textId="77777777" w:rsidR="00556C9D" w:rsidRPr="00BB5340" w:rsidRDefault="00556C9D" w:rsidP="00556C9D">
            <w:pPr>
              <w:pStyle w:val="NormalWeb"/>
              <w:spacing w:before="0" w:beforeAutospacing="0" w:after="0" w:afterAutospacing="0" w:line="276" w:lineRule="auto"/>
              <w:rPr>
                <w:rFonts w:ascii="Helvetica" w:hAnsi="Helvetica"/>
              </w:rPr>
            </w:pPr>
            <w:r w:rsidRPr="00BB5340">
              <w:rPr>
                <w:rFonts w:ascii="Helvetica" w:hAnsi="Helvetica"/>
              </w:rPr>
              <w:t xml:space="preserve">2- Rare variants </w:t>
            </w:r>
            <w:r w:rsidRPr="00BB5340">
              <w:rPr>
                <w:rFonts w:ascii="Helvetica" w:hAnsi="Helvetica"/>
                <w:color w:val="000000"/>
              </w:rPr>
              <w:t xml:space="preserve">(MAF &lt; 0.01) </w:t>
            </w:r>
            <w:r w:rsidRPr="00BB5340">
              <w:rPr>
                <w:rFonts w:ascii="Helvetica" w:hAnsi="Helvetica"/>
              </w:rPr>
              <w:t xml:space="preserve">association test: </w:t>
            </w:r>
          </w:p>
          <w:p w14:paraId="7BF00E34" w14:textId="77777777" w:rsidR="00556C9D" w:rsidRPr="00BB5340" w:rsidRDefault="00556C9D" w:rsidP="00556C9D">
            <w:pPr>
              <w:pStyle w:val="NormalWeb"/>
              <w:spacing w:before="0" w:beforeAutospacing="0" w:after="0" w:afterAutospacing="0" w:line="276" w:lineRule="auto"/>
              <w:rPr>
                <w:rFonts w:ascii="Helvetica" w:hAnsi="Helvetica"/>
              </w:rPr>
            </w:pPr>
            <w:r w:rsidRPr="00BB5340">
              <w:rPr>
                <w:rFonts w:ascii="Helvetica" w:hAnsi="Helvetica"/>
              </w:rPr>
              <w:t xml:space="preserve">A) SKAT </w:t>
            </w:r>
            <w:hyperlink r:id="rId16" w:history="1">
              <w:r w:rsidRPr="00BB5340">
                <w:rPr>
                  <w:rStyle w:val="Hyperlink"/>
                  <w:rFonts w:ascii="Helvetica" w:hAnsi="Helvetica"/>
                  <w:color w:val="1155CC"/>
                </w:rPr>
                <w:t>(Wu et al. 2011)</w:t>
              </w:r>
            </w:hyperlink>
            <w:r w:rsidRPr="00BB5340">
              <w:rPr>
                <w:rFonts w:ascii="Helvetica" w:hAnsi="Helvetica"/>
                <w:color w:val="000000"/>
              </w:rPr>
              <w:t xml:space="preserve">: Null distributions are generated using SKAT_NULL_emmaX, which incorporates kinship structure in calculation of SKAT parameters and residuals. Age, gender and a number of relevant PCs will be included as covariates. For each gene, we test the association between height and i) all rare variants, ii) rare protein-altering variants (Loss of function (LOF) and missense) as annotated by SnpEff </w:t>
            </w:r>
            <w:hyperlink r:id="rId17" w:history="1">
              <w:r w:rsidRPr="00BB5340">
                <w:rPr>
                  <w:rStyle w:val="Hyperlink"/>
                  <w:rFonts w:ascii="Helvetica" w:hAnsi="Helvetica"/>
                  <w:color w:val="1155CC"/>
                </w:rPr>
                <w:t>(Cingolani et al. 2012)</w:t>
              </w:r>
            </w:hyperlink>
            <w:r w:rsidRPr="00BB5340">
              <w:rPr>
                <w:rFonts w:ascii="Helvetica" w:hAnsi="Helvetica"/>
                <w:color w:val="000000"/>
              </w:rPr>
              <w:t xml:space="preserve">. </w:t>
            </w:r>
          </w:p>
          <w:p w14:paraId="435DD2DB" w14:textId="77777777" w:rsidR="00556C9D" w:rsidRPr="00BB5340" w:rsidRDefault="00556C9D" w:rsidP="00556C9D">
            <w:pPr>
              <w:spacing w:line="276" w:lineRule="auto"/>
              <w:rPr>
                <w:rFonts w:ascii="Helvetica" w:hAnsi="Helvetica"/>
              </w:rPr>
            </w:pPr>
            <w:r w:rsidRPr="00BB5340">
              <w:rPr>
                <w:rFonts w:ascii="Helvetica" w:hAnsi="Helvetica"/>
              </w:rPr>
              <w:t xml:space="preserve">B) Burden test: For each gene, </w:t>
            </w:r>
            <w:r w:rsidRPr="00BB5340">
              <w:rPr>
                <w:rFonts w:ascii="Helvetica" w:hAnsi="Helvetica"/>
                <w:color w:val="000000"/>
                <w:shd w:val="clear" w:color="auto" w:fill="FFFFFF"/>
              </w:rPr>
              <w:t>we aggregate the information for multiple rare variants into a single burden score (</w:t>
            </w:r>
            <w:r w:rsidRPr="00BB5340">
              <w:rPr>
                <w:rFonts w:ascii="Helvetica" w:hAnsi="Helvetica"/>
                <w:i/>
                <w:iCs/>
                <w:color w:val="000000"/>
                <w:shd w:val="clear" w:color="auto" w:fill="FFFFFF"/>
              </w:rPr>
              <w:t>C</w:t>
            </w:r>
            <w:r w:rsidRPr="00BB5340">
              <w:rPr>
                <w:rFonts w:ascii="Helvetica" w:hAnsi="Helvetica"/>
                <w:color w:val="000000"/>
                <w:shd w:val="clear" w:color="auto" w:fill="FFFFFF"/>
              </w:rPr>
              <w:t>) as follows:</w:t>
            </w:r>
          </w:p>
          <w:p w14:paraId="016F000B" w14:textId="77777777" w:rsidR="00556C9D" w:rsidRPr="00BB5340" w:rsidRDefault="00556C9D" w:rsidP="00556C9D">
            <w:pPr>
              <w:spacing w:line="276" w:lineRule="auto"/>
              <w:rPr>
                <w:rFonts w:ascii="Helvetica" w:hAnsi="Helvetica"/>
              </w:rPr>
            </w:pPr>
          </w:p>
          <w:p w14:paraId="1A61495D" w14:textId="77777777" w:rsidR="00556C9D" w:rsidRPr="00BB5340" w:rsidRDefault="00556C9D" w:rsidP="00556C9D">
            <w:pPr>
              <w:spacing w:line="276" w:lineRule="auto"/>
              <w:ind w:left="2880" w:firstLine="720"/>
              <w:rPr>
                <w:rFonts w:ascii="Helvetica" w:hAnsi="Helvetica"/>
                <w:i/>
                <w:iCs/>
              </w:rPr>
            </w:pPr>
            <w:r w:rsidRPr="00BB5340">
              <w:rPr>
                <w:rFonts w:ascii="Helvetica" w:hAnsi="Helvetica"/>
                <w:i/>
                <w:iCs/>
              </w:rPr>
              <w:lastRenderedPageBreak/>
              <w:t>C</w:t>
            </w:r>
            <w:r w:rsidRPr="00BB5340">
              <w:rPr>
                <w:rFonts w:ascii="Helvetica" w:hAnsi="Helvetica"/>
                <w:i/>
                <w:iCs/>
                <w:vertAlign w:val="subscript"/>
              </w:rPr>
              <w:t>i</w:t>
            </w:r>
            <w:r w:rsidRPr="00BB5340">
              <w:rPr>
                <w:rFonts w:ascii="Helvetica" w:hAnsi="Helvetica"/>
                <w:i/>
                <w:iCs/>
              </w:rPr>
              <w:t xml:space="preserve">= </w:t>
            </w:r>
            <m:oMath>
              <m:nary>
                <m:naryPr>
                  <m:chr m:val="∑"/>
                  <m:limLoc m:val="undOvr"/>
                  <m:ctrlPr>
                    <w:rPr>
                      <w:rFonts w:ascii="Cambria Math" w:hAnsi="Cambria Math"/>
                      <w:i/>
                      <w:iCs/>
                    </w:rPr>
                  </m:ctrlPr>
                </m:naryPr>
                <m:sub>
                  <m:r>
                    <w:rPr>
                      <w:rFonts w:ascii="Cambria Math" w:hAnsi="Cambria Math"/>
                    </w:rPr>
                    <m:t>j=1</m:t>
                  </m:r>
                </m:sub>
                <m:sup>
                  <m:r>
                    <w:rPr>
                      <w:rFonts w:ascii="Cambria Math" w:hAnsi="Cambria Math"/>
                    </w:rPr>
                    <m:t>m</m:t>
                  </m:r>
                </m:sup>
                <m:e>
                  <m:r>
                    <w:rPr>
                      <w:rFonts w:ascii="Cambria Math" w:hAnsi="Cambria Math"/>
                    </w:rPr>
                    <m:t xml:space="preserve"> </m:t>
                  </m:r>
                </m:e>
              </m:nary>
            </m:oMath>
            <w:r w:rsidRPr="00BB5340">
              <w:rPr>
                <w:rFonts w:ascii="Helvetica" w:hAnsi="Helvetica"/>
                <w:i/>
                <w:iCs/>
              </w:rPr>
              <w:t>G</w:t>
            </w:r>
            <w:r w:rsidRPr="00BB5340">
              <w:rPr>
                <w:rFonts w:ascii="Helvetica" w:hAnsi="Helvetica"/>
                <w:i/>
                <w:iCs/>
                <w:vertAlign w:val="subscript"/>
              </w:rPr>
              <w:t>ij</w:t>
            </w:r>
          </w:p>
          <w:p w14:paraId="21484470" w14:textId="77777777" w:rsidR="00556C9D" w:rsidRPr="00BB5340" w:rsidRDefault="00556C9D" w:rsidP="00556C9D">
            <w:pPr>
              <w:spacing w:line="276" w:lineRule="auto"/>
              <w:rPr>
                <w:rFonts w:ascii="Helvetica" w:hAnsi="Helvetica"/>
              </w:rPr>
            </w:pPr>
          </w:p>
          <w:p w14:paraId="6C763EE2" w14:textId="77777777" w:rsidR="00556C9D" w:rsidRPr="00BB5340" w:rsidRDefault="00556C9D" w:rsidP="00556C9D">
            <w:pPr>
              <w:spacing w:line="276" w:lineRule="auto"/>
              <w:rPr>
                <w:rFonts w:ascii="Helvetica" w:hAnsi="Helvetica"/>
                <w:color w:val="000000"/>
                <w:shd w:val="clear" w:color="auto" w:fill="FFFFFF"/>
              </w:rPr>
            </w:pPr>
            <w:r w:rsidRPr="00BB5340">
              <w:rPr>
                <w:rFonts w:ascii="Helvetica" w:hAnsi="Helvetica"/>
              </w:rPr>
              <w:t xml:space="preserve">For subject </w:t>
            </w:r>
            <w:r w:rsidRPr="00BB5340">
              <w:rPr>
                <w:rFonts w:ascii="Helvetica" w:hAnsi="Helvetica"/>
                <w:i/>
                <w:iCs/>
              </w:rPr>
              <w:t>i</w:t>
            </w:r>
            <w:r w:rsidRPr="00BB5340">
              <w:rPr>
                <w:rFonts w:ascii="Helvetica" w:hAnsi="Helvetica"/>
              </w:rPr>
              <w:t xml:space="preserve">, </w:t>
            </w:r>
            <w:r w:rsidRPr="00BB5340">
              <w:rPr>
                <w:rFonts w:ascii="Helvetica" w:hAnsi="Helvetica"/>
                <w:i/>
                <w:iCs/>
              </w:rPr>
              <w:t>G</w:t>
            </w:r>
            <w:r w:rsidRPr="00BB5340">
              <w:rPr>
                <w:rFonts w:ascii="Helvetica" w:hAnsi="Helvetica"/>
                <w:i/>
                <w:iCs/>
                <w:vertAlign w:val="subscript"/>
              </w:rPr>
              <w:t>i</w:t>
            </w:r>
            <w:r w:rsidRPr="00BB5340">
              <w:rPr>
                <w:rFonts w:ascii="Helvetica" w:hAnsi="Helvetica"/>
              </w:rPr>
              <w:t>={</w:t>
            </w:r>
            <w:r w:rsidRPr="00BB5340">
              <w:rPr>
                <w:rFonts w:ascii="Helvetica" w:hAnsi="Helvetica"/>
                <w:i/>
                <w:iCs/>
              </w:rPr>
              <w:t xml:space="preserve"> G</w:t>
            </w:r>
            <w:r w:rsidRPr="00BB5340">
              <w:rPr>
                <w:rFonts w:ascii="Helvetica" w:hAnsi="Helvetica"/>
                <w:i/>
                <w:iCs/>
                <w:vertAlign w:val="subscript"/>
              </w:rPr>
              <w:t>i1</w:t>
            </w:r>
            <w:r w:rsidRPr="00BB5340">
              <w:rPr>
                <w:rFonts w:ascii="Helvetica" w:hAnsi="Helvetica"/>
              </w:rPr>
              <w:t xml:space="preserve">, </w:t>
            </w:r>
            <w:r w:rsidRPr="00BB5340">
              <w:rPr>
                <w:rFonts w:ascii="Helvetica" w:hAnsi="Helvetica"/>
                <w:i/>
                <w:iCs/>
              </w:rPr>
              <w:t>G</w:t>
            </w:r>
            <w:r w:rsidRPr="00BB5340">
              <w:rPr>
                <w:rFonts w:ascii="Helvetica" w:hAnsi="Helvetica"/>
                <w:i/>
                <w:iCs/>
                <w:vertAlign w:val="subscript"/>
              </w:rPr>
              <w:t>i2</w:t>
            </w:r>
            <w:r w:rsidRPr="00BB5340">
              <w:rPr>
                <w:rFonts w:ascii="Helvetica" w:hAnsi="Helvetica"/>
              </w:rPr>
              <w:t xml:space="preserve">, …, </w:t>
            </w:r>
            <w:r w:rsidRPr="00BB5340">
              <w:rPr>
                <w:rFonts w:ascii="Helvetica" w:hAnsi="Helvetica"/>
                <w:i/>
                <w:iCs/>
              </w:rPr>
              <w:t>G</w:t>
            </w:r>
            <w:r w:rsidRPr="00BB5340">
              <w:rPr>
                <w:rFonts w:ascii="Helvetica" w:hAnsi="Helvetica"/>
                <w:i/>
                <w:iCs/>
                <w:vertAlign w:val="subscript"/>
              </w:rPr>
              <w:t>im</w:t>
            </w:r>
            <w:r w:rsidRPr="00BB5340">
              <w:rPr>
                <w:rFonts w:ascii="Helvetica" w:hAnsi="Helvetica"/>
              </w:rPr>
              <w:t xml:space="preserve">} denotes the allele counts {0,1,2} for the </w:t>
            </w:r>
            <w:r w:rsidRPr="00BB5340">
              <w:rPr>
                <w:rFonts w:ascii="Helvetica" w:hAnsi="Helvetica"/>
                <w:i/>
                <w:iCs/>
              </w:rPr>
              <w:t>m</w:t>
            </w:r>
            <w:r w:rsidRPr="00BB5340">
              <w:rPr>
                <w:rFonts w:ascii="Helvetica" w:hAnsi="Helvetica"/>
              </w:rPr>
              <w:t xml:space="preserve"> variants in the gene. We</w:t>
            </w:r>
            <w:r w:rsidRPr="00BB5340">
              <w:rPr>
                <w:rFonts w:ascii="Helvetica" w:hAnsi="Helvetica"/>
                <w:color w:val="000000"/>
                <w:shd w:val="clear" w:color="auto" w:fill="FFFFFF"/>
              </w:rPr>
              <w:t xml:space="preserve"> test the association between this score and height a linear mix model framework that allows accounting for population structure and cryptic relatedness. Age, gender and the relevant PCs will be included as covariates in the model. </w:t>
            </w:r>
          </w:p>
          <w:p w14:paraId="0F576385" w14:textId="77777777" w:rsidR="00556C9D" w:rsidRPr="00BB5340" w:rsidRDefault="00556C9D" w:rsidP="00556C9D">
            <w:pPr>
              <w:spacing w:line="276" w:lineRule="auto"/>
              <w:rPr>
                <w:rFonts w:ascii="Helvetica" w:hAnsi="Helvetica"/>
              </w:rPr>
            </w:pPr>
          </w:p>
          <w:p w14:paraId="2691A77B" w14:textId="77777777" w:rsidR="00556C9D" w:rsidRDefault="00556C9D" w:rsidP="00556C9D">
            <w:r w:rsidRPr="00BB5340">
              <w:rPr>
                <w:rFonts w:ascii="Helvetica" w:hAnsi="Helvetica"/>
              </w:rPr>
              <w:t xml:space="preserve">3- </w:t>
            </w:r>
            <w:r w:rsidRPr="00BB5340">
              <w:rPr>
                <w:rFonts w:ascii="Helvetica" w:hAnsi="Helvetica" w:cs="Arial"/>
                <w:spacing w:val="-3"/>
              </w:rPr>
              <w:t xml:space="preserve">PheWAS: We will use </w:t>
            </w:r>
            <w:r w:rsidRPr="00BB5340">
              <w:rPr>
                <w:rFonts w:ascii="Helvetica" w:hAnsi="Helvetica"/>
                <w:color w:val="000000"/>
                <w:shd w:val="clear" w:color="auto" w:fill="FFFFFF"/>
              </w:rPr>
              <w:t xml:space="preserve">a linear mix model framework </w:t>
            </w:r>
            <w:r>
              <w:rPr>
                <w:rFonts w:ascii="Helvetica" w:hAnsi="Helvetica"/>
                <w:color w:val="000000"/>
                <w:shd w:val="clear" w:color="auto" w:fill="FFFFFF"/>
              </w:rPr>
              <w:t xml:space="preserve">as implemented in lme4 package in R </w:t>
            </w:r>
            <w:hyperlink r:id="rId18" w:history="1">
              <w:r>
                <w:rPr>
                  <w:rStyle w:val="Hyperlink"/>
                  <w:rFonts w:ascii="Arial" w:hAnsi="Arial" w:cs="Arial"/>
                  <w:color w:val="1155CC"/>
                  <w:sz w:val="22"/>
                  <w:szCs w:val="22"/>
                  <w:shd w:val="clear" w:color="auto" w:fill="FFFFFF"/>
                </w:rPr>
                <w:t>(Bates et al. 2015)</w:t>
              </w:r>
            </w:hyperlink>
          </w:p>
          <w:p w14:paraId="3CD2DC12" w14:textId="77777777" w:rsidR="00556C9D" w:rsidRPr="0076555A" w:rsidRDefault="00556C9D" w:rsidP="00556C9D">
            <w:pPr>
              <w:spacing w:line="276" w:lineRule="auto"/>
              <w:rPr>
                <w:rFonts w:ascii="Helvetica" w:hAnsi="Helvetica"/>
              </w:rPr>
            </w:pPr>
            <w:r>
              <w:rPr>
                <w:rFonts w:ascii="Helvetica" w:hAnsi="Helvetica"/>
                <w:color w:val="000000"/>
                <w:shd w:val="clear" w:color="auto" w:fill="FFFFFF"/>
              </w:rPr>
              <w:t xml:space="preserve"> </w:t>
            </w:r>
            <w:r w:rsidRPr="00BB5340">
              <w:rPr>
                <w:rFonts w:ascii="Helvetica" w:hAnsi="Helvetica"/>
                <w:color w:val="000000"/>
                <w:shd w:val="clear" w:color="auto" w:fill="FFFFFF"/>
              </w:rPr>
              <w:t xml:space="preserve">that allows accounting for population structure and cryptic relatedness, to test for </w:t>
            </w:r>
            <w:r w:rsidRPr="00BB5340">
              <w:rPr>
                <w:rFonts w:ascii="Helvetica" w:hAnsi="Helvetica" w:cs="Arial"/>
                <w:spacing w:val="-3"/>
              </w:rPr>
              <w:t xml:space="preserve">association between </w:t>
            </w:r>
            <w:r w:rsidRPr="00BB5340">
              <w:rPr>
                <w:rFonts w:ascii="Helvetica" w:hAnsi="Helvetica"/>
                <w:color w:val="000000"/>
                <w:shd w:val="clear" w:color="auto" w:fill="FFFFFF"/>
              </w:rPr>
              <w:t>the five FBN1 height-associated variants</w:t>
            </w:r>
            <w:r w:rsidRPr="00BB5340">
              <w:rPr>
                <w:rFonts w:ascii="Helvetica" w:hAnsi="Helvetica" w:cs="Arial"/>
                <w:spacing w:val="-3"/>
              </w:rPr>
              <w:t xml:space="preserve"> with </w:t>
            </w:r>
            <w:r>
              <w:rPr>
                <w:rFonts w:ascii="Helvetica" w:hAnsi="Helvetica" w:cs="Arial"/>
                <w:spacing w:val="-3"/>
              </w:rPr>
              <w:t>the</w:t>
            </w:r>
            <w:r w:rsidRPr="00BB5340">
              <w:rPr>
                <w:rFonts w:ascii="Helvetica" w:hAnsi="Helvetica" w:cs="Arial"/>
                <w:spacing w:val="-3"/>
              </w:rPr>
              <w:t xml:space="preserve"> phenotypes</w:t>
            </w:r>
            <w:r>
              <w:rPr>
                <w:rFonts w:ascii="Helvetica" w:hAnsi="Helvetica" w:cs="Arial"/>
                <w:spacing w:val="-3"/>
              </w:rPr>
              <w:t xml:space="preserve"> listed above</w:t>
            </w:r>
            <w:r w:rsidRPr="00BB5340">
              <w:rPr>
                <w:rFonts w:ascii="Helvetica" w:hAnsi="Helvetica" w:cs="Arial"/>
                <w:i/>
                <w:spacing w:val="-3"/>
              </w:rPr>
              <w:t xml:space="preserve">. </w:t>
            </w:r>
            <w:r w:rsidRPr="00BB5340">
              <w:rPr>
                <w:rFonts w:ascii="Helvetica" w:hAnsi="Helvetica"/>
                <w:color w:val="000000"/>
                <w:shd w:val="clear" w:color="auto" w:fill="FFFFFF"/>
              </w:rPr>
              <w:t xml:space="preserve">Age, gender and the relevant PCs will be included as covariates in the model. </w:t>
            </w:r>
          </w:p>
          <w:p w14:paraId="29BD5FD2" w14:textId="77777777" w:rsidR="00556C9D" w:rsidRDefault="00556C9D" w:rsidP="00CF0D06">
            <w:pPr>
              <w:rPr>
                <w:rFonts w:asciiTheme="majorHAnsi" w:hAnsiTheme="majorHAnsi" w:cstheme="majorHAnsi"/>
                <w:sz w:val="22"/>
                <w:szCs w:val="22"/>
              </w:rPr>
            </w:pPr>
          </w:p>
          <w:p w14:paraId="13800465" w14:textId="77777777" w:rsidR="00556C9D" w:rsidRDefault="00556C9D" w:rsidP="00CF0D06">
            <w:pPr>
              <w:rPr>
                <w:rFonts w:asciiTheme="majorHAnsi" w:hAnsiTheme="majorHAnsi" w:cstheme="majorHAnsi"/>
                <w:sz w:val="22"/>
                <w:szCs w:val="22"/>
              </w:rPr>
            </w:pPr>
          </w:p>
          <w:p w14:paraId="51FA79D4" w14:textId="77777777" w:rsidR="00556C9D" w:rsidRDefault="00556C9D" w:rsidP="00CF0D06">
            <w:pPr>
              <w:rPr>
                <w:rFonts w:asciiTheme="majorHAnsi" w:hAnsiTheme="majorHAnsi" w:cstheme="majorHAnsi"/>
                <w:sz w:val="22"/>
                <w:szCs w:val="22"/>
              </w:rPr>
            </w:pPr>
          </w:p>
          <w:p w14:paraId="40461DB7" w14:textId="43A5FD7D" w:rsidR="00556C9D" w:rsidRPr="008673B8" w:rsidRDefault="00556C9D" w:rsidP="00CF0D06">
            <w:pPr>
              <w:rPr>
                <w:rFonts w:asciiTheme="majorHAnsi" w:hAnsiTheme="majorHAnsi" w:cstheme="majorHAnsi"/>
                <w:sz w:val="22"/>
                <w:szCs w:val="22"/>
              </w:rPr>
            </w:pPr>
          </w:p>
        </w:tc>
      </w:tr>
      <w:tr w:rsidR="00556C9D"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556C9D" w:rsidRPr="0074111E" w:rsidRDefault="00556C9D" w:rsidP="00CF0D06">
            <w:pPr>
              <w:rPr>
                <w:rFonts w:ascii="Calibri Light" w:hAnsi="Calibri Light"/>
                <w:b/>
                <w:sz w:val="22"/>
              </w:rPr>
            </w:pPr>
            <w:r w:rsidRPr="0074111E">
              <w:rPr>
                <w:rFonts w:ascii="Calibri Light" w:hAnsi="Calibri Light"/>
                <w:b/>
                <w:sz w:val="22"/>
              </w:rPr>
              <w:lastRenderedPageBreak/>
              <w:t>Desired</w:t>
            </w:r>
            <w:r>
              <w:rPr>
                <w:rFonts w:ascii="Calibri Light" w:hAnsi="Calibri Light"/>
                <w:b/>
                <w:sz w:val="22"/>
              </w:rPr>
              <w:t xml:space="preserve"> Data - Common Variables* </w:t>
            </w:r>
          </w:p>
          <w:p w14:paraId="49315DDC" w14:textId="593972D6" w:rsidR="00556C9D" w:rsidRPr="000B7654" w:rsidRDefault="00556C9D" w:rsidP="00CF0D06">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51A0C4FC" w:rsidR="00556C9D" w:rsidRPr="00556C9D" w:rsidRDefault="00F54EC2" w:rsidP="00D5597C">
            <w:pPr>
              <w:rPr>
                <w:rFonts w:asciiTheme="majorHAnsi" w:hAnsiTheme="majorHAnsi" w:cstheme="majorHAnsi"/>
                <w:sz w:val="22"/>
                <w:szCs w:val="22"/>
                <w:lang w:val="fr-CH"/>
              </w:rPr>
            </w:pPr>
            <w:sdt>
              <w:sdtPr>
                <w:rPr>
                  <w:rFonts w:asciiTheme="majorHAnsi" w:hAnsiTheme="majorHAnsi" w:cstheme="majorHAnsi"/>
                  <w:sz w:val="22"/>
                  <w:szCs w:val="22"/>
                  <w:lang w:val="fr-CH"/>
                </w:rPr>
                <w:id w:val="-136341255"/>
                <w14:checkbox>
                  <w14:checked w14:val="1"/>
                  <w14:checkedState w14:val="2612" w14:font="MS Gothic"/>
                  <w14:uncheckedState w14:val="2610" w14:font="MS Gothic"/>
                </w14:checkbox>
              </w:sdtPr>
              <w:sdtEndPr/>
              <w:sdtContent>
                <w:r w:rsidR="00556C9D">
                  <w:rPr>
                    <w:rFonts w:ascii="MS Gothic" w:eastAsia="MS Gothic" w:hAnsi="MS Gothic" w:cstheme="majorHAnsi" w:hint="eastAsia"/>
                    <w:sz w:val="22"/>
                    <w:szCs w:val="22"/>
                    <w:lang w:val="fr-CH"/>
                  </w:rPr>
                  <w:t>☒</w:t>
                </w:r>
              </w:sdtContent>
            </w:sdt>
            <w:r w:rsidR="00556C9D" w:rsidRPr="00556C9D">
              <w:rPr>
                <w:rFonts w:asciiTheme="majorHAnsi" w:hAnsiTheme="majorHAnsi" w:cstheme="majorHAnsi"/>
                <w:sz w:val="22"/>
                <w:szCs w:val="22"/>
                <w:lang w:val="fr-CH"/>
              </w:rPr>
              <w:t xml:space="preserve">Demographics                               </w:t>
            </w:r>
          </w:p>
          <w:p w14:paraId="1611A790" w14:textId="3ED18BD3" w:rsidR="00556C9D" w:rsidRPr="00556C9D" w:rsidRDefault="00F54EC2" w:rsidP="00D5597C">
            <w:pPr>
              <w:rPr>
                <w:rFonts w:asciiTheme="majorHAnsi" w:hAnsiTheme="majorHAnsi" w:cstheme="majorHAnsi"/>
                <w:sz w:val="22"/>
                <w:szCs w:val="22"/>
                <w:lang w:val="fr-CH"/>
              </w:rPr>
            </w:pPr>
            <w:sdt>
              <w:sdtPr>
                <w:rPr>
                  <w:rFonts w:asciiTheme="majorHAnsi" w:hAnsiTheme="majorHAnsi" w:cstheme="majorHAnsi"/>
                  <w:sz w:val="22"/>
                  <w:szCs w:val="22"/>
                  <w:lang w:val="fr-CH"/>
                </w:rPr>
                <w:id w:val="-1242643903"/>
                <w14:checkbox>
                  <w14:checked w14:val="1"/>
                  <w14:checkedState w14:val="2612" w14:font="MS Gothic"/>
                  <w14:uncheckedState w14:val="2610" w14:font="MS Gothic"/>
                </w14:checkbox>
              </w:sdtPr>
              <w:sdtEndPr/>
              <w:sdtContent>
                <w:r w:rsidR="00556C9D">
                  <w:rPr>
                    <w:rFonts w:ascii="MS Gothic" w:eastAsia="MS Gothic" w:hAnsi="MS Gothic" w:cstheme="majorHAnsi" w:hint="eastAsia"/>
                    <w:sz w:val="22"/>
                    <w:szCs w:val="22"/>
                    <w:lang w:val="fr-CH"/>
                  </w:rPr>
                  <w:t>☒</w:t>
                </w:r>
              </w:sdtContent>
            </w:sdt>
            <w:r w:rsidR="00556C9D" w:rsidRPr="00556C9D">
              <w:rPr>
                <w:rFonts w:asciiTheme="majorHAnsi" w:hAnsiTheme="majorHAnsi" w:cstheme="majorHAnsi"/>
                <w:sz w:val="22"/>
                <w:szCs w:val="22"/>
                <w:lang w:val="fr-CH"/>
              </w:rPr>
              <w:t>ICD9/10 codes</w:t>
            </w:r>
          </w:p>
          <w:p w14:paraId="3E560944" w14:textId="06C01B88" w:rsidR="00556C9D" w:rsidRPr="00556C9D" w:rsidRDefault="00F54EC2" w:rsidP="00D5597C">
            <w:pPr>
              <w:rPr>
                <w:rFonts w:asciiTheme="majorHAnsi" w:hAnsiTheme="majorHAnsi" w:cstheme="majorHAnsi"/>
                <w:sz w:val="22"/>
                <w:szCs w:val="22"/>
                <w:lang w:val="fr-CH"/>
              </w:rPr>
            </w:pPr>
            <w:sdt>
              <w:sdtPr>
                <w:rPr>
                  <w:rFonts w:asciiTheme="majorHAnsi" w:hAnsiTheme="majorHAnsi" w:cstheme="majorHAnsi"/>
                  <w:sz w:val="22"/>
                  <w:szCs w:val="22"/>
                  <w:lang w:val="fr-CH"/>
                </w:rPr>
                <w:id w:val="1267894178"/>
                <w14:checkbox>
                  <w14:checked w14:val="0"/>
                  <w14:checkedState w14:val="2612" w14:font="MS Gothic"/>
                  <w14:uncheckedState w14:val="2610" w14:font="MS Gothic"/>
                </w14:checkbox>
              </w:sdtPr>
              <w:sdtEndPr/>
              <w:sdtContent>
                <w:r w:rsidR="00556C9D" w:rsidRPr="00556C9D">
                  <w:rPr>
                    <w:rFonts w:ascii="MS Gothic" w:eastAsia="MS Gothic" w:hAnsi="MS Gothic" w:cstheme="majorHAnsi" w:hint="eastAsia"/>
                    <w:sz w:val="22"/>
                    <w:szCs w:val="22"/>
                    <w:lang w:val="fr-CH"/>
                  </w:rPr>
                  <w:t>☐</w:t>
                </w:r>
              </w:sdtContent>
            </w:sdt>
            <w:r w:rsidR="00556C9D" w:rsidRPr="00556C9D">
              <w:rPr>
                <w:rFonts w:asciiTheme="majorHAnsi" w:hAnsiTheme="majorHAnsi" w:cstheme="majorHAnsi"/>
                <w:sz w:val="22"/>
                <w:szCs w:val="22"/>
                <w:lang w:val="fr-CH"/>
              </w:rPr>
              <w:t>CPT codes</w:t>
            </w:r>
          </w:p>
          <w:p w14:paraId="05AE5A43" w14:textId="495B68C4" w:rsidR="00556C9D" w:rsidRPr="00556C9D" w:rsidRDefault="00F54EC2" w:rsidP="00D5597C">
            <w:pPr>
              <w:rPr>
                <w:rFonts w:asciiTheme="majorHAnsi" w:hAnsiTheme="majorHAnsi" w:cstheme="majorHAnsi"/>
                <w:sz w:val="22"/>
                <w:szCs w:val="22"/>
                <w:lang w:val="fr-CH"/>
              </w:rPr>
            </w:pPr>
            <w:sdt>
              <w:sdtPr>
                <w:rPr>
                  <w:rFonts w:asciiTheme="majorHAnsi" w:hAnsiTheme="majorHAnsi" w:cstheme="majorHAnsi"/>
                  <w:sz w:val="22"/>
                  <w:szCs w:val="22"/>
                  <w:lang w:val="fr-CH"/>
                </w:rPr>
                <w:id w:val="-1413849811"/>
                <w14:checkbox>
                  <w14:checked w14:val="1"/>
                  <w14:checkedState w14:val="2612" w14:font="MS Gothic"/>
                  <w14:uncheckedState w14:val="2610" w14:font="MS Gothic"/>
                </w14:checkbox>
              </w:sdtPr>
              <w:sdtEndPr/>
              <w:sdtContent>
                <w:r w:rsidR="00556C9D">
                  <w:rPr>
                    <w:rFonts w:ascii="MS Gothic" w:eastAsia="MS Gothic" w:hAnsi="MS Gothic" w:cstheme="majorHAnsi" w:hint="eastAsia"/>
                    <w:sz w:val="22"/>
                    <w:szCs w:val="22"/>
                    <w:lang w:val="fr-CH"/>
                  </w:rPr>
                  <w:t>☒</w:t>
                </w:r>
              </w:sdtContent>
            </w:sdt>
            <w:r w:rsidR="00556C9D" w:rsidRPr="00556C9D">
              <w:rPr>
                <w:rFonts w:asciiTheme="majorHAnsi" w:hAnsiTheme="majorHAnsi" w:cstheme="majorHAnsi"/>
                <w:sz w:val="22"/>
                <w:szCs w:val="22"/>
                <w:lang w:val="fr-CH"/>
              </w:rPr>
              <w:t>Phecodes</w:t>
            </w:r>
          </w:p>
          <w:p w14:paraId="3A9ACBE3" w14:textId="012907E6" w:rsidR="00556C9D" w:rsidRPr="00D5597C" w:rsidRDefault="00F54EC2" w:rsidP="00D5597C">
            <w:pPr>
              <w:rPr>
                <w:rFonts w:asciiTheme="majorHAnsi" w:hAnsiTheme="majorHAnsi" w:cstheme="majorHAnsi"/>
                <w:sz w:val="22"/>
                <w:szCs w:val="22"/>
              </w:rPr>
            </w:pPr>
            <w:sdt>
              <w:sdtPr>
                <w:rPr>
                  <w:rFonts w:asciiTheme="majorHAnsi" w:hAnsiTheme="majorHAnsi" w:cstheme="majorHAnsi"/>
                  <w:sz w:val="22"/>
                  <w:szCs w:val="22"/>
                </w:rPr>
                <w:id w:val="1411115537"/>
                <w14:checkbox>
                  <w14:checked w14:val="1"/>
                  <w14:checkedState w14:val="2612" w14:font="MS Gothic"/>
                  <w14:uncheckedState w14:val="2610" w14:font="MS Gothic"/>
                </w14:checkbox>
              </w:sdtPr>
              <w:sdtEndPr/>
              <w:sdtContent>
                <w:r w:rsidR="00556C9D">
                  <w:rPr>
                    <w:rFonts w:ascii="MS Gothic" w:eastAsia="MS Gothic" w:hAnsi="MS Gothic" w:cstheme="majorHAnsi" w:hint="eastAsia"/>
                    <w:sz w:val="22"/>
                    <w:szCs w:val="22"/>
                  </w:rPr>
                  <w:t>☒</w:t>
                </w:r>
              </w:sdtContent>
            </w:sdt>
            <w:r w:rsidR="00556C9D" w:rsidRPr="00D5597C">
              <w:rPr>
                <w:rFonts w:asciiTheme="majorHAnsi" w:hAnsiTheme="majorHAnsi" w:cstheme="majorHAnsi"/>
                <w:sz w:val="22"/>
                <w:szCs w:val="22"/>
              </w:rPr>
              <w:t>BMI</w:t>
            </w:r>
          </w:p>
        </w:tc>
        <w:tc>
          <w:tcPr>
            <w:tcW w:w="4132" w:type="dxa"/>
          </w:tcPr>
          <w:p w14:paraId="2574C661" w14:textId="1A686375" w:rsidR="00556C9D" w:rsidRPr="00D5597C" w:rsidRDefault="00F54EC2" w:rsidP="00D5597C">
            <w:pPr>
              <w:rPr>
                <w:rFonts w:asciiTheme="majorHAnsi" w:hAnsiTheme="majorHAnsi" w:cstheme="majorHAnsi"/>
                <w:sz w:val="22"/>
                <w:szCs w:val="22"/>
              </w:rPr>
            </w:pPr>
            <w:sdt>
              <w:sdtPr>
                <w:rPr>
                  <w:rFonts w:asciiTheme="majorHAnsi" w:hAnsiTheme="majorHAnsi" w:cstheme="majorHAnsi"/>
                  <w:sz w:val="22"/>
                  <w:szCs w:val="22"/>
                </w:rPr>
                <w:id w:val="-351961600"/>
                <w14:checkbox>
                  <w14:checked w14:val="0"/>
                  <w14:checkedState w14:val="2612" w14:font="MS Gothic"/>
                  <w14:uncheckedState w14:val="2610" w14:font="MS Gothic"/>
                </w14:checkbox>
              </w:sdtPr>
              <w:sdtEndPr/>
              <w:sdtContent>
                <w:r w:rsidR="00556C9D">
                  <w:rPr>
                    <w:rFonts w:ascii="MS Gothic" w:eastAsia="MS Gothic" w:hAnsi="MS Gothic" w:cstheme="majorHAnsi" w:hint="eastAsia"/>
                    <w:sz w:val="22"/>
                    <w:szCs w:val="22"/>
                  </w:rPr>
                  <w:t>☐</w:t>
                </w:r>
              </w:sdtContent>
            </w:sdt>
            <w:r w:rsidR="00556C9D" w:rsidRPr="00D5597C">
              <w:rPr>
                <w:rFonts w:asciiTheme="majorHAnsi" w:hAnsiTheme="majorHAnsi" w:cstheme="majorHAnsi"/>
                <w:sz w:val="22"/>
                <w:szCs w:val="22"/>
              </w:rPr>
              <w:t>Common Variable Labs</w:t>
            </w:r>
          </w:p>
          <w:p w14:paraId="0BEB2E50" w14:textId="61598D17" w:rsidR="00556C9D" w:rsidRPr="00D5597C" w:rsidRDefault="00F54EC2" w:rsidP="00D5597C">
            <w:pPr>
              <w:rPr>
                <w:rFonts w:asciiTheme="majorHAnsi" w:hAnsiTheme="majorHAnsi" w:cstheme="majorHAnsi"/>
                <w:sz w:val="22"/>
                <w:szCs w:val="22"/>
              </w:rPr>
            </w:pPr>
            <w:sdt>
              <w:sdtPr>
                <w:rPr>
                  <w:rFonts w:asciiTheme="majorHAnsi" w:hAnsiTheme="majorHAnsi" w:cstheme="majorHAnsi"/>
                  <w:sz w:val="22"/>
                  <w:szCs w:val="22"/>
                </w:rPr>
                <w:id w:val="-975362202"/>
                <w14:checkbox>
                  <w14:checked w14:val="0"/>
                  <w14:checkedState w14:val="2612" w14:font="MS Gothic"/>
                  <w14:uncheckedState w14:val="2610" w14:font="MS Gothic"/>
                </w14:checkbox>
              </w:sdtPr>
              <w:sdtEndPr/>
              <w:sdtContent>
                <w:r w:rsidR="00556C9D">
                  <w:rPr>
                    <w:rFonts w:ascii="MS Gothic" w:eastAsia="MS Gothic" w:hAnsi="MS Gothic" w:cstheme="majorHAnsi" w:hint="eastAsia"/>
                    <w:sz w:val="22"/>
                    <w:szCs w:val="22"/>
                  </w:rPr>
                  <w:t>☐</w:t>
                </w:r>
              </w:sdtContent>
            </w:sdt>
            <w:r w:rsidR="00556C9D" w:rsidRPr="00D5597C">
              <w:rPr>
                <w:rFonts w:asciiTheme="majorHAnsi" w:hAnsiTheme="majorHAnsi" w:cstheme="majorHAnsi"/>
                <w:sz w:val="22"/>
                <w:szCs w:val="22"/>
              </w:rPr>
              <w:t>Common Variable Meds</w:t>
            </w:r>
          </w:p>
          <w:p w14:paraId="585C79F2" w14:textId="475C0911" w:rsidR="00556C9D" w:rsidRPr="00D5597C" w:rsidRDefault="00F54EC2" w:rsidP="00D5597C">
            <w:pPr>
              <w:rPr>
                <w:rFonts w:asciiTheme="majorHAnsi" w:hAnsiTheme="majorHAnsi" w:cstheme="majorHAnsi"/>
                <w:sz w:val="22"/>
                <w:szCs w:val="22"/>
              </w:rPr>
            </w:pPr>
            <w:sdt>
              <w:sdtPr>
                <w:rPr>
                  <w:rFonts w:asciiTheme="majorHAnsi" w:hAnsiTheme="majorHAnsi" w:cstheme="majorHAnsi"/>
                  <w:sz w:val="22"/>
                  <w:szCs w:val="22"/>
                </w:rPr>
                <w:id w:val="278918832"/>
                <w14:checkbox>
                  <w14:checked w14:val="0"/>
                  <w14:checkedState w14:val="2612" w14:font="MS Gothic"/>
                  <w14:uncheckedState w14:val="2610" w14:font="MS Gothic"/>
                </w14:checkbox>
              </w:sdtPr>
              <w:sdtEndPr/>
              <w:sdtContent>
                <w:r w:rsidR="00556C9D">
                  <w:rPr>
                    <w:rFonts w:ascii="MS Gothic" w:eastAsia="MS Gothic" w:hAnsi="MS Gothic" w:cstheme="majorHAnsi" w:hint="eastAsia"/>
                    <w:sz w:val="22"/>
                    <w:szCs w:val="22"/>
                  </w:rPr>
                  <w:t>☐</w:t>
                </w:r>
              </w:sdtContent>
            </w:sdt>
            <w:r w:rsidR="00556C9D" w:rsidRPr="00D5597C">
              <w:rPr>
                <w:rFonts w:asciiTheme="majorHAnsi" w:hAnsiTheme="majorHAnsi" w:cstheme="majorHAnsi"/>
                <w:sz w:val="22"/>
                <w:szCs w:val="22"/>
              </w:rPr>
              <w:t>Other: Case/Control status on Phase I and Phase II phenotypes</w:t>
            </w:r>
          </w:p>
          <w:p w14:paraId="6EBF0C4F" w14:textId="49342840" w:rsidR="00556C9D" w:rsidRPr="00376326" w:rsidRDefault="00556C9D" w:rsidP="00B845FF">
            <w:pPr>
              <w:pStyle w:val="ListParagraph"/>
              <w:rPr>
                <w:rFonts w:asciiTheme="majorHAnsi" w:hAnsiTheme="majorHAnsi" w:cstheme="majorHAnsi"/>
                <w:sz w:val="22"/>
                <w:szCs w:val="22"/>
              </w:rPr>
            </w:pPr>
          </w:p>
        </w:tc>
      </w:tr>
      <w:tr w:rsidR="00556C9D"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556C9D" w:rsidRPr="0074111E" w:rsidRDefault="00556C9D" w:rsidP="00CF0D06">
            <w:pPr>
              <w:rPr>
                <w:rFonts w:ascii="Calibri Light" w:hAnsi="Calibri Light"/>
                <w:b/>
                <w:sz w:val="22"/>
              </w:rPr>
            </w:pPr>
            <w:r>
              <w:rPr>
                <w:rFonts w:ascii="Calibri Light" w:hAnsi="Calibri Light"/>
                <w:b/>
                <w:sz w:val="22"/>
              </w:rPr>
              <w:t xml:space="preserve">Other Desired Data </w:t>
            </w:r>
            <w:r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E20B6DB" w14:textId="77777777" w:rsidR="00556C9D" w:rsidRDefault="00556C9D" w:rsidP="000B7654">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Pr>
                <w:rFonts w:asciiTheme="majorHAnsi" w:hAnsiTheme="majorHAnsi" w:cstheme="majorHAnsi"/>
                <w:i/>
                <w:sz w:val="22"/>
                <w:szCs w:val="22"/>
              </w:rPr>
              <w:t>data elements</w:t>
            </w:r>
            <w:r w:rsidRPr="000B7654">
              <w:rPr>
                <w:rFonts w:asciiTheme="majorHAnsi" w:hAnsiTheme="majorHAnsi" w:cstheme="majorHAnsi"/>
                <w:i/>
                <w:sz w:val="22"/>
                <w:szCs w:val="22"/>
              </w:rPr>
              <w:t xml:space="preserve"> that </w:t>
            </w:r>
            <w:r>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 xml:space="preserve">(i.e. not common variables above) </w:t>
            </w:r>
          </w:p>
          <w:p w14:paraId="01DCE786" w14:textId="28461C90" w:rsidR="00556C9D" w:rsidRPr="00556C9D" w:rsidRDefault="00556C9D" w:rsidP="00556C9D">
            <w:pPr>
              <w:rPr>
                <w:rFonts w:ascii="Helvetica" w:eastAsia="Heiti SC Light" w:hAnsi="Helvetica" w:cstheme="majorHAnsi"/>
                <w:iCs/>
              </w:rPr>
            </w:pPr>
            <w:r w:rsidRPr="00556C9D">
              <w:rPr>
                <w:rFonts w:ascii="Helvetica" w:eastAsia="Heiti SC Light" w:hAnsi="Helvetica" w:cstheme="majorHAnsi"/>
                <w:iCs/>
              </w:rPr>
              <w:t>FBN1 sequencing data</w:t>
            </w:r>
          </w:p>
        </w:tc>
      </w:tr>
      <w:tr w:rsidR="00556C9D"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556C9D" w:rsidRPr="0074111E" w:rsidRDefault="00556C9D">
            <w:pPr>
              <w:rPr>
                <w:rFonts w:ascii="Calibri Light" w:hAnsi="Calibri Light"/>
                <w:b/>
                <w:sz w:val="22"/>
              </w:rPr>
            </w:pPr>
            <w:r w:rsidRPr="0074111E">
              <w:rPr>
                <w:rFonts w:ascii="Calibri Light" w:hAnsi="Calibri Light"/>
                <w:b/>
                <w:sz w:val="22"/>
              </w:rPr>
              <w:t xml:space="preserve">Desired </w:t>
            </w:r>
            <w:r>
              <w:rPr>
                <w:rFonts w:ascii="Calibri Light" w:hAnsi="Calibri Light"/>
                <w:b/>
                <w:sz w:val="22"/>
              </w:rPr>
              <w:t>Genetic 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0AE3AD85" w:rsidR="00556C9D" w:rsidRPr="00D5597C" w:rsidRDefault="00F54EC2" w:rsidP="00D5597C">
            <w:pPr>
              <w:rPr>
                <w:rFonts w:asciiTheme="majorHAnsi" w:hAnsiTheme="majorHAnsi" w:cstheme="majorHAnsi"/>
                <w:sz w:val="22"/>
                <w:szCs w:val="22"/>
              </w:rPr>
            </w:pPr>
            <w:sdt>
              <w:sdtPr>
                <w:rPr>
                  <w:rFonts w:asciiTheme="majorHAnsi" w:hAnsiTheme="majorHAnsi" w:cstheme="majorHAnsi"/>
                  <w:sz w:val="22"/>
                  <w:szCs w:val="22"/>
                </w:rPr>
                <w:id w:val="2094039862"/>
                <w14:checkbox>
                  <w14:checked w14:val="0"/>
                  <w14:checkedState w14:val="2612" w14:font="MS Gothic"/>
                  <w14:uncheckedState w14:val="2610" w14:font="MS Gothic"/>
                </w14:checkbox>
              </w:sdtPr>
              <w:sdtEndPr/>
              <w:sdtContent>
                <w:r w:rsidR="00556C9D">
                  <w:rPr>
                    <w:rFonts w:ascii="MS Gothic" w:eastAsia="MS Gothic" w:hAnsi="MS Gothic" w:cstheme="majorHAnsi" w:hint="eastAsia"/>
                    <w:sz w:val="22"/>
                    <w:szCs w:val="22"/>
                  </w:rPr>
                  <w:t>☐</w:t>
                </w:r>
              </w:sdtContent>
            </w:sdt>
            <w:r w:rsidR="00556C9D" w:rsidRPr="00D5597C">
              <w:rPr>
                <w:rFonts w:asciiTheme="majorHAnsi" w:hAnsiTheme="majorHAnsi" w:cstheme="majorHAnsi"/>
                <w:sz w:val="22"/>
                <w:szCs w:val="22"/>
              </w:rPr>
              <w:t>eMERGE I-III Merged set (HRC imputed, GWAS)</w:t>
            </w:r>
          </w:p>
          <w:p w14:paraId="0175EB89" w14:textId="3FD8BEC1" w:rsidR="00556C9D" w:rsidRPr="00D5597C" w:rsidRDefault="00F54EC2" w:rsidP="00D5597C">
            <w:pPr>
              <w:rPr>
                <w:rFonts w:asciiTheme="majorHAnsi" w:hAnsiTheme="majorHAnsi" w:cstheme="majorHAnsi"/>
                <w:sz w:val="22"/>
                <w:szCs w:val="22"/>
              </w:rPr>
            </w:pPr>
            <w:sdt>
              <w:sdtPr>
                <w:rPr>
                  <w:rFonts w:asciiTheme="majorHAnsi" w:hAnsiTheme="majorHAnsi" w:cstheme="majorHAnsi"/>
                  <w:sz w:val="22"/>
                  <w:szCs w:val="22"/>
                </w:rPr>
                <w:id w:val="1401327958"/>
                <w14:checkbox>
                  <w14:checked w14:val="0"/>
                  <w14:checkedState w14:val="2612" w14:font="MS Gothic"/>
                  <w14:uncheckedState w14:val="2610" w14:font="MS Gothic"/>
                </w14:checkbox>
              </w:sdtPr>
              <w:sdtEndPr/>
              <w:sdtContent>
                <w:r w:rsidR="00556C9D">
                  <w:rPr>
                    <w:rFonts w:ascii="MS Gothic" w:eastAsia="MS Gothic" w:hAnsi="MS Gothic" w:cstheme="majorHAnsi" w:hint="eastAsia"/>
                    <w:sz w:val="22"/>
                    <w:szCs w:val="22"/>
                  </w:rPr>
                  <w:t>☐</w:t>
                </w:r>
              </w:sdtContent>
            </w:sdt>
            <w:r w:rsidR="00556C9D" w:rsidRPr="00D5597C">
              <w:rPr>
                <w:rFonts w:asciiTheme="majorHAnsi" w:hAnsiTheme="majorHAnsi" w:cstheme="majorHAnsi"/>
                <w:sz w:val="22"/>
                <w:szCs w:val="22"/>
              </w:rPr>
              <w:t xml:space="preserve">eMERGE PGx/PGRNseq data set </w:t>
            </w:r>
          </w:p>
          <w:p w14:paraId="23D993BB" w14:textId="6B4DAC1D" w:rsidR="00556C9D" w:rsidRPr="00D5597C" w:rsidRDefault="00F54EC2" w:rsidP="00D5597C">
            <w:pPr>
              <w:rPr>
                <w:rFonts w:asciiTheme="majorHAnsi" w:hAnsiTheme="majorHAnsi" w:cstheme="majorHAnsi"/>
                <w:sz w:val="22"/>
                <w:szCs w:val="22"/>
              </w:rPr>
            </w:pPr>
            <w:sdt>
              <w:sdtPr>
                <w:rPr>
                  <w:rFonts w:asciiTheme="majorHAnsi" w:hAnsiTheme="majorHAnsi" w:cstheme="majorHAnsi"/>
                  <w:sz w:val="22"/>
                  <w:szCs w:val="22"/>
                </w:rPr>
                <w:id w:val="-655230486"/>
                <w14:checkbox>
                  <w14:checked w14:val="1"/>
                  <w14:checkedState w14:val="2612" w14:font="MS Gothic"/>
                  <w14:uncheckedState w14:val="2610" w14:font="MS Gothic"/>
                </w14:checkbox>
              </w:sdtPr>
              <w:sdtEndPr/>
              <w:sdtContent>
                <w:r w:rsidR="00E9698D">
                  <w:rPr>
                    <w:rFonts w:ascii="MS Gothic" w:eastAsia="MS Gothic" w:hAnsi="MS Gothic" w:cstheme="majorHAnsi" w:hint="eastAsia"/>
                    <w:sz w:val="22"/>
                    <w:szCs w:val="22"/>
                  </w:rPr>
                  <w:t>☒</w:t>
                </w:r>
              </w:sdtContent>
            </w:sdt>
            <w:r w:rsidR="00556C9D" w:rsidRPr="00D5597C">
              <w:rPr>
                <w:rFonts w:asciiTheme="majorHAnsi" w:hAnsiTheme="majorHAnsi" w:cstheme="majorHAnsi"/>
                <w:sz w:val="22"/>
                <w:szCs w:val="22"/>
              </w:rPr>
              <w:t>eMERGEseq data set (Phase III)</w:t>
            </w:r>
          </w:p>
          <w:p w14:paraId="6D051FCF" w14:textId="585D3A7F" w:rsidR="00556C9D" w:rsidRPr="00D5597C" w:rsidRDefault="00F54EC2" w:rsidP="00D5597C">
            <w:pPr>
              <w:rPr>
                <w:rFonts w:asciiTheme="majorHAnsi" w:hAnsiTheme="majorHAnsi" w:cstheme="majorHAnsi"/>
                <w:sz w:val="22"/>
                <w:szCs w:val="22"/>
              </w:rPr>
            </w:pPr>
            <w:sdt>
              <w:sdtPr>
                <w:rPr>
                  <w:rFonts w:asciiTheme="majorHAnsi" w:hAnsiTheme="majorHAnsi" w:cstheme="majorHAnsi"/>
                  <w:sz w:val="22"/>
                  <w:szCs w:val="22"/>
                </w:rPr>
                <w:id w:val="786173120"/>
                <w14:checkbox>
                  <w14:checked w14:val="0"/>
                  <w14:checkedState w14:val="2612" w14:font="MS Gothic"/>
                  <w14:uncheckedState w14:val="2610" w14:font="MS Gothic"/>
                </w14:checkbox>
              </w:sdtPr>
              <w:sdtEndPr/>
              <w:sdtContent>
                <w:r w:rsidR="00556C9D">
                  <w:rPr>
                    <w:rFonts w:ascii="MS Gothic" w:eastAsia="MS Gothic" w:hAnsi="MS Gothic" w:cstheme="majorHAnsi" w:hint="eastAsia"/>
                    <w:sz w:val="22"/>
                    <w:szCs w:val="22"/>
                  </w:rPr>
                  <w:t>☐</w:t>
                </w:r>
              </w:sdtContent>
            </w:sdt>
            <w:r w:rsidR="00556C9D" w:rsidRPr="00D5597C">
              <w:rPr>
                <w:rFonts w:asciiTheme="majorHAnsi" w:hAnsiTheme="majorHAnsi" w:cstheme="majorHAnsi"/>
                <w:sz w:val="22"/>
                <w:szCs w:val="22"/>
              </w:rPr>
              <w:t>eMERGE Whole Genome sequencing data set</w:t>
            </w:r>
          </w:p>
          <w:p w14:paraId="78A23A59" w14:textId="20C0BEBD" w:rsidR="00556C9D" w:rsidRPr="00D5597C" w:rsidRDefault="00F54EC2" w:rsidP="00D5597C">
            <w:pPr>
              <w:rPr>
                <w:rFonts w:asciiTheme="majorHAnsi" w:hAnsiTheme="majorHAnsi" w:cstheme="majorHAnsi"/>
                <w:sz w:val="22"/>
                <w:szCs w:val="22"/>
              </w:rPr>
            </w:pPr>
            <w:sdt>
              <w:sdtPr>
                <w:rPr>
                  <w:rFonts w:asciiTheme="majorHAnsi" w:hAnsiTheme="majorHAnsi" w:cstheme="majorHAnsi"/>
                  <w:sz w:val="22"/>
                  <w:szCs w:val="22"/>
                </w:rPr>
                <w:id w:val="-420958939"/>
                <w14:checkbox>
                  <w14:checked w14:val="0"/>
                  <w14:checkedState w14:val="2612" w14:font="MS Gothic"/>
                  <w14:uncheckedState w14:val="2610" w14:font="MS Gothic"/>
                </w14:checkbox>
              </w:sdtPr>
              <w:sdtEndPr/>
              <w:sdtContent>
                <w:r w:rsidR="00556C9D">
                  <w:rPr>
                    <w:rFonts w:ascii="MS Gothic" w:eastAsia="MS Gothic" w:hAnsi="MS Gothic" w:cstheme="majorHAnsi" w:hint="eastAsia"/>
                    <w:sz w:val="22"/>
                    <w:szCs w:val="22"/>
                  </w:rPr>
                  <w:t>☐</w:t>
                </w:r>
              </w:sdtContent>
            </w:sdt>
            <w:r w:rsidR="00556C9D" w:rsidRPr="00D5597C">
              <w:rPr>
                <w:rFonts w:asciiTheme="majorHAnsi" w:hAnsiTheme="majorHAnsi" w:cstheme="majorHAnsi"/>
                <w:sz w:val="22"/>
                <w:szCs w:val="22"/>
              </w:rPr>
              <w:t>eMERGE Exome chip data set</w:t>
            </w:r>
          </w:p>
          <w:p w14:paraId="4C7B91CA" w14:textId="44BF490F" w:rsidR="00556C9D" w:rsidRPr="00D5597C" w:rsidRDefault="00F54EC2" w:rsidP="00D5597C">
            <w:pPr>
              <w:rPr>
                <w:rFonts w:asciiTheme="majorHAnsi" w:hAnsiTheme="majorHAnsi" w:cstheme="majorHAnsi"/>
                <w:sz w:val="22"/>
                <w:szCs w:val="22"/>
              </w:rPr>
            </w:pPr>
            <w:sdt>
              <w:sdtPr>
                <w:rPr>
                  <w:rFonts w:asciiTheme="majorHAnsi" w:hAnsiTheme="majorHAnsi" w:cstheme="majorHAnsi"/>
                  <w:sz w:val="22"/>
                  <w:szCs w:val="22"/>
                </w:rPr>
                <w:id w:val="-1271391077"/>
                <w14:checkbox>
                  <w14:checked w14:val="1"/>
                  <w14:checkedState w14:val="2612" w14:font="MS Gothic"/>
                  <w14:uncheckedState w14:val="2610" w14:font="MS Gothic"/>
                </w14:checkbox>
              </w:sdtPr>
              <w:sdtEndPr/>
              <w:sdtContent>
                <w:r w:rsidR="009D709A">
                  <w:rPr>
                    <w:rFonts w:ascii="MS Gothic" w:eastAsia="MS Gothic" w:hAnsi="MS Gothic" w:cstheme="majorHAnsi" w:hint="eastAsia"/>
                    <w:sz w:val="22"/>
                    <w:szCs w:val="22"/>
                  </w:rPr>
                  <w:t>☒</w:t>
                </w:r>
              </w:sdtContent>
            </w:sdt>
            <w:r w:rsidR="00556C9D" w:rsidRPr="00D5597C">
              <w:rPr>
                <w:rFonts w:asciiTheme="majorHAnsi" w:hAnsiTheme="majorHAnsi" w:cstheme="majorHAnsi"/>
                <w:sz w:val="22"/>
                <w:szCs w:val="22"/>
              </w:rPr>
              <w:t>eMERGE Whole Exome sequencing data set</w:t>
            </w:r>
          </w:p>
          <w:p w14:paraId="02A57161" w14:textId="54718A1A" w:rsidR="00556C9D" w:rsidRPr="00D5597C" w:rsidRDefault="00F54EC2" w:rsidP="00D5597C">
            <w:pPr>
              <w:rPr>
                <w:rFonts w:asciiTheme="majorHAnsi" w:hAnsiTheme="majorHAnsi" w:cstheme="majorHAnsi"/>
                <w:sz w:val="22"/>
                <w:szCs w:val="22"/>
              </w:rPr>
            </w:pPr>
            <w:sdt>
              <w:sdtPr>
                <w:rPr>
                  <w:rFonts w:asciiTheme="majorHAnsi" w:hAnsiTheme="majorHAnsi" w:cstheme="majorHAnsi"/>
                  <w:sz w:val="22"/>
                  <w:szCs w:val="22"/>
                </w:rPr>
                <w:id w:val="836731540"/>
                <w14:checkbox>
                  <w14:checked w14:val="0"/>
                  <w14:checkedState w14:val="2612" w14:font="MS Gothic"/>
                  <w14:uncheckedState w14:val="2610" w14:font="MS Gothic"/>
                </w14:checkbox>
              </w:sdtPr>
              <w:sdtEndPr/>
              <w:sdtContent>
                <w:r w:rsidR="00556C9D">
                  <w:rPr>
                    <w:rFonts w:ascii="MS Gothic" w:eastAsia="MS Gothic" w:hAnsi="MS Gothic" w:cstheme="majorHAnsi" w:hint="eastAsia"/>
                    <w:sz w:val="22"/>
                    <w:szCs w:val="22"/>
                  </w:rPr>
                  <w:t>☐</w:t>
                </w:r>
              </w:sdtContent>
            </w:sdt>
            <w:r w:rsidR="00556C9D" w:rsidRPr="00D5597C">
              <w:rPr>
                <w:rFonts w:asciiTheme="majorHAnsi" w:hAnsiTheme="majorHAnsi" w:cstheme="majorHAnsi"/>
                <w:sz w:val="22"/>
                <w:szCs w:val="22"/>
              </w:rPr>
              <w:t>Other (not listed above):</w:t>
            </w:r>
          </w:p>
        </w:tc>
      </w:tr>
      <w:tr w:rsidR="00556C9D"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556C9D" w:rsidRPr="0074111E" w:rsidRDefault="00556C9D" w:rsidP="00CF0D06">
            <w:pPr>
              <w:rPr>
                <w:rFonts w:ascii="Calibri Light" w:hAnsi="Calibri Light"/>
                <w:b/>
                <w:sz w:val="22"/>
              </w:rPr>
            </w:pPr>
            <w:r>
              <w:rPr>
                <w:rFonts w:ascii="Calibri Light" w:hAnsi="Calibri Light"/>
                <w:b/>
                <w:sz w:val="22"/>
              </w:rPr>
              <w:t>Does project pertain to an existing eMERGE Phenotype?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2D151E86" w:rsidR="00556C9D" w:rsidRPr="00D5597C" w:rsidRDefault="00F54EC2" w:rsidP="00D5597C">
            <w:pPr>
              <w:rPr>
                <w:rFonts w:asciiTheme="majorHAnsi" w:hAnsiTheme="majorHAnsi" w:cstheme="majorHAnsi"/>
                <w:sz w:val="22"/>
                <w:szCs w:val="22"/>
              </w:rPr>
            </w:pPr>
            <w:sdt>
              <w:sdtPr>
                <w:rPr>
                  <w:rFonts w:asciiTheme="majorHAnsi" w:hAnsiTheme="majorHAnsi" w:cstheme="majorHAnsi"/>
                  <w:sz w:val="22"/>
                  <w:szCs w:val="22"/>
                </w:rPr>
                <w:id w:val="-656303456"/>
                <w14:checkbox>
                  <w14:checked w14:val="0"/>
                  <w14:checkedState w14:val="2612" w14:font="MS Gothic"/>
                  <w14:uncheckedState w14:val="2610" w14:font="MS Gothic"/>
                </w14:checkbox>
              </w:sdtPr>
              <w:sdtEndPr/>
              <w:sdtContent>
                <w:r w:rsidR="00556C9D">
                  <w:rPr>
                    <w:rFonts w:ascii="MS Gothic" w:eastAsia="MS Gothic" w:hAnsi="MS Gothic" w:cstheme="majorHAnsi" w:hint="eastAsia"/>
                    <w:sz w:val="22"/>
                    <w:szCs w:val="22"/>
                  </w:rPr>
                  <w:t>☐</w:t>
                </w:r>
              </w:sdtContent>
            </w:sdt>
            <w:r w:rsidR="00556C9D" w:rsidRPr="00D5597C">
              <w:rPr>
                <w:rFonts w:asciiTheme="majorHAnsi" w:hAnsiTheme="majorHAnsi" w:cstheme="majorHAnsi"/>
                <w:sz w:val="22"/>
                <w:szCs w:val="22"/>
              </w:rPr>
              <w:t xml:space="preserve">Yes, if so please list                               </w:t>
            </w:r>
          </w:p>
          <w:p w14:paraId="2C71B567" w14:textId="134BAFBA" w:rsidR="00556C9D" w:rsidRPr="00D5597C" w:rsidRDefault="00F54EC2" w:rsidP="00D5597C">
            <w:pPr>
              <w:rPr>
                <w:rFonts w:asciiTheme="majorHAnsi" w:hAnsiTheme="majorHAnsi" w:cstheme="majorHAnsi"/>
                <w:sz w:val="22"/>
                <w:szCs w:val="22"/>
              </w:rPr>
            </w:pPr>
            <w:sdt>
              <w:sdtPr>
                <w:rPr>
                  <w:rFonts w:asciiTheme="majorHAnsi" w:hAnsiTheme="majorHAnsi" w:cstheme="majorHAnsi"/>
                  <w:sz w:val="22"/>
                  <w:szCs w:val="22"/>
                </w:rPr>
                <w:id w:val="20982688"/>
                <w14:checkbox>
                  <w14:checked w14:val="1"/>
                  <w14:checkedState w14:val="2612" w14:font="MS Gothic"/>
                  <w14:uncheckedState w14:val="2610" w14:font="MS Gothic"/>
                </w14:checkbox>
              </w:sdtPr>
              <w:sdtEndPr/>
              <w:sdtContent>
                <w:r w:rsidR="00E9698D">
                  <w:rPr>
                    <w:rFonts w:ascii="MS Gothic" w:eastAsia="MS Gothic" w:hAnsi="MS Gothic" w:cstheme="majorHAnsi" w:hint="eastAsia"/>
                    <w:sz w:val="22"/>
                    <w:szCs w:val="22"/>
                  </w:rPr>
                  <w:t>☒</w:t>
                </w:r>
              </w:sdtContent>
            </w:sdt>
            <w:r w:rsidR="00556C9D" w:rsidRPr="00D5597C">
              <w:rPr>
                <w:rFonts w:asciiTheme="majorHAnsi" w:hAnsiTheme="majorHAnsi" w:cstheme="majorHAnsi"/>
                <w:sz w:val="22"/>
                <w:szCs w:val="22"/>
              </w:rPr>
              <w:t>No</w:t>
            </w:r>
          </w:p>
        </w:tc>
      </w:tr>
      <w:tr w:rsidR="00556C9D"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556C9D" w:rsidRPr="0074111E" w:rsidRDefault="00556C9D" w:rsidP="00CF0D06">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5C7B1DC" w14:textId="77777777" w:rsidR="00E9698D" w:rsidRPr="00BB5340" w:rsidRDefault="00E9698D" w:rsidP="00E9698D">
            <w:pPr>
              <w:spacing w:line="276" w:lineRule="auto"/>
              <w:rPr>
                <w:rFonts w:ascii="Helvetica" w:hAnsi="Helvetica"/>
              </w:rPr>
            </w:pPr>
            <w:r w:rsidRPr="00BB5340">
              <w:rPr>
                <w:rFonts w:ascii="Helvetica" w:hAnsi="Helvetica"/>
              </w:rPr>
              <w:t>Linear mixed models</w:t>
            </w:r>
          </w:p>
          <w:p w14:paraId="68FF1A43" w14:textId="77777777" w:rsidR="00E9698D" w:rsidRPr="00BB5340" w:rsidRDefault="00E9698D" w:rsidP="00E9698D">
            <w:pPr>
              <w:spacing w:line="276" w:lineRule="auto"/>
              <w:rPr>
                <w:rFonts w:ascii="Helvetica" w:hAnsi="Helvetica"/>
              </w:rPr>
            </w:pPr>
            <w:r w:rsidRPr="00BB5340">
              <w:rPr>
                <w:rFonts w:ascii="Helvetica" w:hAnsi="Helvetica"/>
              </w:rPr>
              <w:t>PheWAS</w:t>
            </w:r>
          </w:p>
          <w:p w14:paraId="1D9F7846" w14:textId="77777777" w:rsidR="00E9698D" w:rsidRPr="00BB5340" w:rsidRDefault="00E9698D" w:rsidP="00E9698D">
            <w:pPr>
              <w:spacing w:line="276" w:lineRule="auto"/>
              <w:rPr>
                <w:rFonts w:ascii="Helvetica" w:hAnsi="Helvetica"/>
              </w:rPr>
            </w:pPr>
            <w:r w:rsidRPr="00BB5340">
              <w:rPr>
                <w:rFonts w:ascii="Helvetica" w:hAnsi="Helvetica"/>
              </w:rPr>
              <w:t>SKAT</w:t>
            </w:r>
          </w:p>
          <w:p w14:paraId="726925C5" w14:textId="6C07613E" w:rsidR="00556C9D" w:rsidRDefault="00E9698D" w:rsidP="00E9698D">
            <w:pPr>
              <w:rPr>
                <w:rFonts w:asciiTheme="majorHAnsi" w:hAnsiTheme="majorHAnsi" w:cstheme="majorHAnsi"/>
                <w:sz w:val="22"/>
                <w:szCs w:val="22"/>
              </w:rPr>
            </w:pPr>
            <w:r w:rsidRPr="00BB5340">
              <w:rPr>
                <w:rFonts w:ascii="Helvetica" w:hAnsi="Helvetica"/>
              </w:rPr>
              <w:t>Gene burden test</w:t>
            </w:r>
            <w:r>
              <w:rPr>
                <w:rFonts w:asciiTheme="majorHAnsi" w:hAnsiTheme="majorHAnsi" w:cstheme="majorHAnsi"/>
                <w:sz w:val="22"/>
                <w:szCs w:val="22"/>
              </w:rPr>
              <w:t xml:space="preserve"> </w:t>
            </w:r>
          </w:p>
          <w:p w14:paraId="13608534" w14:textId="77777777" w:rsidR="00556C9D" w:rsidRPr="008673B8" w:rsidRDefault="00556C9D" w:rsidP="00CF0D06">
            <w:pPr>
              <w:rPr>
                <w:rFonts w:asciiTheme="majorHAnsi" w:hAnsiTheme="majorHAnsi" w:cstheme="majorHAnsi"/>
                <w:sz w:val="22"/>
                <w:szCs w:val="22"/>
              </w:rPr>
            </w:pPr>
          </w:p>
          <w:p w14:paraId="43950299" w14:textId="77777777" w:rsidR="00556C9D" w:rsidRPr="008673B8" w:rsidRDefault="00556C9D" w:rsidP="00CF0D06">
            <w:pPr>
              <w:rPr>
                <w:rFonts w:asciiTheme="majorHAnsi" w:hAnsiTheme="majorHAnsi" w:cstheme="majorHAnsi"/>
                <w:sz w:val="22"/>
                <w:szCs w:val="22"/>
              </w:rPr>
            </w:pPr>
          </w:p>
        </w:tc>
      </w:tr>
      <w:tr w:rsidR="00556C9D"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556C9D" w:rsidRPr="0074111E" w:rsidRDefault="00556C9D" w:rsidP="00900D3C">
            <w:pPr>
              <w:rPr>
                <w:rFonts w:ascii="Calibri Light" w:hAnsi="Calibri Light"/>
                <w:b/>
                <w:sz w:val="22"/>
              </w:rPr>
            </w:pPr>
            <w:r w:rsidRPr="0074111E">
              <w:rPr>
                <w:rFonts w:ascii="Calibri Light" w:hAnsi="Calibri Light"/>
                <w:b/>
                <w:sz w:val="22"/>
              </w:rPr>
              <w:t xml:space="preserve">Ethical </w:t>
            </w:r>
            <w:r>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E264CE2" w14:textId="5C9D68CE" w:rsidR="00556C9D" w:rsidRPr="008673B8" w:rsidRDefault="00E9698D" w:rsidP="00CF0D06">
            <w:pPr>
              <w:rPr>
                <w:rFonts w:asciiTheme="majorHAnsi" w:hAnsiTheme="majorHAnsi" w:cstheme="majorHAnsi"/>
                <w:sz w:val="22"/>
                <w:szCs w:val="22"/>
              </w:rPr>
            </w:pPr>
            <w:r w:rsidRPr="00BB5340">
              <w:rPr>
                <w:rFonts w:ascii="Helvetica" w:hAnsi="Helvetica"/>
              </w:rPr>
              <w:t>This study makes use of data that is already obtained from electronic health records. The chart reviews will be performed in the Partners HealthCare Biobank subjects, a process that is IRB approved at Partners HealthCare.</w:t>
            </w:r>
          </w:p>
        </w:tc>
      </w:tr>
      <w:tr w:rsidR="00556C9D" w:rsidRPr="005F7C97" w14:paraId="2C13AD3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8E6BD7A" w14:textId="09E9A314" w:rsidR="00556C9D" w:rsidRPr="0007246C" w:rsidRDefault="00556C9D" w:rsidP="00CF0D06">
            <w:pPr>
              <w:rPr>
                <w:rFonts w:ascii="Calibri Light" w:hAnsi="Calibri Light"/>
                <w:b/>
                <w:sz w:val="22"/>
              </w:rPr>
            </w:pPr>
            <w:r>
              <w:rPr>
                <w:rFonts w:ascii="Calibri Light" w:hAnsi="Calibri Light"/>
                <w:b/>
                <w:sz w:val="22"/>
              </w:rPr>
              <w:lastRenderedPageBreak/>
              <w:t>Available Funding or Resources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6FFBD72" w14:textId="10120D0B" w:rsidR="00556C9D" w:rsidRPr="008673B8" w:rsidRDefault="00CE3EB3" w:rsidP="00CF0D06">
            <w:pPr>
              <w:rPr>
                <w:rFonts w:asciiTheme="majorHAnsi" w:hAnsiTheme="majorHAnsi" w:cstheme="majorHAnsi"/>
                <w:sz w:val="22"/>
                <w:szCs w:val="22"/>
              </w:rPr>
            </w:pPr>
            <w:r>
              <w:rPr>
                <w:rFonts w:asciiTheme="majorHAnsi" w:hAnsiTheme="majorHAnsi" w:cstheme="majorHAnsi"/>
                <w:sz w:val="22"/>
                <w:szCs w:val="22"/>
              </w:rPr>
              <w:t>N/A</w:t>
            </w:r>
          </w:p>
        </w:tc>
      </w:tr>
      <w:tr w:rsidR="00556C9D"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556C9D" w:rsidRPr="0074111E" w:rsidRDefault="00556C9D" w:rsidP="00CF0D06">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59A13BA0" w:rsidR="00556C9D" w:rsidRPr="00E9698D" w:rsidRDefault="00E9698D" w:rsidP="00CF0D06">
            <w:pPr>
              <w:rPr>
                <w:rFonts w:ascii="Helvetica" w:hAnsi="Helvetica" w:cstheme="majorHAnsi"/>
              </w:rPr>
            </w:pPr>
            <w:r w:rsidRPr="00E9698D">
              <w:rPr>
                <w:rFonts w:ascii="Helvetica" w:hAnsi="Helvetica" w:cstheme="majorHAnsi"/>
              </w:rPr>
              <w:t>TBD</w:t>
            </w:r>
          </w:p>
        </w:tc>
      </w:tr>
      <w:tr w:rsidR="00556C9D"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556C9D" w:rsidRDefault="00556C9D" w:rsidP="00CF0D06">
            <w:pPr>
              <w:rPr>
                <w:rFonts w:ascii="Calibri Light" w:hAnsi="Calibri Light"/>
                <w:b/>
                <w:sz w:val="22"/>
              </w:rPr>
            </w:pPr>
          </w:p>
          <w:p w14:paraId="5203358F" w14:textId="77777777" w:rsidR="00556C9D" w:rsidRDefault="00556C9D" w:rsidP="00CF0D06">
            <w:pPr>
              <w:rPr>
                <w:rFonts w:ascii="Calibri Light" w:hAnsi="Calibri Light"/>
                <w:b/>
                <w:sz w:val="22"/>
              </w:rPr>
            </w:pPr>
            <w:r>
              <w:rPr>
                <w:rFonts w:ascii="Calibri Light" w:hAnsi="Calibri Light"/>
                <w:b/>
                <w:sz w:val="22"/>
              </w:rPr>
              <w:t>Milestones</w:t>
            </w:r>
          </w:p>
          <w:p w14:paraId="602A9DB1" w14:textId="1D6EFB4B" w:rsidR="00556C9D" w:rsidRPr="0093273D" w:rsidRDefault="00556C9D"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Pr>
                <w:rFonts w:asciiTheme="majorHAnsi" w:hAnsiTheme="majorHAnsi"/>
                <w:i/>
                <w:sz w:val="22"/>
              </w:rPr>
              <w:t xml:space="preserve"> should include the key dates for completion of project, </w:t>
            </w:r>
            <w:r w:rsidRPr="0093273D">
              <w:rPr>
                <w:rFonts w:asciiTheme="majorHAnsi" w:hAnsiTheme="majorHAnsi"/>
                <w:i/>
                <w:sz w:val="22"/>
              </w:rPr>
              <w:t>including approval, project duration, draft</w:t>
            </w:r>
            <w:r>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556C9D" w:rsidRPr="0074111E" w:rsidRDefault="00556C9D" w:rsidP="00CF0D0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77777777" w:rsidR="00556C9D" w:rsidRPr="008673B8" w:rsidRDefault="00556C9D" w:rsidP="00CF0D06">
            <w:pPr>
              <w:rPr>
                <w:rFonts w:asciiTheme="majorHAnsi" w:hAnsiTheme="majorHAnsi" w:cstheme="majorHAnsi"/>
                <w:sz w:val="22"/>
                <w:szCs w:val="22"/>
              </w:rPr>
            </w:pPr>
          </w:p>
          <w:tbl>
            <w:tblPr>
              <w:tblW w:w="7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1"/>
              <w:gridCol w:w="704"/>
              <w:gridCol w:w="670"/>
              <w:gridCol w:w="738"/>
              <w:gridCol w:w="702"/>
            </w:tblGrid>
            <w:tr w:rsidR="00E9698D" w:rsidRPr="00E9698D" w14:paraId="426DB374" w14:textId="77777777" w:rsidTr="00E9698D">
              <w:trPr>
                <w:trHeight w:val="535"/>
              </w:trPr>
              <w:tc>
                <w:tcPr>
                  <w:tcW w:w="5061" w:type="dxa"/>
                  <w:shd w:val="clear" w:color="auto" w:fill="auto"/>
                  <w:noWrap/>
                  <w:vAlign w:val="bottom"/>
                  <w:hideMark/>
                </w:tcPr>
                <w:p w14:paraId="498009D8" w14:textId="77777777" w:rsidR="00E9698D" w:rsidRPr="00E9698D" w:rsidRDefault="00E9698D" w:rsidP="00EB7208">
                  <w:pPr>
                    <w:spacing w:before="100" w:beforeAutospacing="1" w:after="100" w:afterAutospacing="1"/>
                    <w:rPr>
                      <w:rFonts w:ascii="Times" w:hAnsi="Times" w:cstheme="minorBidi"/>
                    </w:rPr>
                  </w:pPr>
                </w:p>
              </w:tc>
              <w:tc>
                <w:tcPr>
                  <w:tcW w:w="704" w:type="dxa"/>
                  <w:shd w:val="clear" w:color="auto" w:fill="auto"/>
                  <w:noWrap/>
                  <w:vAlign w:val="bottom"/>
                  <w:hideMark/>
                </w:tcPr>
                <w:p w14:paraId="50069176" w14:textId="77777777" w:rsidR="00E9698D" w:rsidRPr="00E9698D" w:rsidRDefault="00E9698D" w:rsidP="00EB7208">
                  <w:pPr>
                    <w:rPr>
                      <w:rFonts w:ascii="Helvetica" w:hAnsi="Helvetica"/>
                      <w:color w:val="000000"/>
                    </w:rPr>
                  </w:pPr>
                  <w:r w:rsidRPr="00E9698D">
                    <w:rPr>
                      <w:rFonts w:ascii="Helvetica" w:hAnsi="Helvetica"/>
                      <w:color w:val="000000"/>
                    </w:rPr>
                    <w:t>Aug</w:t>
                  </w:r>
                </w:p>
              </w:tc>
              <w:tc>
                <w:tcPr>
                  <w:tcW w:w="670" w:type="dxa"/>
                  <w:shd w:val="clear" w:color="auto" w:fill="auto"/>
                  <w:noWrap/>
                  <w:vAlign w:val="bottom"/>
                  <w:hideMark/>
                </w:tcPr>
                <w:p w14:paraId="27074E96" w14:textId="77777777" w:rsidR="00E9698D" w:rsidRPr="00E9698D" w:rsidRDefault="00E9698D" w:rsidP="00EB7208">
                  <w:pPr>
                    <w:rPr>
                      <w:rFonts w:ascii="Helvetica" w:hAnsi="Helvetica"/>
                      <w:color w:val="000000"/>
                    </w:rPr>
                  </w:pPr>
                  <w:r w:rsidRPr="00E9698D">
                    <w:rPr>
                      <w:rFonts w:ascii="Helvetica" w:hAnsi="Helvetica"/>
                      <w:color w:val="000000"/>
                    </w:rPr>
                    <w:t>Sep</w:t>
                  </w:r>
                </w:p>
              </w:tc>
              <w:tc>
                <w:tcPr>
                  <w:tcW w:w="738" w:type="dxa"/>
                  <w:shd w:val="clear" w:color="auto" w:fill="auto"/>
                  <w:noWrap/>
                  <w:vAlign w:val="bottom"/>
                  <w:hideMark/>
                </w:tcPr>
                <w:p w14:paraId="5E5E877D" w14:textId="77777777" w:rsidR="00E9698D" w:rsidRPr="00E9698D" w:rsidRDefault="00E9698D" w:rsidP="00EB7208">
                  <w:pPr>
                    <w:rPr>
                      <w:rFonts w:ascii="Helvetica" w:hAnsi="Helvetica"/>
                      <w:color w:val="000000"/>
                    </w:rPr>
                  </w:pPr>
                  <w:r w:rsidRPr="00E9698D">
                    <w:rPr>
                      <w:rFonts w:ascii="Helvetica" w:hAnsi="Helvetica"/>
                      <w:color w:val="000000"/>
                    </w:rPr>
                    <w:t>Oct</w:t>
                  </w:r>
                </w:p>
              </w:tc>
              <w:tc>
                <w:tcPr>
                  <w:tcW w:w="702" w:type="dxa"/>
                  <w:shd w:val="clear" w:color="auto" w:fill="auto"/>
                  <w:noWrap/>
                  <w:vAlign w:val="bottom"/>
                  <w:hideMark/>
                </w:tcPr>
                <w:p w14:paraId="6B80ACAF" w14:textId="77777777" w:rsidR="00E9698D" w:rsidRPr="00E9698D" w:rsidRDefault="00E9698D" w:rsidP="00EB7208">
                  <w:pPr>
                    <w:rPr>
                      <w:rFonts w:ascii="Helvetica" w:hAnsi="Helvetica"/>
                      <w:color w:val="000000"/>
                    </w:rPr>
                  </w:pPr>
                  <w:r w:rsidRPr="00E9698D">
                    <w:rPr>
                      <w:rFonts w:ascii="Helvetica" w:hAnsi="Helvetica"/>
                      <w:color w:val="000000"/>
                    </w:rPr>
                    <w:t>Nov</w:t>
                  </w:r>
                </w:p>
              </w:tc>
            </w:tr>
            <w:tr w:rsidR="00E9698D" w:rsidRPr="00E9698D" w14:paraId="691B33F7" w14:textId="77777777" w:rsidTr="00E9698D">
              <w:trPr>
                <w:trHeight w:val="195"/>
              </w:trPr>
              <w:tc>
                <w:tcPr>
                  <w:tcW w:w="5061" w:type="dxa"/>
                  <w:shd w:val="clear" w:color="auto" w:fill="auto"/>
                  <w:noWrap/>
                  <w:vAlign w:val="bottom"/>
                  <w:hideMark/>
                </w:tcPr>
                <w:p w14:paraId="058A48FA" w14:textId="77777777" w:rsidR="00E9698D" w:rsidRPr="00E9698D" w:rsidRDefault="00E9698D" w:rsidP="00EB7208">
                  <w:pPr>
                    <w:rPr>
                      <w:rFonts w:ascii="Helvetica" w:eastAsia="Heiti SC Light" w:hAnsi="Helvetica"/>
                      <w:color w:val="000000"/>
                    </w:rPr>
                  </w:pPr>
                  <w:r w:rsidRPr="00E9698D">
                    <w:rPr>
                      <w:rFonts w:ascii="Helvetica" w:eastAsia="Heiti SC Light" w:hAnsi="Helvetica"/>
                      <w:color w:val="000000"/>
                    </w:rPr>
                    <w:t>1 &amp; 2. Rare and common variant association testing</w:t>
                  </w:r>
                </w:p>
              </w:tc>
              <w:tc>
                <w:tcPr>
                  <w:tcW w:w="704" w:type="dxa"/>
                  <w:shd w:val="clear" w:color="auto" w:fill="F4B083" w:themeFill="accent2" w:themeFillTint="99"/>
                  <w:noWrap/>
                  <w:vAlign w:val="bottom"/>
                  <w:hideMark/>
                </w:tcPr>
                <w:p w14:paraId="251E5E83" w14:textId="77777777" w:rsidR="00E9698D" w:rsidRPr="00E9698D" w:rsidRDefault="00E9698D" w:rsidP="00EB7208">
                  <w:r w:rsidRPr="00E9698D">
                    <w:t> </w:t>
                  </w:r>
                </w:p>
              </w:tc>
              <w:tc>
                <w:tcPr>
                  <w:tcW w:w="670" w:type="dxa"/>
                  <w:shd w:val="clear" w:color="auto" w:fill="F4B083" w:themeFill="accent2" w:themeFillTint="99"/>
                  <w:noWrap/>
                  <w:vAlign w:val="bottom"/>
                  <w:hideMark/>
                </w:tcPr>
                <w:p w14:paraId="191C8A34" w14:textId="77777777" w:rsidR="00E9698D" w:rsidRPr="00E9698D" w:rsidRDefault="00E9698D" w:rsidP="00EB7208">
                  <w:pPr>
                    <w:rPr>
                      <w:rFonts w:ascii="Times" w:hAnsi="Times"/>
                      <w:color w:val="000000"/>
                    </w:rPr>
                  </w:pPr>
                </w:p>
              </w:tc>
              <w:tc>
                <w:tcPr>
                  <w:tcW w:w="738" w:type="dxa"/>
                  <w:shd w:val="clear" w:color="auto" w:fill="auto"/>
                  <w:noWrap/>
                  <w:vAlign w:val="bottom"/>
                  <w:hideMark/>
                </w:tcPr>
                <w:p w14:paraId="76EEB2B9" w14:textId="77777777" w:rsidR="00E9698D" w:rsidRPr="00E9698D" w:rsidRDefault="00E9698D" w:rsidP="00EB7208">
                  <w:pPr>
                    <w:rPr>
                      <w:rFonts w:ascii="Times" w:hAnsi="Times"/>
                    </w:rPr>
                  </w:pPr>
                </w:p>
              </w:tc>
              <w:tc>
                <w:tcPr>
                  <w:tcW w:w="702" w:type="dxa"/>
                  <w:shd w:val="clear" w:color="auto" w:fill="auto"/>
                  <w:noWrap/>
                  <w:vAlign w:val="bottom"/>
                  <w:hideMark/>
                </w:tcPr>
                <w:p w14:paraId="3E4B4823" w14:textId="77777777" w:rsidR="00E9698D" w:rsidRPr="00E9698D" w:rsidRDefault="00E9698D" w:rsidP="00EB7208">
                  <w:pPr>
                    <w:rPr>
                      <w:rFonts w:ascii="Times" w:hAnsi="Times"/>
                    </w:rPr>
                  </w:pPr>
                </w:p>
              </w:tc>
            </w:tr>
            <w:tr w:rsidR="00E9698D" w:rsidRPr="00E9698D" w14:paraId="00179C2B" w14:textId="77777777" w:rsidTr="00E9698D">
              <w:trPr>
                <w:trHeight w:val="195"/>
              </w:trPr>
              <w:tc>
                <w:tcPr>
                  <w:tcW w:w="5061" w:type="dxa"/>
                  <w:shd w:val="clear" w:color="auto" w:fill="auto"/>
                  <w:noWrap/>
                  <w:vAlign w:val="bottom"/>
                  <w:hideMark/>
                </w:tcPr>
                <w:p w14:paraId="53A56EFC" w14:textId="77777777" w:rsidR="00E9698D" w:rsidRPr="00E9698D" w:rsidRDefault="00E9698D" w:rsidP="00EB7208">
                  <w:pPr>
                    <w:rPr>
                      <w:rFonts w:ascii="Helvetica" w:eastAsia="Heiti SC Light" w:hAnsi="Helvetica"/>
                      <w:color w:val="000000"/>
                    </w:rPr>
                  </w:pPr>
                  <w:r w:rsidRPr="00E9698D">
                    <w:rPr>
                      <w:rFonts w:ascii="Helvetica" w:eastAsia="Heiti SC Light" w:hAnsi="Helvetica"/>
                      <w:color w:val="000000"/>
                    </w:rPr>
                    <w:t>3. PheWAS</w:t>
                  </w:r>
                </w:p>
              </w:tc>
              <w:tc>
                <w:tcPr>
                  <w:tcW w:w="704" w:type="dxa"/>
                  <w:shd w:val="clear" w:color="auto" w:fill="auto"/>
                  <w:noWrap/>
                  <w:vAlign w:val="bottom"/>
                  <w:hideMark/>
                </w:tcPr>
                <w:p w14:paraId="0C9F94BD" w14:textId="77777777" w:rsidR="00E9698D" w:rsidRPr="00E9698D" w:rsidRDefault="00E9698D" w:rsidP="00EB7208">
                  <w:pPr>
                    <w:rPr>
                      <w:rFonts w:ascii="Times" w:hAnsi="Times"/>
                      <w:color w:val="000000"/>
                    </w:rPr>
                  </w:pPr>
                  <w:r w:rsidRPr="00E9698D">
                    <w:rPr>
                      <w:rFonts w:ascii="Times" w:hAnsi="Times"/>
                      <w:color w:val="000000"/>
                    </w:rPr>
                    <w:t> </w:t>
                  </w:r>
                </w:p>
              </w:tc>
              <w:tc>
                <w:tcPr>
                  <w:tcW w:w="670" w:type="dxa"/>
                  <w:shd w:val="clear" w:color="auto" w:fill="F4B083" w:themeFill="accent2" w:themeFillTint="99"/>
                  <w:noWrap/>
                  <w:vAlign w:val="bottom"/>
                  <w:hideMark/>
                </w:tcPr>
                <w:p w14:paraId="6119CC4F" w14:textId="77777777" w:rsidR="00E9698D" w:rsidRPr="00E9698D" w:rsidRDefault="00E9698D" w:rsidP="00EB7208">
                  <w:pPr>
                    <w:rPr>
                      <w:rFonts w:ascii="Times" w:hAnsi="Times"/>
                      <w:color w:val="000000"/>
                    </w:rPr>
                  </w:pPr>
                </w:p>
              </w:tc>
              <w:tc>
                <w:tcPr>
                  <w:tcW w:w="738" w:type="dxa"/>
                  <w:shd w:val="clear" w:color="auto" w:fill="F4B083" w:themeFill="accent2" w:themeFillTint="99"/>
                  <w:noWrap/>
                  <w:vAlign w:val="bottom"/>
                  <w:hideMark/>
                </w:tcPr>
                <w:p w14:paraId="35BFCEA3" w14:textId="77777777" w:rsidR="00E9698D" w:rsidRPr="00E9698D" w:rsidRDefault="00E9698D" w:rsidP="00EB7208">
                  <w:pPr>
                    <w:rPr>
                      <w:rFonts w:ascii="Times" w:hAnsi="Times"/>
                    </w:rPr>
                  </w:pPr>
                </w:p>
              </w:tc>
              <w:tc>
                <w:tcPr>
                  <w:tcW w:w="702" w:type="dxa"/>
                  <w:shd w:val="clear" w:color="auto" w:fill="auto"/>
                  <w:noWrap/>
                  <w:vAlign w:val="bottom"/>
                  <w:hideMark/>
                </w:tcPr>
                <w:p w14:paraId="1A671830" w14:textId="77777777" w:rsidR="00E9698D" w:rsidRPr="00E9698D" w:rsidRDefault="00E9698D" w:rsidP="00EB7208">
                  <w:pPr>
                    <w:rPr>
                      <w:rFonts w:ascii="Times" w:hAnsi="Times"/>
                    </w:rPr>
                  </w:pPr>
                </w:p>
              </w:tc>
            </w:tr>
            <w:tr w:rsidR="00E9698D" w:rsidRPr="00E9698D" w14:paraId="64A5DE66" w14:textId="77777777" w:rsidTr="00E9698D">
              <w:trPr>
                <w:trHeight w:val="195"/>
              </w:trPr>
              <w:tc>
                <w:tcPr>
                  <w:tcW w:w="5061" w:type="dxa"/>
                  <w:shd w:val="clear" w:color="auto" w:fill="auto"/>
                  <w:noWrap/>
                  <w:vAlign w:val="bottom"/>
                  <w:hideMark/>
                </w:tcPr>
                <w:p w14:paraId="24CECFFA" w14:textId="77777777" w:rsidR="00E9698D" w:rsidRPr="00E9698D" w:rsidRDefault="00E9698D" w:rsidP="00EB7208">
                  <w:pPr>
                    <w:rPr>
                      <w:rFonts w:ascii="Helvetica" w:eastAsia="Heiti SC Light" w:hAnsi="Helvetica"/>
                      <w:color w:val="000000"/>
                    </w:rPr>
                  </w:pPr>
                  <w:r w:rsidRPr="00E9698D">
                    <w:rPr>
                      <w:rFonts w:ascii="Helvetica" w:eastAsia="Heiti SC Light" w:hAnsi="Helvetica"/>
                      <w:color w:val="000000"/>
                    </w:rPr>
                    <w:t>4. Publication</w:t>
                  </w:r>
                </w:p>
              </w:tc>
              <w:tc>
                <w:tcPr>
                  <w:tcW w:w="704" w:type="dxa"/>
                  <w:shd w:val="clear" w:color="auto" w:fill="auto"/>
                  <w:noWrap/>
                  <w:vAlign w:val="bottom"/>
                  <w:hideMark/>
                </w:tcPr>
                <w:p w14:paraId="2D0D5FB2" w14:textId="77777777" w:rsidR="00E9698D" w:rsidRPr="00E9698D" w:rsidRDefault="00E9698D" w:rsidP="00EB7208">
                  <w:pPr>
                    <w:rPr>
                      <w:rFonts w:ascii="Times" w:hAnsi="Times"/>
                      <w:color w:val="000000"/>
                    </w:rPr>
                  </w:pPr>
                  <w:r w:rsidRPr="00E9698D">
                    <w:rPr>
                      <w:rFonts w:ascii="Times" w:hAnsi="Times"/>
                      <w:color w:val="000000"/>
                    </w:rPr>
                    <w:t> </w:t>
                  </w:r>
                </w:p>
              </w:tc>
              <w:tc>
                <w:tcPr>
                  <w:tcW w:w="670" w:type="dxa"/>
                  <w:shd w:val="clear" w:color="auto" w:fill="auto"/>
                  <w:noWrap/>
                  <w:vAlign w:val="bottom"/>
                  <w:hideMark/>
                </w:tcPr>
                <w:p w14:paraId="751D07C7" w14:textId="77777777" w:rsidR="00E9698D" w:rsidRPr="00E9698D" w:rsidRDefault="00E9698D" w:rsidP="00EB7208">
                  <w:pPr>
                    <w:rPr>
                      <w:rFonts w:ascii="Times" w:hAnsi="Times"/>
                      <w:color w:val="000000"/>
                    </w:rPr>
                  </w:pPr>
                  <w:r w:rsidRPr="00E9698D">
                    <w:rPr>
                      <w:rFonts w:ascii="Times" w:hAnsi="Times"/>
                      <w:color w:val="000000"/>
                    </w:rPr>
                    <w:t> </w:t>
                  </w:r>
                </w:p>
              </w:tc>
              <w:tc>
                <w:tcPr>
                  <w:tcW w:w="738" w:type="dxa"/>
                  <w:shd w:val="clear" w:color="auto" w:fill="auto"/>
                  <w:noWrap/>
                  <w:vAlign w:val="bottom"/>
                  <w:hideMark/>
                </w:tcPr>
                <w:p w14:paraId="75C04E82" w14:textId="77777777" w:rsidR="00E9698D" w:rsidRPr="00E9698D" w:rsidRDefault="00E9698D" w:rsidP="00EB7208">
                  <w:pPr>
                    <w:rPr>
                      <w:rFonts w:ascii="Times" w:hAnsi="Times"/>
                      <w:color w:val="000000"/>
                    </w:rPr>
                  </w:pPr>
                  <w:r w:rsidRPr="00E9698D">
                    <w:rPr>
                      <w:rFonts w:ascii="Times" w:hAnsi="Times"/>
                      <w:color w:val="000000"/>
                    </w:rPr>
                    <w:t> </w:t>
                  </w:r>
                </w:p>
              </w:tc>
              <w:tc>
                <w:tcPr>
                  <w:tcW w:w="702" w:type="dxa"/>
                  <w:shd w:val="clear" w:color="auto" w:fill="F4B083" w:themeFill="accent2" w:themeFillTint="99"/>
                  <w:noWrap/>
                  <w:vAlign w:val="bottom"/>
                  <w:hideMark/>
                </w:tcPr>
                <w:p w14:paraId="6D90BCBF" w14:textId="77777777" w:rsidR="00E9698D" w:rsidRPr="00E9698D" w:rsidRDefault="00E9698D" w:rsidP="00EB7208">
                  <w:pPr>
                    <w:rPr>
                      <w:rFonts w:ascii="Times" w:hAnsi="Times"/>
                      <w:color w:val="000000"/>
                    </w:rPr>
                  </w:pPr>
                </w:p>
              </w:tc>
            </w:tr>
          </w:tbl>
          <w:p w14:paraId="4089201E" w14:textId="698DDE30" w:rsidR="00556C9D" w:rsidRPr="008673B8" w:rsidRDefault="00556C9D" w:rsidP="00CF0D06">
            <w:pPr>
              <w:rPr>
                <w:rFonts w:asciiTheme="majorHAnsi" w:hAnsiTheme="majorHAnsi" w:cstheme="majorHAnsi"/>
                <w:sz w:val="22"/>
                <w:szCs w:val="22"/>
              </w:rPr>
            </w:pPr>
          </w:p>
        </w:tc>
      </w:tr>
    </w:tbl>
    <w:p w14:paraId="4BF2BAC8" w14:textId="77777777" w:rsidR="002142B6" w:rsidRDefault="00F54EC2"/>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(repeated values &amp; age at event): ICD, CPT, Phecodes</w:t>
      </w:r>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Cerivastatin sodium, Rosuvastatin, Simvastatin, Fluvastatin, Pravastatin, Lovastatin, Atorvastatin, &amp; Pitavastatin</w:t>
      </w:r>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19"/>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7DACE" w14:textId="77777777" w:rsidR="004049EB" w:rsidRDefault="004049EB" w:rsidP="0093273D">
      <w:r>
        <w:separator/>
      </w:r>
    </w:p>
  </w:endnote>
  <w:endnote w:type="continuationSeparator" w:id="0">
    <w:p w14:paraId="6A3CADD6" w14:textId="77777777" w:rsidR="004049EB" w:rsidRDefault="004049EB"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Heiti SC Light">
    <w:charset w:val="86"/>
    <w:family w:val="auto"/>
    <w:pitch w:val="variable"/>
    <w:sig w:usb0="8000002F" w:usb1="090F004A" w:usb2="00000010" w:usb3="00000000" w:csb0="003E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02563428"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F54EC2">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9024D" w14:textId="77777777" w:rsidR="004049EB" w:rsidRDefault="004049EB" w:rsidP="0093273D">
      <w:r>
        <w:separator/>
      </w:r>
    </w:p>
  </w:footnote>
  <w:footnote w:type="continuationSeparator" w:id="0">
    <w:p w14:paraId="476BF982" w14:textId="77777777" w:rsidR="004049EB" w:rsidRDefault="004049EB"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F49D3"/>
    <w:multiLevelType w:val="hybridMultilevel"/>
    <w:tmpl w:val="D86A19D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3D"/>
    <w:rsid w:val="0004388C"/>
    <w:rsid w:val="0007246C"/>
    <w:rsid w:val="000A12A3"/>
    <w:rsid w:val="000B7654"/>
    <w:rsid w:val="00117500"/>
    <w:rsid w:val="001F3540"/>
    <w:rsid w:val="0025109A"/>
    <w:rsid w:val="00376326"/>
    <w:rsid w:val="003F367E"/>
    <w:rsid w:val="004049EB"/>
    <w:rsid w:val="004D7F55"/>
    <w:rsid w:val="00556C9D"/>
    <w:rsid w:val="00571D40"/>
    <w:rsid w:val="00594CF3"/>
    <w:rsid w:val="00595E27"/>
    <w:rsid w:val="005E5AA9"/>
    <w:rsid w:val="00614403"/>
    <w:rsid w:val="006166BF"/>
    <w:rsid w:val="00625689"/>
    <w:rsid w:val="0063131E"/>
    <w:rsid w:val="00702039"/>
    <w:rsid w:val="007F3F81"/>
    <w:rsid w:val="008673B8"/>
    <w:rsid w:val="008B0CE2"/>
    <w:rsid w:val="008C2527"/>
    <w:rsid w:val="00900D3C"/>
    <w:rsid w:val="0093273D"/>
    <w:rsid w:val="009D709A"/>
    <w:rsid w:val="00A14096"/>
    <w:rsid w:val="00A674F0"/>
    <w:rsid w:val="00A70420"/>
    <w:rsid w:val="00A726E3"/>
    <w:rsid w:val="00AB4FC9"/>
    <w:rsid w:val="00AF586E"/>
    <w:rsid w:val="00B845FF"/>
    <w:rsid w:val="00C367EC"/>
    <w:rsid w:val="00CE3EB3"/>
    <w:rsid w:val="00D5597C"/>
    <w:rsid w:val="00D93D28"/>
    <w:rsid w:val="00E82632"/>
    <w:rsid w:val="00E9698D"/>
    <w:rsid w:val="00F54EC2"/>
    <w:rsid w:val="00FD4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paragraph" w:styleId="NormalWeb">
    <w:name w:val="Normal (Web)"/>
    <w:basedOn w:val="Normal"/>
    <w:uiPriority w:val="99"/>
    <w:rsid w:val="00556C9D"/>
    <w:pPr>
      <w:spacing w:before="100" w:beforeAutospacing="1" w:after="100" w:afterAutospacing="1"/>
    </w:pPr>
  </w:style>
  <w:style w:type="character" w:styleId="Hyperlink">
    <w:name w:val="Hyperlink"/>
    <w:basedOn w:val="DefaultParagraphFont"/>
    <w:uiPriority w:val="99"/>
    <w:unhideWhenUsed/>
    <w:rsid w:val="00556C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mya@broadinstitute.org" TargetMode="External"/><Relationship Id="rId13" Type="http://schemas.openxmlformats.org/officeDocument/2006/relationships/hyperlink" Target="https://paperpile.com/c/u115be/jWq0+GQqX" TargetMode="External"/><Relationship Id="rId18" Type="http://schemas.openxmlformats.org/officeDocument/2006/relationships/hyperlink" Target="https://paperpile.com/c/BVQLkv/FDS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sasgari@broadinstitute.org" TargetMode="External"/><Relationship Id="rId12" Type="http://schemas.openxmlformats.org/officeDocument/2006/relationships/hyperlink" Target="https://bit.ly/2xzn2bf" TargetMode="External"/><Relationship Id="rId17" Type="http://schemas.openxmlformats.org/officeDocument/2006/relationships/hyperlink" Target="https://paperpile.com/c/u115be/enEW" TargetMode="External"/><Relationship Id="rId2" Type="http://schemas.openxmlformats.org/officeDocument/2006/relationships/styles" Target="styles.xml"/><Relationship Id="rId16" Type="http://schemas.openxmlformats.org/officeDocument/2006/relationships/hyperlink" Target="https://paperpile.com/c/u115be/MMKj"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perpile.com/c/u115be/G7fJ+cYbV" TargetMode="External"/><Relationship Id="rId5" Type="http://schemas.openxmlformats.org/officeDocument/2006/relationships/footnotes" Target="footnotes.xml"/><Relationship Id="rId15" Type="http://schemas.openxmlformats.org/officeDocument/2006/relationships/hyperlink" Target="https://paperpile.com/c/u115be/cBKr" TargetMode="External"/><Relationship Id="rId10" Type="http://schemas.openxmlformats.org/officeDocument/2006/relationships/hyperlink" Target="https://paperpile.com/c/u115be/iWDW+VxD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aperpile.com/c/u115be/1YPJ+vEf3+bf7C" TargetMode="External"/><Relationship Id="rId14" Type="http://schemas.openxmlformats.org/officeDocument/2006/relationships/hyperlink" Target="https://paperpile.com/c/u115be/GGo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1189</Words>
  <Characters>6782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City, Brittany</cp:lastModifiedBy>
  <cp:revision>2</cp:revision>
  <dcterms:created xsi:type="dcterms:W3CDTF">2018-07-23T19:55:00Z</dcterms:created>
  <dcterms:modified xsi:type="dcterms:W3CDTF">2018-07-23T19:55:00Z</dcterms:modified>
</cp:coreProperties>
</file>