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2DB8EDD6" w:rsidR="0093273D" w:rsidRPr="008673B8" w:rsidRDefault="00DB1550" w:rsidP="00CF0D06">
            <w:pPr>
              <w:rPr>
                <w:rFonts w:asciiTheme="majorHAnsi" w:hAnsiTheme="majorHAnsi" w:cstheme="majorHAnsi"/>
                <w:sz w:val="22"/>
                <w:szCs w:val="22"/>
              </w:rPr>
            </w:pPr>
            <w:r>
              <w:rPr>
                <w:rFonts w:asciiTheme="majorHAnsi" w:hAnsiTheme="majorHAnsi" w:cstheme="majorHAnsi"/>
                <w:sz w:val="22"/>
                <w:szCs w:val="22"/>
              </w:rPr>
              <w:t>NT306</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52A45845" w:rsidR="0093273D" w:rsidRPr="008673B8" w:rsidRDefault="00BE7EB5" w:rsidP="00B45363">
            <w:pPr>
              <w:tabs>
                <w:tab w:val="center" w:pos="4023"/>
              </w:tabs>
              <w:rPr>
                <w:rFonts w:asciiTheme="majorHAnsi" w:hAnsiTheme="majorHAnsi" w:cstheme="majorHAnsi"/>
                <w:sz w:val="22"/>
                <w:szCs w:val="22"/>
              </w:rPr>
            </w:pPr>
            <w:r>
              <w:rPr>
                <w:rFonts w:asciiTheme="majorHAnsi" w:hAnsiTheme="majorHAnsi" w:cstheme="majorHAnsi"/>
                <w:sz w:val="22"/>
                <w:szCs w:val="22"/>
              </w:rPr>
              <w:t>09/1</w:t>
            </w:r>
            <w:r w:rsidR="007A7831">
              <w:rPr>
                <w:rFonts w:asciiTheme="majorHAnsi" w:hAnsiTheme="majorHAnsi" w:cstheme="majorHAnsi"/>
                <w:sz w:val="22"/>
                <w:szCs w:val="22"/>
              </w:rPr>
              <w:t>8</w:t>
            </w:r>
            <w:r>
              <w:rPr>
                <w:rFonts w:asciiTheme="majorHAnsi" w:hAnsiTheme="majorHAnsi" w:cstheme="majorHAnsi"/>
                <w:sz w:val="22"/>
                <w:szCs w:val="22"/>
              </w:rPr>
              <w:t>/18</w:t>
            </w:r>
            <w:r w:rsidR="00B45363">
              <w:rPr>
                <w:rFonts w:asciiTheme="majorHAnsi" w:hAnsiTheme="majorHAnsi" w:cstheme="majorHAnsi"/>
                <w:sz w:val="22"/>
                <w:szCs w:val="22"/>
              </w:rPr>
              <w:tab/>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0EF41B28" w:rsidR="0093273D" w:rsidRPr="008673B8" w:rsidRDefault="00846718" w:rsidP="00CF0D06">
            <w:pPr>
              <w:rPr>
                <w:rFonts w:asciiTheme="majorHAnsi" w:hAnsiTheme="majorHAnsi" w:cstheme="majorHAnsi"/>
                <w:sz w:val="22"/>
                <w:szCs w:val="22"/>
              </w:rPr>
            </w:pPr>
            <w:r w:rsidRPr="00846718">
              <w:rPr>
                <w:rFonts w:asciiTheme="majorHAnsi" w:hAnsiTheme="majorHAnsi" w:cstheme="majorHAnsi"/>
                <w:sz w:val="22"/>
                <w:szCs w:val="22"/>
              </w:rPr>
              <w:t>Evaluating the utility of high-throughput functional scoring of BRCA1 missense variants in eMERGE-III participants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1FD30CE8" w:rsidR="0093273D" w:rsidRPr="008673B8" w:rsidRDefault="007A0941" w:rsidP="00CF0D06">
            <w:pPr>
              <w:rPr>
                <w:rFonts w:asciiTheme="majorHAnsi" w:hAnsiTheme="majorHAnsi" w:cstheme="majorHAnsi"/>
                <w:sz w:val="22"/>
                <w:szCs w:val="22"/>
              </w:rPr>
            </w:pPr>
            <w:r>
              <w:rPr>
                <w:rFonts w:asciiTheme="majorHAnsi" w:hAnsiTheme="majorHAnsi" w:cstheme="majorHAnsi"/>
                <w:sz w:val="22"/>
                <w:szCs w:val="22"/>
              </w:rPr>
              <w:t>Adam Gordon</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1CC2A696" w:rsidR="0093273D" w:rsidRPr="008673B8" w:rsidRDefault="00C22342" w:rsidP="00CF0D06">
            <w:pPr>
              <w:rPr>
                <w:rFonts w:asciiTheme="majorHAnsi" w:hAnsiTheme="majorHAnsi" w:cstheme="majorHAnsi"/>
                <w:sz w:val="22"/>
                <w:szCs w:val="22"/>
              </w:rPr>
            </w:pPr>
            <w:r>
              <w:rPr>
                <w:rFonts w:asciiTheme="majorHAnsi" w:hAnsiTheme="majorHAnsi" w:cstheme="majorHAnsi"/>
                <w:sz w:val="22"/>
                <w:szCs w:val="22"/>
              </w:rPr>
              <w:t xml:space="preserve">Lea Starita, </w:t>
            </w:r>
            <w:r w:rsidR="00BF20B5">
              <w:rPr>
                <w:rFonts w:asciiTheme="majorHAnsi" w:hAnsiTheme="majorHAnsi" w:cstheme="majorHAnsi"/>
                <w:sz w:val="22"/>
                <w:szCs w:val="22"/>
              </w:rPr>
              <w:t>Gail P Jarvi</w:t>
            </w:r>
            <w:bookmarkStart w:id="0" w:name="_GoBack"/>
            <w:bookmarkEnd w:id="0"/>
            <w:r w:rsidR="00BF20B5">
              <w:rPr>
                <w:rFonts w:asciiTheme="majorHAnsi" w:hAnsiTheme="majorHAnsi" w:cstheme="majorHAnsi"/>
                <w:sz w:val="22"/>
                <w:szCs w:val="22"/>
              </w:rPr>
              <w:t>k</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86B171B" w14:textId="20CB3235" w:rsidR="007A7831" w:rsidRPr="008673B8" w:rsidRDefault="00C22342" w:rsidP="00CF0D06">
            <w:pPr>
              <w:rPr>
                <w:rFonts w:asciiTheme="majorHAnsi" w:hAnsiTheme="majorHAnsi" w:cstheme="majorHAnsi"/>
                <w:sz w:val="22"/>
                <w:szCs w:val="22"/>
              </w:rPr>
            </w:pPr>
            <w:r w:rsidRPr="00C22342">
              <w:rPr>
                <w:rFonts w:asciiTheme="majorHAnsi" w:hAnsiTheme="majorHAnsi" w:cstheme="majorHAnsi"/>
              </w:rPr>
              <w:t xml:space="preserve">Greg Findlay, </w:t>
            </w:r>
            <w:r w:rsidR="00BE7EB5" w:rsidRPr="00C22342">
              <w:rPr>
                <w:rFonts w:asciiTheme="majorHAnsi" w:hAnsiTheme="majorHAnsi" w:cstheme="majorHAnsi"/>
                <w:sz w:val="22"/>
                <w:szCs w:val="22"/>
              </w:rPr>
              <w:t>Melody Palmer, Elisabeth Rosenthal, David Crosslin,</w:t>
            </w:r>
            <w:r w:rsidR="00533FFE" w:rsidRPr="00C22342">
              <w:rPr>
                <w:rFonts w:asciiTheme="majorHAnsi" w:hAnsiTheme="majorHAnsi" w:cstheme="majorHAnsi"/>
                <w:sz w:val="22"/>
                <w:szCs w:val="22"/>
              </w:rPr>
              <w:t xml:space="preserve"> Ian Stanaway, Taryn Hall, </w:t>
            </w:r>
            <w:r w:rsidR="00BE7EB5" w:rsidRPr="00C22342">
              <w:rPr>
                <w:rFonts w:asciiTheme="majorHAnsi" w:hAnsiTheme="majorHAnsi" w:cstheme="majorHAnsi"/>
                <w:sz w:val="22"/>
                <w:szCs w:val="22"/>
              </w:rPr>
              <w:t>David Carrell</w:t>
            </w:r>
            <w:r w:rsidR="00BE7EB5">
              <w:rPr>
                <w:rFonts w:asciiTheme="majorHAnsi" w:hAnsiTheme="majorHAnsi" w:cstheme="majorHAnsi"/>
                <w:sz w:val="22"/>
                <w:szCs w:val="22"/>
              </w:rPr>
              <w:t>, Kathy Leppig</w:t>
            </w:r>
            <w:r w:rsidR="00533FFE">
              <w:rPr>
                <w:rFonts w:asciiTheme="majorHAnsi" w:hAnsiTheme="majorHAnsi" w:cstheme="majorHAnsi"/>
                <w:sz w:val="22"/>
                <w:szCs w:val="22"/>
              </w:rPr>
              <w:t>,</w:t>
            </w:r>
            <w:r w:rsidR="00500942">
              <w:rPr>
                <w:rFonts w:asciiTheme="majorHAnsi" w:hAnsiTheme="majorHAnsi" w:cstheme="majorHAnsi"/>
                <w:sz w:val="22"/>
                <w:szCs w:val="22"/>
              </w:rPr>
              <w:t xml:space="preserve"> </w:t>
            </w:r>
            <w:r w:rsidR="00533FFE">
              <w:rPr>
                <w:rFonts w:asciiTheme="majorHAnsi" w:hAnsiTheme="majorHAnsi" w:cstheme="majorHAnsi"/>
                <w:sz w:val="22"/>
                <w:szCs w:val="22"/>
              </w:rPr>
              <w:t>Eric Larson</w:t>
            </w: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211DBF2C" w:rsidR="0093273D" w:rsidRPr="008673B8" w:rsidRDefault="00BE7EB5" w:rsidP="00CF0D06">
            <w:pPr>
              <w:rPr>
                <w:rFonts w:asciiTheme="majorHAnsi" w:hAnsiTheme="majorHAnsi" w:cstheme="majorHAnsi"/>
                <w:sz w:val="22"/>
                <w:szCs w:val="22"/>
              </w:rPr>
            </w:pPr>
            <w:r>
              <w:rPr>
                <w:rFonts w:asciiTheme="majorHAnsi" w:hAnsiTheme="majorHAnsi" w:cstheme="majorHAnsi"/>
                <w:sz w:val="22"/>
                <w:szCs w:val="22"/>
              </w:rPr>
              <w:t>All adult</w:t>
            </w:r>
            <w:r w:rsidR="00B05923">
              <w:rPr>
                <w:rFonts w:asciiTheme="majorHAnsi" w:hAnsiTheme="majorHAnsi" w:cstheme="majorHAnsi"/>
                <w:sz w:val="22"/>
                <w:szCs w:val="22"/>
              </w:rPr>
              <w:t xml:space="preserve"> eMERGE</w:t>
            </w:r>
            <w:r>
              <w:rPr>
                <w:rFonts w:asciiTheme="majorHAnsi" w:hAnsiTheme="majorHAnsi" w:cstheme="majorHAnsi"/>
                <w:sz w:val="22"/>
                <w:szCs w:val="22"/>
              </w:rPr>
              <w:t xml:space="preserve"> sites</w:t>
            </w: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2991537" w14:textId="37F80AF2" w:rsidR="009D0BD9" w:rsidRDefault="000303A5" w:rsidP="00BE7EB5">
            <w:pPr>
              <w:rPr>
                <w:rFonts w:asciiTheme="majorHAnsi" w:hAnsiTheme="majorHAnsi" w:cstheme="majorHAnsi"/>
                <w:color w:val="000000"/>
                <w:sz w:val="22"/>
                <w:szCs w:val="22"/>
              </w:rPr>
            </w:pPr>
            <w:r w:rsidRPr="000303A5">
              <w:rPr>
                <w:rFonts w:asciiTheme="majorHAnsi" w:hAnsiTheme="majorHAnsi" w:cstheme="majorHAnsi"/>
                <w:color w:val="000000"/>
                <w:sz w:val="22"/>
                <w:szCs w:val="22"/>
              </w:rPr>
              <w:t xml:space="preserve">Pathogenic variants in the cancer associated genes </w:t>
            </w:r>
            <w:r w:rsidRPr="000303A5">
              <w:rPr>
                <w:rFonts w:asciiTheme="majorHAnsi" w:hAnsiTheme="majorHAnsi" w:cstheme="majorHAnsi"/>
                <w:i/>
                <w:color w:val="000000"/>
                <w:sz w:val="22"/>
                <w:szCs w:val="22"/>
              </w:rPr>
              <w:t>BRCA1</w:t>
            </w:r>
            <w:r w:rsidRPr="000303A5">
              <w:rPr>
                <w:rFonts w:asciiTheme="majorHAnsi" w:hAnsiTheme="majorHAnsi" w:cstheme="majorHAnsi"/>
                <w:color w:val="000000"/>
                <w:sz w:val="22"/>
                <w:szCs w:val="22"/>
              </w:rPr>
              <w:t xml:space="preserve"> and </w:t>
            </w:r>
            <w:r w:rsidRPr="000303A5">
              <w:rPr>
                <w:rFonts w:asciiTheme="majorHAnsi" w:hAnsiTheme="majorHAnsi" w:cstheme="majorHAnsi"/>
                <w:i/>
                <w:color w:val="000000"/>
                <w:sz w:val="22"/>
                <w:szCs w:val="22"/>
              </w:rPr>
              <w:t>2</w:t>
            </w:r>
            <w:r w:rsidRPr="000303A5">
              <w:rPr>
                <w:rFonts w:asciiTheme="majorHAnsi" w:hAnsiTheme="majorHAnsi" w:cstheme="majorHAnsi"/>
                <w:color w:val="000000"/>
                <w:sz w:val="22"/>
                <w:szCs w:val="22"/>
              </w:rPr>
              <w:t xml:space="preserve"> are the most commonly identified of the 59 high penetrance actionable genes outlined by the ACMG, even in non-Ashkenazi populations.</w:t>
            </w:r>
            <w:r>
              <w:rPr>
                <w:rFonts w:asciiTheme="majorHAnsi" w:hAnsiTheme="majorHAnsi" w:cstheme="majorHAnsi"/>
                <w:color w:val="000000"/>
                <w:sz w:val="22"/>
                <w:szCs w:val="22"/>
              </w:rPr>
              <w:t xml:space="preserve"> </w:t>
            </w:r>
            <w:r w:rsidRPr="000303A5">
              <w:rPr>
                <w:rFonts w:asciiTheme="majorHAnsi" w:hAnsiTheme="majorHAnsi" w:cstheme="majorHAnsi"/>
                <w:color w:val="000000"/>
                <w:sz w:val="22"/>
                <w:szCs w:val="22"/>
              </w:rPr>
              <w:t>Of 3,936 germline BRCA1 SNVs currently represented in ClinVar, only 983 are classified by an expert panel as ‘benign’ or ‘pathogenic’ without conflicting interpretations. Of the rest, 1,794 are listed as Variants of Uncertain Significance (VUS) in Clinvar. An additional 218 missense variants have conflicting pathogenicity classifications from different labs.</w:t>
            </w:r>
            <w:r w:rsidR="00A06F23">
              <w:t xml:space="preserve"> </w:t>
            </w:r>
            <w:r w:rsidR="00A06F23" w:rsidRPr="00A06F23">
              <w:rPr>
                <w:rFonts w:asciiTheme="majorHAnsi" w:hAnsiTheme="majorHAnsi" w:cstheme="majorHAnsi"/>
                <w:color w:val="000000"/>
                <w:sz w:val="22"/>
                <w:szCs w:val="22"/>
              </w:rPr>
              <w:t>Currently, over 50% of the BRCA1 single nucleotide variants (SNVs) in ClinVar are listed as VUS by all submitters. However, women who have a VUS test result and a family history of breast cancer are reported to have high levels of distress and often undergo possibly unnecessary surgeries due to improper medical management.</w:t>
            </w:r>
            <w:r w:rsidR="000B3CEE">
              <w:rPr>
                <w:rFonts w:asciiTheme="majorHAnsi" w:hAnsiTheme="majorHAnsi" w:cstheme="majorHAnsi"/>
                <w:color w:val="000000"/>
                <w:sz w:val="22"/>
                <w:szCs w:val="22"/>
              </w:rPr>
              <w:t xml:space="preserve"> </w:t>
            </w:r>
            <w:r w:rsidR="000B3CEE" w:rsidRPr="000B3CEE">
              <w:rPr>
                <w:rFonts w:asciiTheme="majorHAnsi" w:hAnsiTheme="majorHAnsi" w:cstheme="majorHAnsi"/>
                <w:color w:val="000000"/>
                <w:sz w:val="22"/>
                <w:szCs w:val="22"/>
              </w:rPr>
              <w:t xml:space="preserve">Historically, </w:t>
            </w:r>
            <w:r w:rsidR="000B3CEE" w:rsidRPr="000B3CEE">
              <w:rPr>
                <w:rFonts w:asciiTheme="majorHAnsi" w:hAnsiTheme="majorHAnsi" w:cstheme="majorHAnsi"/>
                <w:i/>
                <w:color w:val="000000"/>
                <w:sz w:val="22"/>
                <w:szCs w:val="22"/>
              </w:rPr>
              <w:t xml:space="preserve">in vitro </w:t>
            </w:r>
            <w:r w:rsidR="000B3CEE" w:rsidRPr="000B3CEE">
              <w:rPr>
                <w:rFonts w:asciiTheme="majorHAnsi" w:hAnsiTheme="majorHAnsi" w:cstheme="majorHAnsi"/>
                <w:color w:val="000000"/>
                <w:sz w:val="22"/>
                <w:szCs w:val="22"/>
              </w:rPr>
              <w:t xml:space="preserve">assays to determine the effect of </w:t>
            </w:r>
            <w:r w:rsidR="000B3CEE">
              <w:rPr>
                <w:rFonts w:asciiTheme="majorHAnsi" w:hAnsiTheme="majorHAnsi" w:cstheme="majorHAnsi"/>
                <w:color w:val="000000"/>
                <w:sz w:val="22"/>
                <w:szCs w:val="22"/>
              </w:rPr>
              <w:t xml:space="preserve">such </w:t>
            </w:r>
            <w:r w:rsidR="000B3CEE" w:rsidRPr="000B3CEE">
              <w:rPr>
                <w:rFonts w:asciiTheme="majorHAnsi" w:hAnsiTheme="majorHAnsi" w:cstheme="majorHAnsi"/>
                <w:color w:val="000000"/>
                <w:sz w:val="22"/>
                <w:szCs w:val="22"/>
              </w:rPr>
              <w:t>single nucleotide variants on protein function or splicing have been low throughput and performed in a post hoc, piecemeal fashion and therefore have not kept pace with the scaling of BRCA1 testing and the accumulation of VUS.</w:t>
            </w:r>
            <w:r w:rsidR="000B3CEE">
              <w:rPr>
                <w:rFonts w:asciiTheme="majorHAnsi" w:hAnsiTheme="majorHAnsi" w:cstheme="majorHAnsi"/>
                <w:color w:val="000000"/>
                <w:sz w:val="22"/>
                <w:szCs w:val="22"/>
              </w:rPr>
              <w:t xml:space="preserve"> </w:t>
            </w:r>
            <w:r w:rsidR="00EC5D39">
              <w:rPr>
                <w:rFonts w:asciiTheme="majorHAnsi" w:hAnsiTheme="majorHAnsi" w:cstheme="majorHAnsi"/>
                <w:color w:val="000000"/>
                <w:sz w:val="22"/>
                <w:szCs w:val="22"/>
              </w:rPr>
              <w:t>A h</w:t>
            </w:r>
            <w:r w:rsidR="000B3CEE" w:rsidRPr="000B3CEE">
              <w:rPr>
                <w:rFonts w:asciiTheme="majorHAnsi" w:hAnsiTheme="majorHAnsi" w:cstheme="majorHAnsi"/>
                <w:color w:val="000000"/>
                <w:sz w:val="22"/>
                <w:szCs w:val="22"/>
              </w:rPr>
              <w:t xml:space="preserve">igh throughput experimental method to measure variant function to inform variant classification </w:t>
            </w:r>
            <w:r w:rsidR="00EC5D39">
              <w:rPr>
                <w:rFonts w:asciiTheme="majorHAnsi" w:hAnsiTheme="majorHAnsi" w:cstheme="majorHAnsi"/>
                <w:color w:val="000000"/>
                <w:sz w:val="22"/>
                <w:szCs w:val="22"/>
              </w:rPr>
              <w:t>would be</w:t>
            </w:r>
            <w:r w:rsidR="000B3CEE" w:rsidRPr="000B3CEE">
              <w:rPr>
                <w:rFonts w:asciiTheme="majorHAnsi" w:hAnsiTheme="majorHAnsi" w:cstheme="majorHAnsi"/>
                <w:color w:val="000000"/>
                <w:sz w:val="22"/>
                <w:szCs w:val="22"/>
              </w:rPr>
              <w:t xml:space="preserve"> promising, but </w:t>
            </w:r>
            <w:r w:rsidR="00EC5D39">
              <w:rPr>
                <w:rFonts w:asciiTheme="majorHAnsi" w:hAnsiTheme="majorHAnsi" w:cstheme="majorHAnsi"/>
                <w:color w:val="000000"/>
                <w:sz w:val="22"/>
                <w:szCs w:val="22"/>
              </w:rPr>
              <w:t>must be</w:t>
            </w:r>
            <w:r w:rsidR="000B3CEE" w:rsidRPr="000B3CEE">
              <w:rPr>
                <w:rFonts w:asciiTheme="majorHAnsi" w:hAnsiTheme="majorHAnsi" w:cstheme="majorHAnsi"/>
                <w:color w:val="000000"/>
                <w:sz w:val="22"/>
                <w:szCs w:val="22"/>
              </w:rPr>
              <w:t xml:space="preserve"> </w:t>
            </w:r>
            <w:r w:rsidR="000B3CEE">
              <w:rPr>
                <w:rFonts w:asciiTheme="majorHAnsi" w:hAnsiTheme="majorHAnsi" w:cstheme="majorHAnsi"/>
                <w:color w:val="000000"/>
                <w:sz w:val="22"/>
                <w:szCs w:val="22"/>
              </w:rPr>
              <w:t xml:space="preserve">linked to large repositories of patient phenotype and outcome data </w:t>
            </w:r>
            <w:r w:rsidR="00EC5D39">
              <w:rPr>
                <w:rFonts w:asciiTheme="majorHAnsi" w:hAnsiTheme="majorHAnsi" w:cstheme="majorHAnsi"/>
                <w:color w:val="000000"/>
                <w:sz w:val="22"/>
                <w:szCs w:val="22"/>
              </w:rPr>
              <w:t>in order</w:t>
            </w:r>
            <w:r w:rsidR="000B3CEE">
              <w:rPr>
                <w:rFonts w:asciiTheme="majorHAnsi" w:hAnsiTheme="majorHAnsi" w:cstheme="majorHAnsi"/>
                <w:color w:val="000000"/>
                <w:sz w:val="22"/>
                <w:szCs w:val="22"/>
              </w:rPr>
              <w:t xml:space="preserve"> to demonstrate </w:t>
            </w:r>
            <w:r w:rsidR="00C40744">
              <w:rPr>
                <w:rFonts w:asciiTheme="majorHAnsi" w:hAnsiTheme="majorHAnsi" w:cstheme="majorHAnsi"/>
                <w:color w:val="000000"/>
                <w:sz w:val="22"/>
                <w:szCs w:val="22"/>
              </w:rPr>
              <w:t>its</w:t>
            </w:r>
            <w:r w:rsidR="000B3CEE">
              <w:rPr>
                <w:rFonts w:asciiTheme="majorHAnsi" w:hAnsiTheme="majorHAnsi" w:cstheme="majorHAnsi"/>
                <w:color w:val="000000"/>
                <w:sz w:val="22"/>
                <w:szCs w:val="22"/>
              </w:rPr>
              <w:t xml:space="preserve"> </w:t>
            </w:r>
            <w:r w:rsidR="00EC5D39">
              <w:rPr>
                <w:rFonts w:asciiTheme="majorHAnsi" w:hAnsiTheme="majorHAnsi" w:cstheme="majorHAnsi"/>
                <w:color w:val="000000"/>
                <w:sz w:val="22"/>
                <w:szCs w:val="22"/>
              </w:rPr>
              <w:t xml:space="preserve">accuracy and </w:t>
            </w:r>
            <w:r w:rsidR="000B3CEE">
              <w:rPr>
                <w:rFonts w:asciiTheme="majorHAnsi" w:hAnsiTheme="majorHAnsi" w:cstheme="majorHAnsi"/>
                <w:color w:val="000000"/>
                <w:sz w:val="22"/>
                <w:szCs w:val="22"/>
              </w:rPr>
              <w:t xml:space="preserve">utility in </w:t>
            </w:r>
            <w:r w:rsidR="00EC5D39">
              <w:rPr>
                <w:rFonts w:asciiTheme="majorHAnsi" w:hAnsiTheme="majorHAnsi" w:cstheme="majorHAnsi"/>
                <w:color w:val="000000"/>
                <w:sz w:val="22"/>
                <w:szCs w:val="22"/>
              </w:rPr>
              <w:t>variant interpretation.</w:t>
            </w:r>
          </w:p>
          <w:p w14:paraId="11740C75" w14:textId="77777777" w:rsidR="001516A9" w:rsidRDefault="001516A9" w:rsidP="001516A9">
            <w:pPr>
              <w:rPr>
                <w:rFonts w:asciiTheme="majorHAnsi" w:hAnsiTheme="majorHAnsi" w:cstheme="majorHAnsi"/>
                <w:color w:val="000000"/>
                <w:sz w:val="22"/>
                <w:szCs w:val="22"/>
              </w:rPr>
            </w:pPr>
          </w:p>
          <w:p w14:paraId="1E3C32C4" w14:textId="7718E773" w:rsidR="001516A9" w:rsidRDefault="00C40744" w:rsidP="001516A9">
            <w:pPr>
              <w:rPr>
                <w:rFonts w:asciiTheme="majorHAnsi" w:hAnsiTheme="majorHAnsi" w:cstheme="majorHAnsi"/>
                <w:color w:val="000000"/>
                <w:sz w:val="22"/>
                <w:szCs w:val="22"/>
              </w:rPr>
            </w:pPr>
            <w:r w:rsidRPr="00C40744">
              <w:rPr>
                <w:rFonts w:asciiTheme="majorHAnsi" w:hAnsiTheme="majorHAnsi" w:cstheme="majorHAnsi"/>
                <w:color w:val="000000"/>
                <w:sz w:val="22"/>
                <w:szCs w:val="22"/>
              </w:rPr>
              <w:t xml:space="preserve">In an attempt to overcome the problem of scale, the labs of Drs. Jay Shendure and Lea Starita at the University of Washington have developed a multiplexed functional assay for the breast, ovarian/fallopian, pancreatic, and prostate cancer associated gene, </w:t>
            </w:r>
            <w:r w:rsidRPr="00C40744">
              <w:rPr>
                <w:rFonts w:asciiTheme="majorHAnsi" w:hAnsiTheme="majorHAnsi" w:cstheme="majorHAnsi"/>
                <w:i/>
                <w:color w:val="000000"/>
                <w:sz w:val="22"/>
                <w:szCs w:val="22"/>
              </w:rPr>
              <w:t>BRCA1</w:t>
            </w:r>
            <w:r w:rsidRPr="00C40744">
              <w:rPr>
                <w:rFonts w:asciiTheme="majorHAnsi" w:hAnsiTheme="majorHAnsi" w:cstheme="majorHAnsi"/>
                <w:color w:val="000000"/>
                <w:sz w:val="22"/>
                <w:szCs w:val="22"/>
              </w:rPr>
              <w:t>, based on saturation genome editing</w:t>
            </w:r>
            <w:r>
              <w:rPr>
                <w:rFonts w:asciiTheme="majorHAnsi" w:hAnsiTheme="majorHAnsi" w:cstheme="majorHAnsi"/>
                <w:color w:val="000000"/>
                <w:sz w:val="22"/>
                <w:szCs w:val="22"/>
              </w:rPr>
              <w:t xml:space="preserve"> </w:t>
            </w:r>
            <w:r w:rsidRPr="00C40744">
              <w:rPr>
                <w:rFonts w:asciiTheme="majorHAnsi" w:hAnsiTheme="majorHAnsi" w:cstheme="majorHAnsi"/>
                <w:color w:val="000000"/>
                <w:sz w:val="22"/>
                <w:szCs w:val="22"/>
              </w:rPr>
              <w:t xml:space="preserve">to introduce and test all possible SNVs in </w:t>
            </w:r>
            <w:r w:rsidRPr="002C7338">
              <w:rPr>
                <w:rFonts w:asciiTheme="majorHAnsi" w:hAnsiTheme="majorHAnsi" w:cstheme="majorHAnsi"/>
                <w:i/>
                <w:color w:val="000000"/>
                <w:sz w:val="22"/>
                <w:szCs w:val="22"/>
              </w:rPr>
              <w:t>BRCA1</w:t>
            </w:r>
            <w:r w:rsidR="002C7338">
              <w:rPr>
                <w:rFonts w:asciiTheme="majorHAnsi" w:hAnsiTheme="majorHAnsi" w:cstheme="majorHAnsi"/>
                <w:color w:val="000000"/>
                <w:sz w:val="22"/>
                <w:szCs w:val="22"/>
              </w:rPr>
              <w:t xml:space="preserve"> </w:t>
            </w:r>
            <w:r>
              <w:rPr>
                <w:rFonts w:asciiTheme="majorHAnsi" w:hAnsiTheme="majorHAnsi" w:cstheme="majorHAnsi"/>
                <w:color w:val="000000"/>
                <w:sz w:val="22"/>
                <w:szCs w:val="22"/>
              </w:rPr>
              <w:t>(</w:t>
            </w:r>
            <w:hyperlink r:id="rId8" w:history="1">
              <w:r w:rsidR="002C7338" w:rsidRPr="00481CB2">
                <w:rPr>
                  <w:rStyle w:val="Hyperlink"/>
                  <w:rFonts w:asciiTheme="majorHAnsi" w:hAnsiTheme="majorHAnsi" w:cstheme="majorHAnsi"/>
                  <w:sz w:val="22"/>
                  <w:szCs w:val="22"/>
                </w:rPr>
                <w:t>https://www.biorxiv.org/content/early/2018/04/05/294520</w:t>
              </w:r>
            </w:hyperlink>
            <w:r w:rsidRPr="00C40744">
              <w:rPr>
                <w:rFonts w:asciiTheme="majorHAnsi" w:hAnsiTheme="majorHAnsi" w:cstheme="majorHAnsi"/>
                <w:color w:val="000000"/>
                <w:sz w:val="22"/>
                <w:szCs w:val="22"/>
              </w:rPr>
              <w:t>)</w:t>
            </w:r>
            <w:r w:rsidR="002C7338">
              <w:rPr>
                <w:rFonts w:asciiTheme="majorHAnsi" w:hAnsiTheme="majorHAnsi" w:cstheme="majorHAnsi"/>
                <w:color w:val="000000"/>
                <w:sz w:val="22"/>
                <w:szCs w:val="22"/>
              </w:rPr>
              <w:t>. This</w:t>
            </w:r>
            <w:r w:rsidR="002C7338" w:rsidRPr="002C7338">
              <w:rPr>
                <w:rFonts w:asciiTheme="majorHAnsi" w:hAnsiTheme="majorHAnsi" w:cstheme="majorHAnsi"/>
                <w:color w:val="000000"/>
                <w:sz w:val="22"/>
                <w:szCs w:val="22"/>
              </w:rPr>
              <w:t xml:space="preserve"> first </w:t>
            </w:r>
            <w:r w:rsidR="002C7338">
              <w:rPr>
                <w:rFonts w:asciiTheme="majorHAnsi" w:hAnsiTheme="majorHAnsi" w:cstheme="majorHAnsi"/>
                <w:color w:val="000000"/>
                <w:sz w:val="22"/>
                <w:szCs w:val="22"/>
              </w:rPr>
              <w:t>report</w:t>
            </w:r>
            <w:r w:rsidR="002C7338" w:rsidRPr="002C7338">
              <w:rPr>
                <w:rFonts w:asciiTheme="majorHAnsi" w:hAnsiTheme="majorHAnsi" w:cstheme="majorHAnsi"/>
                <w:color w:val="000000"/>
                <w:sz w:val="22"/>
                <w:szCs w:val="22"/>
              </w:rPr>
              <w:t xml:space="preserve"> </w:t>
            </w:r>
            <w:r w:rsidR="002C7338">
              <w:rPr>
                <w:rFonts w:asciiTheme="majorHAnsi" w:hAnsiTheme="majorHAnsi" w:cstheme="majorHAnsi"/>
                <w:color w:val="000000"/>
                <w:sz w:val="22"/>
                <w:szCs w:val="22"/>
              </w:rPr>
              <w:t>details</w:t>
            </w:r>
            <w:r w:rsidR="002C7338" w:rsidRPr="002C7338">
              <w:rPr>
                <w:rFonts w:asciiTheme="majorHAnsi" w:hAnsiTheme="majorHAnsi" w:cstheme="majorHAnsi"/>
                <w:color w:val="000000"/>
                <w:sz w:val="22"/>
                <w:szCs w:val="22"/>
              </w:rPr>
              <w:t xml:space="preserve"> function scores for 3,893 SNVs, encompassing 96.5% of all possible SNVs in 13 exons that encode BRCA1’s functionally critical RING (exons 2-5) and BRCT (exons 15-23) domains. These function scores were bimodal, and when dichotomized, predictions of pathogenicity were 96.7% sensitive and 98.2% specific </w:t>
            </w:r>
            <w:r w:rsidR="002C7338">
              <w:rPr>
                <w:rFonts w:asciiTheme="majorHAnsi" w:hAnsiTheme="majorHAnsi" w:cstheme="majorHAnsi"/>
                <w:color w:val="000000"/>
                <w:sz w:val="22"/>
                <w:szCs w:val="22"/>
              </w:rPr>
              <w:t xml:space="preserve">with ClinVar </w:t>
            </w:r>
            <w:r w:rsidR="005E5CD2">
              <w:rPr>
                <w:rFonts w:asciiTheme="majorHAnsi" w:hAnsiTheme="majorHAnsi" w:cstheme="majorHAnsi"/>
                <w:color w:val="000000"/>
                <w:sz w:val="22"/>
                <w:szCs w:val="22"/>
              </w:rPr>
              <w:t>entries</w:t>
            </w:r>
            <w:r w:rsidR="002C7338">
              <w:rPr>
                <w:rFonts w:asciiTheme="majorHAnsi" w:hAnsiTheme="majorHAnsi" w:cstheme="majorHAnsi"/>
                <w:color w:val="000000"/>
                <w:sz w:val="22"/>
                <w:szCs w:val="22"/>
              </w:rPr>
              <w:t xml:space="preserve"> (P/LP or B/LB only, </w:t>
            </w:r>
            <w:r w:rsidR="002C7338" w:rsidRPr="002C7338">
              <w:rPr>
                <w:rFonts w:asciiTheme="majorHAnsi" w:hAnsiTheme="majorHAnsi" w:cstheme="majorHAnsi"/>
                <w:color w:val="000000"/>
                <w:sz w:val="22"/>
                <w:szCs w:val="22"/>
              </w:rPr>
              <w:t xml:space="preserve">as </w:t>
            </w:r>
            <w:r w:rsidR="002C7338">
              <w:rPr>
                <w:rFonts w:asciiTheme="majorHAnsi" w:hAnsiTheme="majorHAnsi" w:cstheme="majorHAnsi"/>
                <w:color w:val="000000"/>
                <w:sz w:val="22"/>
                <w:szCs w:val="22"/>
              </w:rPr>
              <w:t>reported</w:t>
            </w:r>
            <w:r w:rsidR="002C7338" w:rsidRPr="002C7338">
              <w:rPr>
                <w:rFonts w:asciiTheme="majorHAnsi" w:hAnsiTheme="majorHAnsi" w:cstheme="majorHAnsi"/>
                <w:color w:val="000000"/>
                <w:sz w:val="22"/>
                <w:szCs w:val="22"/>
              </w:rPr>
              <w:t xml:space="preserve"> by an at least one</w:t>
            </w:r>
            <w:r w:rsidR="002C7338">
              <w:rPr>
                <w:rFonts w:asciiTheme="majorHAnsi" w:hAnsiTheme="majorHAnsi" w:cstheme="majorHAnsi"/>
                <w:color w:val="000000"/>
                <w:sz w:val="22"/>
                <w:szCs w:val="22"/>
              </w:rPr>
              <w:t xml:space="preserve"> 1-</w:t>
            </w:r>
            <w:r w:rsidR="002C7338" w:rsidRPr="002C7338">
              <w:rPr>
                <w:rFonts w:asciiTheme="majorHAnsi" w:hAnsiTheme="majorHAnsi" w:cstheme="majorHAnsi"/>
                <w:color w:val="000000"/>
                <w:sz w:val="22"/>
                <w:szCs w:val="22"/>
              </w:rPr>
              <w:t xml:space="preserve">star </w:t>
            </w:r>
            <w:r w:rsidR="002C7338">
              <w:rPr>
                <w:rFonts w:asciiTheme="majorHAnsi" w:hAnsiTheme="majorHAnsi" w:cstheme="majorHAnsi"/>
                <w:color w:val="000000"/>
                <w:sz w:val="22"/>
                <w:szCs w:val="22"/>
              </w:rPr>
              <w:t>lab)</w:t>
            </w:r>
            <w:r w:rsidR="002C7338" w:rsidRPr="002C7338">
              <w:rPr>
                <w:rFonts w:asciiTheme="majorHAnsi" w:hAnsiTheme="majorHAnsi" w:cstheme="majorHAnsi"/>
                <w:color w:val="000000"/>
                <w:sz w:val="22"/>
                <w:szCs w:val="22"/>
              </w:rPr>
              <w:t>.</w:t>
            </w:r>
            <w:r w:rsidR="00EE1222">
              <w:t xml:space="preserve"> </w:t>
            </w:r>
            <w:r w:rsidR="00EE1222" w:rsidRPr="00EE1222">
              <w:rPr>
                <w:rFonts w:asciiTheme="majorHAnsi" w:hAnsiTheme="majorHAnsi" w:cstheme="majorHAnsi"/>
                <w:color w:val="000000"/>
                <w:sz w:val="22"/>
                <w:szCs w:val="22"/>
              </w:rPr>
              <w:t xml:space="preserve">The goal of developing these high throughput functional assays is to incorporate these scores directly into the interpretation of BRCA1 </w:t>
            </w:r>
            <w:r w:rsidR="00EE1222" w:rsidRPr="00EE1222">
              <w:rPr>
                <w:rFonts w:asciiTheme="majorHAnsi" w:hAnsiTheme="majorHAnsi" w:cstheme="majorHAnsi"/>
                <w:color w:val="000000"/>
                <w:sz w:val="22"/>
                <w:szCs w:val="22"/>
              </w:rPr>
              <w:lastRenderedPageBreak/>
              <w:t>missense variants. In order to do s</w:t>
            </w:r>
            <w:r w:rsidR="00EE1222">
              <w:rPr>
                <w:rFonts w:asciiTheme="majorHAnsi" w:hAnsiTheme="majorHAnsi" w:cstheme="majorHAnsi"/>
                <w:color w:val="000000"/>
                <w:sz w:val="22"/>
                <w:szCs w:val="22"/>
              </w:rPr>
              <w:t>o</w:t>
            </w:r>
            <w:r w:rsidR="00EE1222" w:rsidRPr="00EE1222">
              <w:rPr>
                <w:rFonts w:asciiTheme="majorHAnsi" w:hAnsiTheme="majorHAnsi" w:cstheme="majorHAnsi"/>
                <w:color w:val="000000"/>
                <w:sz w:val="22"/>
                <w:szCs w:val="22"/>
              </w:rPr>
              <w:t>, the concordance of these predictions with cancer risk must be established</w:t>
            </w:r>
            <w:r w:rsidR="00EE1222">
              <w:rPr>
                <w:rFonts w:asciiTheme="majorHAnsi" w:hAnsiTheme="majorHAnsi" w:cstheme="majorHAnsi"/>
                <w:color w:val="000000"/>
                <w:sz w:val="22"/>
                <w:szCs w:val="22"/>
              </w:rPr>
              <w:t>, particularly in VUS</w:t>
            </w:r>
            <w:r w:rsidR="00EE1222" w:rsidRPr="00EE1222">
              <w:rPr>
                <w:rFonts w:asciiTheme="majorHAnsi" w:hAnsiTheme="majorHAnsi" w:cstheme="majorHAnsi"/>
                <w:color w:val="000000"/>
                <w:sz w:val="22"/>
                <w:szCs w:val="22"/>
              </w:rPr>
              <w:t xml:space="preserve">. Additionally, validation of the functional assay accuracy with eMERGE sequencing center pathogenicity classification for non-VUS would provide a second validation test of assay concordance. </w:t>
            </w:r>
          </w:p>
          <w:p w14:paraId="3622FB8C" w14:textId="77777777" w:rsidR="001516A9" w:rsidRDefault="001516A9" w:rsidP="001516A9">
            <w:pPr>
              <w:rPr>
                <w:rFonts w:asciiTheme="majorHAnsi" w:hAnsiTheme="majorHAnsi" w:cstheme="majorHAnsi"/>
                <w:color w:val="000000"/>
                <w:sz w:val="22"/>
                <w:szCs w:val="22"/>
              </w:rPr>
            </w:pPr>
          </w:p>
          <w:p w14:paraId="72AB1936" w14:textId="4C866104" w:rsidR="009D0BD9" w:rsidRDefault="00EE1222" w:rsidP="00BE7EB5">
            <w:pPr>
              <w:rPr>
                <w:rFonts w:asciiTheme="majorHAnsi" w:hAnsiTheme="majorHAnsi" w:cstheme="majorHAnsi"/>
                <w:color w:val="000000"/>
                <w:sz w:val="22"/>
                <w:szCs w:val="22"/>
              </w:rPr>
            </w:pPr>
            <w:r w:rsidRPr="00EE1222">
              <w:rPr>
                <w:rFonts w:asciiTheme="majorHAnsi" w:hAnsiTheme="majorHAnsi" w:cstheme="majorHAnsi"/>
                <w:color w:val="000000"/>
                <w:sz w:val="22"/>
                <w:szCs w:val="22"/>
              </w:rPr>
              <w:t>We propose to evaluate the concordance the assay with sequencing center classification and with cancer diagnoses in the adult eMERGE participants. eMERGE is unique among larger databases in that we have the ability to connect genotype and phenotype data across a wide variety of traits for currently 15,000 and soon 25,000 participants</w:t>
            </w:r>
            <w:r w:rsidR="001516A9">
              <w:rPr>
                <w:rFonts w:asciiTheme="majorHAnsi" w:hAnsiTheme="majorHAnsi" w:cstheme="majorHAnsi"/>
                <w:color w:val="000000"/>
                <w:sz w:val="22"/>
                <w:szCs w:val="22"/>
              </w:rPr>
              <w:t xml:space="preserve">, an </w:t>
            </w:r>
            <w:r w:rsidRPr="00EE1222">
              <w:rPr>
                <w:rFonts w:asciiTheme="majorHAnsi" w:hAnsiTheme="majorHAnsi" w:cstheme="majorHAnsi"/>
                <w:color w:val="000000"/>
                <w:sz w:val="22"/>
                <w:szCs w:val="22"/>
              </w:rPr>
              <w:t>ideal setting to test high throughput functional assays</w:t>
            </w:r>
            <w:r w:rsidR="001516A9">
              <w:rPr>
                <w:rFonts w:asciiTheme="majorHAnsi" w:hAnsiTheme="majorHAnsi" w:cstheme="majorHAnsi"/>
                <w:color w:val="000000"/>
                <w:sz w:val="22"/>
                <w:szCs w:val="22"/>
              </w:rPr>
              <w:t xml:space="preserve"> and ultimately improve variant interpretation. Specifically, w</w:t>
            </w:r>
            <w:r w:rsidR="001516A9" w:rsidRPr="001516A9">
              <w:rPr>
                <w:rFonts w:asciiTheme="majorHAnsi" w:hAnsiTheme="majorHAnsi" w:cstheme="majorHAnsi"/>
                <w:sz w:val="22"/>
                <w:szCs w:val="22"/>
              </w:rPr>
              <w:t xml:space="preserve">ithin the current Data Freeze of ~15,000 eMERGEseq participants we identify 177 missense variants in BRCA1. Of these, 34 SNVs are in the domains in which the functional assay has already been completed. These are currently classified as 3 P/LP, 16 VUS, and 15 B/LB; one VUS is not found in ClinVar (p.Phe79Leu). </w:t>
            </w:r>
          </w:p>
          <w:p w14:paraId="0759E83B" w14:textId="77777777" w:rsidR="00802DE0" w:rsidRDefault="00802DE0" w:rsidP="00BE7EB5">
            <w:pPr>
              <w:rPr>
                <w:rFonts w:asciiTheme="majorHAnsi" w:hAnsiTheme="majorHAnsi" w:cstheme="majorHAnsi"/>
                <w:color w:val="000000"/>
                <w:sz w:val="22"/>
                <w:szCs w:val="22"/>
              </w:rPr>
            </w:pPr>
          </w:p>
          <w:p w14:paraId="3CD7DE62" w14:textId="42ACB708" w:rsidR="009D0BD9" w:rsidRPr="008673B8" w:rsidRDefault="009D0BD9" w:rsidP="00BE7EB5">
            <w:pPr>
              <w:rPr>
                <w:rFonts w:asciiTheme="majorHAnsi" w:hAnsiTheme="majorHAnsi" w:cstheme="majorHAnsi"/>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D664D90" w14:textId="47F00730" w:rsidR="00126F37" w:rsidRDefault="00126F37" w:rsidP="00464417">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Extract</w:t>
            </w:r>
            <w:r w:rsidR="00464417">
              <w:rPr>
                <w:rFonts w:asciiTheme="majorHAnsi" w:hAnsiTheme="majorHAnsi" w:cstheme="majorHAnsi"/>
                <w:sz w:val="22"/>
                <w:szCs w:val="22"/>
              </w:rPr>
              <w:t xml:space="preserve"> network-wide </w:t>
            </w:r>
            <w:r w:rsidR="00464417" w:rsidRPr="00464417">
              <w:rPr>
                <w:rFonts w:asciiTheme="majorHAnsi" w:hAnsiTheme="majorHAnsi" w:cstheme="majorHAnsi"/>
                <w:i/>
                <w:sz w:val="22"/>
                <w:szCs w:val="22"/>
              </w:rPr>
              <w:t>BRCA1</w:t>
            </w:r>
            <w:r w:rsidR="00464417">
              <w:rPr>
                <w:rFonts w:asciiTheme="majorHAnsi" w:hAnsiTheme="majorHAnsi" w:cstheme="majorHAnsi"/>
                <w:sz w:val="22"/>
                <w:szCs w:val="22"/>
              </w:rPr>
              <w:t xml:space="preserve"> </w:t>
            </w:r>
            <w:r>
              <w:rPr>
                <w:rFonts w:asciiTheme="majorHAnsi" w:hAnsiTheme="majorHAnsi" w:cstheme="majorHAnsi"/>
                <w:sz w:val="22"/>
                <w:szCs w:val="22"/>
              </w:rPr>
              <w:t>variant data, compare CSG classification with functional scores</w:t>
            </w:r>
          </w:p>
          <w:p w14:paraId="51FA79D4" w14:textId="17871286" w:rsidR="000A12A3" w:rsidRDefault="00126F37" w:rsidP="00464417">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 xml:space="preserve">Identify individuals with </w:t>
            </w:r>
            <w:r w:rsidRPr="00126F37">
              <w:rPr>
                <w:rFonts w:asciiTheme="majorHAnsi" w:hAnsiTheme="majorHAnsi" w:cstheme="majorHAnsi"/>
                <w:i/>
                <w:sz w:val="22"/>
                <w:szCs w:val="22"/>
              </w:rPr>
              <w:t>BRCA1</w:t>
            </w:r>
            <w:r>
              <w:rPr>
                <w:rFonts w:asciiTheme="majorHAnsi" w:hAnsiTheme="majorHAnsi" w:cstheme="majorHAnsi"/>
                <w:sz w:val="22"/>
                <w:szCs w:val="22"/>
              </w:rPr>
              <w:t xml:space="preserve"> variants, confirm VUS across all eMERGE sites via orthogonal sequencing</w:t>
            </w:r>
          </w:p>
          <w:p w14:paraId="4F679806" w14:textId="635E92BD" w:rsidR="00126F37" w:rsidRDefault="00E2232C" w:rsidP="00464417">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 xml:space="preserve">Collect EHR-derived cancer phenotypes on relevant individuals and validate against chart review (only for VUS/LP/P, or B/LB with discordant functional score) </w:t>
            </w:r>
          </w:p>
          <w:p w14:paraId="3E304F4D" w14:textId="036DD4C9" w:rsidR="00E2232C" w:rsidRDefault="00E2232C" w:rsidP="00464417">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 xml:space="preserve">Collect cosegregation data on informative family members via single-site research genotyping </w:t>
            </w:r>
          </w:p>
          <w:p w14:paraId="2788E050" w14:textId="33864E34" w:rsidR="00E2232C" w:rsidRPr="00464417" w:rsidRDefault="00E2232C" w:rsidP="00464417">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Revise variant classifications, adhering to ACMG and incorporating new data. Submit updated interpretations to ClinVar.</w:t>
            </w: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140A5D2" w:rsidR="00C367EC" w:rsidRPr="00700246" w:rsidRDefault="00846718"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5C4AB3">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75728FE3" w:rsidR="00C367EC" w:rsidRPr="00700246" w:rsidRDefault="00846718"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5C4AB3">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1B25B1CC" w:rsidR="00C367EC" w:rsidRPr="00700246" w:rsidRDefault="00846718"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EC19FD">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19D4B092" w:rsidR="00C367EC" w:rsidRPr="00700246" w:rsidRDefault="00846718"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E2232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Phecodes</w:t>
            </w:r>
          </w:p>
          <w:p w14:paraId="3A9ACBE3" w14:textId="22E0825D" w:rsidR="00B845FF" w:rsidRPr="00700246" w:rsidRDefault="00846718"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E2232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846718"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846718"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628D3450" w:rsidR="00C367EC" w:rsidRPr="00700246" w:rsidRDefault="00846718"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5D9E70FF" w:rsidR="0025109A" w:rsidRPr="000B7654" w:rsidRDefault="00EF6FE5" w:rsidP="000B7654">
            <w:pPr>
              <w:rPr>
                <w:rFonts w:asciiTheme="majorHAnsi" w:hAnsiTheme="majorHAnsi" w:cstheme="majorHAnsi"/>
                <w:i/>
                <w:sz w:val="22"/>
                <w:szCs w:val="22"/>
              </w:rPr>
            </w:pPr>
            <w:r>
              <w:rPr>
                <w:rFonts w:asciiTheme="majorHAnsi" w:hAnsiTheme="majorHAnsi" w:cstheme="majorHAnsi"/>
                <w:sz w:val="22"/>
                <w:szCs w:val="22"/>
              </w:rPr>
              <w:t xml:space="preserve">Cancer diagnosis status (by chart review) among relevant </w:t>
            </w:r>
            <w:r w:rsidRPr="00EF6FE5">
              <w:rPr>
                <w:rFonts w:asciiTheme="majorHAnsi" w:hAnsiTheme="majorHAnsi" w:cstheme="majorHAnsi"/>
                <w:i/>
                <w:sz w:val="22"/>
                <w:szCs w:val="22"/>
              </w:rPr>
              <w:t>BRCA1</w:t>
            </w:r>
            <w:r>
              <w:rPr>
                <w:rFonts w:asciiTheme="majorHAnsi" w:hAnsiTheme="majorHAnsi" w:cstheme="majorHAnsi"/>
                <w:sz w:val="22"/>
                <w:szCs w:val="22"/>
              </w:rPr>
              <w:t xml:space="preserve"> variant carriers</w:t>
            </w:r>
            <w:r w:rsidR="0025109A" w:rsidRPr="000B7654">
              <w:rPr>
                <w:rFonts w:asciiTheme="majorHAnsi" w:hAnsiTheme="majorHAnsi" w:cstheme="majorHAnsi"/>
                <w:i/>
                <w:sz w:val="22"/>
                <w:szCs w:val="22"/>
              </w:rPr>
              <w:t xml:space="preser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59D83FB5" w:rsidR="0093273D" w:rsidRPr="00700246" w:rsidRDefault="00846718"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2D2F46">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67FC0A57" w:rsidR="00376326" w:rsidRPr="00700246" w:rsidRDefault="00846718"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053B8B">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2EFB530E" w:rsidR="00376326" w:rsidRPr="00700246" w:rsidRDefault="00846718"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1"/>
                  <w14:checkedState w14:val="2612" w14:font="MS Gothic"/>
                  <w14:uncheckedState w14:val="2610" w14:font="MS Gothic"/>
                </w14:checkbox>
              </w:sdtPr>
              <w:sdtEndPr/>
              <w:sdtContent>
                <w:r w:rsidR="00053B8B">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846718"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846718"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846718"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846718"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1C999DA1" w:rsidR="0063131E" w:rsidRPr="00700246" w:rsidRDefault="00846718"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053B8B">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Yes, if so please list</w:t>
            </w:r>
            <w:r w:rsidR="00053B8B">
              <w:rPr>
                <w:rFonts w:asciiTheme="majorHAnsi" w:hAnsiTheme="majorHAnsi" w:cstheme="majorHAnsi"/>
                <w:sz w:val="22"/>
                <w:szCs w:val="22"/>
              </w:rPr>
              <w:t xml:space="preserve">: </w:t>
            </w:r>
            <w:r w:rsidR="00A6125A">
              <w:rPr>
                <w:rFonts w:asciiTheme="majorHAnsi" w:hAnsiTheme="majorHAnsi" w:cstheme="majorHAnsi"/>
                <w:sz w:val="22"/>
                <w:szCs w:val="22"/>
              </w:rPr>
              <w:t>Breast Cancer</w:t>
            </w:r>
            <w:r w:rsidR="005C4AB3">
              <w:rPr>
                <w:rFonts w:asciiTheme="majorHAnsi" w:hAnsiTheme="majorHAnsi" w:cstheme="majorHAnsi"/>
                <w:sz w:val="22"/>
                <w:szCs w:val="22"/>
              </w:rPr>
              <w:t>, Ovarian Cancer</w:t>
            </w:r>
            <w:r w:rsidR="0063131E" w:rsidRPr="00700246">
              <w:rPr>
                <w:rFonts w:asciiTheme="majorHAnsi" w:hAnsiTheme="majorHAnsi" w:cstheme="majorHAnsi"/>
                <w:sz w:val="22"/>
                <w:szCs w:val="22"/>
              </w:rPr>
              <w:t xml:space="preserve">                        </w:t>
            </w:r>
          </w:p>
          <w:p w14:paraId="2C71B567" w14:textId="00FA8EA3" w:rsidR="0063131E" w:rsidRPr="00700246" w:rsidRDefault="00846718"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4CCD75" w14:textId="1FFD9414" w:rsidR="00EF6FE5" w:rsidRDefault="00EF6FE5" w:rsidP="00EF6FE5">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Compare CSG interpretations vs. assay predictions via simple crosstabs</w:t>
            </w:r>
          </w:p>
          <w:p w14:paraId="2571C719" w14:textId="28506140" w:rsidR="0093273D" w:rsidRPr="00EF6FE5" w:rsidRDefault="00EF6FE5" w:rsidP="00EF6FE5">
            <w:pPr>
              <w:pStyle w:val="ListParagraph"/>
              <w:numPr>
                <w:ilvl w:val="0"/>
                <w:numId w:val="7"/>
              </w:numPr>
              <w:rPr>
                <w:rFonts w:asciiTheme="majorHAnsi" w:hAnsiTheme="majorHAnsi" w:cstheme="majorHAnsi"/>
                <w:sz w:val="22"/>
                <w:szCs w:val="22"/>
              </w:rPr>
            </w:pPr>
            <w:r w:rsidRPr="00EF6FE5">
              <w:rPr>
                <w:rFonts w:asciiTheme="majorHAnsi" w:hAnsiTheme="majorHAnsi" w:cstheme="majorHAnsi"/>
                <w:sz w:val="22"/>
                <w:szCs w:val="22"/>
              </w:rPr>
              <w:t xml:space="preserve">Measure functional assay sensitivity and specificity using </w:t>
            </w:r>
            <w:r>
              <w:rPr>
                <w:rFonts w:asciiTheme="majorHAnsi" w:hAnsiTheme="majorHAnsi" w:cstheme="majorHAnsi"/>
                <w:sz w:val="22"/>
                <w:szCs w:val="22"/>
              </w:rPr>
              <w:t>actual patient data</w:t>
            </w:r>
          </w:p>
          <w:p w14:paraId="7475705D" w14:textId="1B0D6FF8" w:rsidR="00EF6FE5" w:rsidRPr="00EF6FE5" w:rsidRDefault="00EF6FE5" w:rsidP="00EF6FE5">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Calculate strength of cosegregation evidence, where applicable</w:t>
            </w:r>
          </w:p>
          <w:p w14:paraId="18EFD397" w14:textId="3C70010D" w:rsidR="0093273D" w:rsidRDefault="0093273D" w:rsidP="00CF0D06">
            <w:pPr>
              <w:rPr>
                <w:rFonts w:asciiTheme="majorHAnsi" w:hAnsiTheme="majorHAnsi" w:cstheme="majorHAnsi"/>
                <w:sz w:val="22"/>
                <w:szCs w:val="22"/>
              </w:rPr>
            </w:pP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lastRenderedPageBreak/>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18AAB407" w:rsidR="0093273D" w:rsidRPr="008673B8" w:rsidRDefault="00D8433A" w:rsidP="00CF0D06">
            <w:pPr>
              <w:rPr>
                <w:rFonts w:asciiTheme="majorHAnsi" w:hAnsiTheme="majorHAnsi" w:cstheme="majorHAnsi"/>
                <w:sz w:val="22"/>
                <w:szCs w:val="22"/>
              </w:rPr>
            </w:pPr>
            <w:r>
              <w:rPr>
                <w:rFonts w:asciiTheme="majorHAnsi" w:hAnsiTheme="majorHAnsi" w:cstheme="majorHAnsi"/>
                <w:sz w:val="22"/>
                <w:szCs w:val="22"/>
              </w:rPr>
              <w:t>Clearly inform</w:t>
            </w:r>
            <w:r w:rsidRPr="00D8433A">
              <w:rPr>
                <w:rFonts w:asciiTheme="majorHAnsi" w:hAnsiTheme="majorHAnsi" w:cstheme="majorHAnsi"/>
                <w:sz w:val="22"/>
                <w:szCs w:val="22"/>
              </w:rPr>
              <w:t xml:space="preserve"> family members that their cosegregation testing is not useful for clinical care if the classification remains VUS.</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39524F0F" w:rsidR="000A12A3" w:rsidRPr="008673B8" w:rsidRDefault="00053B8B" w:rsidP="00CF0D06">
            <w:pPr>
              <w:rPr>
                <w:rFonts w:asciiTheme="majorHAnsi" w:hAnsiTheme="majorHAnsi" w:cstheme="majorHAnsi"/>
                <w:sz w:val="22"/>
                <w:szCs w:val="22"/>
              </w:rPr>
            </w:pPr>
            <w:commentRangeStart w:id="1"/>
            <w:r>
              <w:rPr>
                <w:rFonts w:asciiTheme="majorHAnsi" w:hAnsiTheme="majorHAnsi" w:cstheme="majorHAnsi"/>
                <w:sz w:val="22"/>
                <w:szCs w:val="22"/>
              </w:rPr>
              <w:t>Amer J Human Genetics</w:t>
            </w:r>
            <w:commentRangeEnd w:id="1"/>
            <w:r w:rsidR="00F31BE5">
              <w:rPr>
                <w:rStyle w:val="CommentReference"/>
              </w:rPr>
              <w:commentReference w:id="1"/>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6FAB8AED" w:rsidR="0093273D" w:rsidRDefault="00764455" w:rsidP="00CF0D06">
            <w:pPr>
              <w:rPr>
                <w:rFonts w:asciiTheme="majorHAnsi" w:hAnsiTheme="majorHAnsi" w:cstheme="majorHAnsi"/>
                <w:sz w:val="22"/>
                <w:szCs w:val="22"/>
              </w:rPr>
            </w:pPr>
            <w:r>
              <w:rPr>
                <w:rFonts w:asciiTheme="majorHAnsi" w:hAnsiTheme="majorHAnsi" w:cstheme="majorHAnsi"/>
                <w:sz w:val="22"/>
                <w:szCs w:val="22"/>
              </w:rPr>
              <w:t xml:space="preserve">Fall 2018  </w:t>
            </w:r>
            <w:r w:rsidR="00DA22DE">
              <w:rPr>
                <w:rFonts w:asciiTheme="majorHAnsi" w:hAnsiTheme="majorHAnsi" w:cstheme="majorHAnsi"/>
                <w:sz w:val="22"/>
                <w:szCs w:val="22"/>
              </w:rPr>
              <w:t>–</w:t>
            </w:r>
            <w:r>
              <w:rPr>
                <w:rFonts w:asciiTheme="majorHAnsi" w:hAnsiTheme="majorHAnsi" w:cstheme="majorHAnsi"/>
                <w:sz w:val="22"/>
                <w:szCs w:val="22"/>
              </w:rPr>
              <w:t xml:space="preserve"> </w:t>
            </w:r>
            <w:r w:rsidR="00DA22DE">
              <w:rPr>
                <w:rFonts w:asciiTheme="majorHAnsi" w:hAnsiTheme="majorHAnsi" w:cstheme="majorHAnsi"/>
                <w:sz w:val="22"/>
                <w:szCs w:val="22"/>
              </w:rPr>
              <w:t xml:space="preserve">Network </w:t>
            </w:r>
            <w:r>
              <w:rPr>
                <w:rFonts w:asciiTheme="majorHAnsi" w:hAnsiTheme="majorHAnsi" w:cstheme="majorHAnsi"/>
                <w:sz w:val="22"/>
                <w:szCs w:val="22"/>
              </w:rPr>
              <w:t>data extraction</w:t>
            </w:r>
            <w:r w:rsidR="00DA22DE">
              <w:rPr>
                <w:rFonts w:asciiTheme="majorHAnsi" w:hAnsiTheme="majorHAnsi" w:cstheme="majorHAnsi"/>
                <w:sz w:val="22"/>
                <w:szCs w:val="22"/>
              </w:rPr>
              <w:t xml:space="preserve"> &amp; harmonization</w:t>
            </w:r>
            <w:r>
              <w:rPr>
                <w:rFonts w:asciiTheme="majorHAnsi" w:hAnsiTheme="majorHAnsi" w:cstheme="majorHAnsi"/>
                <w:sz w:val="22"/>
                <w:szCs w:val="22"/>
              </w:rPr>
              <w:t>, genotype validation</w:t>
            </w:r>
          </w:p>
          <w:p w14:paraId="73E3D547" w14:textId="77777777" w:rsidR="00DA22DE" w:rsidRDefault="00DA22DE" w:rsidP="00CF0D06">
            <w:pPr>
              <w:rPr>
                <w:rFonts w:asciiTheme="majorHAnsi" w:hAnsiTheme="majorHAnsi" w:cstheme="majorHAnsi"/>
                <w:sz w:val="22"/>
                <w:szCs w:val="22"/>
              </w:rPr>
            </w:pPr>
          </w:p>
          <w:p w14:paraId="5CFA5992" w14:textId="797A29CD" w:rsidR="00764455" w:rsidRDefault="00764455" w:rsidP="00CF0D06">
            <w:pPr>
              <w:rPr>
                <w:rFonts w:asciiTheme="majorHAnsi" w:hAnsiTheme="majorHAnsi" w:cstheme="majorHAnsi"/>
                <w:sz w:val="22"/>
                <w:szCs w:val="22"/>
              </w:rPr>
            </w:pPr>
            <w:r>
              <w:rPr>
                <w:rFonts w:asciiTheme="majorHAnsi" w:hAnsiTheme="majorHAnsi" w:cstheme="majorHAnsi"/>
                <w:sz w:val="22"/>
                <w:szCs w:val="22"/>
              </w:rPr>
              <w:t xml:space="preserve">Winter 2019 </w:t>
            </w:r>
            <w:r w:rsidR="00DA22DE">
              <w:rPr>
                <w:rFonts w:asciiTheme="majorHAnsi" w:hAnsiTheme="majorHAnsi" w:cstheme="majorHAnsi"/>
                <w:sz w:val="22"/>
                <w:szCs w:val="22"/>
              </w:rPr>
              <w:t>–</w:t>
            </w:r>
            <w:r>
              <w:rPr>
                <w:rFonts w:asciiTheme="majorHAnsi" w:hAnsiTheme="majorHAnsi" w:cstheme="majorHAnsi"/>
                <w:sz w:val="22"/>
                <w:szCs w:val="22"/>
              </w:rPr>
              <w:t xml:space="preserve"> </w:t>
            </w:r>
            <w:r w:rsidR="00DA22DE">
              <w:rPr>
                <w:rFonts w:asciiTheme="majorHAnsi" w:hAnsiTheme="majorHAnsi" w:cstheme="majorHAnsi"/>
                <w:sz w:val="22"/>
                <w:szCs w:val="22"/>
              </w:rPr>
              <w:t xml:space="preserve">EHR review, family testing, </w:t>
            </w:r>
          </w:p>
          <w:p w14:paraId="2FD83ED0" w14:textId="15EE6E55" w:rsidR="00DA22DE" w:rsidRDefault="00DA22DE" w:rsidP="00CF0D06">
            <w:pPr>
              <w:rPr>
                <w:rFonts w:asciiTheme="majorHAnsi" w:hAnsiTheme="majorHAnsi" w:cstheme="majorHAnsi"/>
                <w:sz w:val="22"/>
                <w:szCs w:val="22"/>
              </w:rPr>
            </w:pPr>
          </w:p>
          <w:p w14:paraId="770B7244" w14:textId="7363DD72" w:rsidR="00DA22DE" w:rsidRPr="008673B8" w:rsidRDefault="00DA22DE" w:rsidP="00CF0D06">
            <w:pPr>
              <w:rPr>
                <w:rFonts w:asciiTheme="majorHAnsi" w:hAnsiTheme="majorHAnsi" w:cstheme="majorHAnsi"/>
                <w:sz w:val="22"/>
                <w:szCs w:val="22"/>
              </w:rPr>
            </w:pPr>
            <w:r>
              <w:rPr>
                <w:rFonts w:asciiTheme="majorHAnsi" w:hAnsiTheme="majorHAnsi" w:cstheme="majorHAnsi"/>
                <w:sz w:val="22"/>
                <w:szCs w:val="22"/>
              </w:rPr>
              <w:t>Spring 2019 – Statistical analysis, manuscript submission</w:t>
            </w:r>
          </w:p>
          <w:p w14:paraId="4089201E" w14:textId="698DDE30" w:rsidR="0093273D" w:rsidRPr="008673B8" w:rsidRDefault="0093273D" w:rsidP="00CF0D06">
            <w:pPr>
              <w:rPr>
                <w:rFonts w:asciiTheme="majorHAnsi" w:hAnsiTheme="majorHAnsi" w:cstheme="majorHAnsi"/>
                <w:sz w:val="22"/>
                <w:szCs w:val="22"/>
              </w:rPr>
            </w:pPr>
          </w:p>
        </w:tc>
      </w:tr>
    </w:tbl>
    <w:p w14:paraId="4BF2BAC8" w14:textId="77777777" w:rsidR="002142B6" w:rsidRDefault="00846718"/>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11"/>
      <w:footerReference w:type="default" r:id="rId1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am Samuel Gordon" w:date="2018-09-18T13:32:00Z" w:initials="ASG">
    <w:p w14:paraId="43EC15A2" w14:textId="28EE171B" w:rsidR="00F31BE5" w:rsidRDefault="00F31BE5">
      <w:pPr>
        <w:pStyle w:val="CommentText"/>
      </w:pPr>
      <w:r>
        <w:rPr>
          <w:rStyle w:val="CommentReference"/>
        </w:rPr>
        <w:annotationRef/>
      </w:r>
      <w:r>
        <w:t>Would JAMA have interest, i.e. Van Driest arrythmia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EC15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0BF530" w16cid:durableId="1F4B5B3F"/>
  <w16cid:commentId w16cid:paraId="3D6CD83C" w16cid:durableId="1F4B5B7F"/>
  <w16cid:commentId w16cid:paraId="43EC15A2" w16cid:durableId="1F4B7C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A2705" w14:textId="77777777" w:rsidR="008B17A3" w:rsidRDefault="008B17A3" w:rsidP="0093273D">
      <w:r>
        <w:separator/>
      </w:r>
    </w:p>
  </w:endnote>
  <w:endnote w:type="continuationSeparator" w:id="0">
    <w:p w14:paraId="2CA912A2" w14:textId="77777777" w:rsidR="008B17A3" w:rsidRDefault="008B17A3"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45286161"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846718">
          <w:rPr>
            <w:rFonts w:asciiTheme="majorHAnsi" w:hAnsiTheme="majorHAnsi"/>
            <w:noProof/>
            <w:sz w:val="22"/>
          </w:rPr>
          <w:t>3</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62AAC" w14:textId="77777777" w:rsidR="008B17A3" w:rsidRDefault="008B17A3" w:rsidP="0093273D">
      <w:r>
        <w:separator/>
      </w:r>
    </w:p>
  </w:footnote>
  <w:footnote w:type="continuationSeparator" w:id="0">
    <w:p w14:paraId="02D703D5" w14:textId="77777777" w:rsidR="008B17A3" w:rsidRDefault="008B17A3"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5301"/>
    <w:multiLevelType w:val="hybridMultilevel"/>
    <w:tmpl w:val="0EE6E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D6DA9"/>
    <w:multiLevelType w:val="hybridMultilevel"/>
    <w:tmpl w:val="9386DF4C"/>
    <w:lvl w:ilvl="0" w:tplc="955EE2CE">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 Samuel Gordon">
    <w15:presenceInfo w15:providerId="Windows Live" w15:userId="4ff1bb50-a7d0-43f8-ae88-c542452991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02DE8"/>
    <w:rsid w:val="000303A5"/>
    <w:rsid w:val="00053B8B"/>
    <w:rsid w:val="000A12A3"/>
    <w:rsid w:val="000B3CEE"/>
    <w:rsid w:val="000B7654"/>
    <w:rsid w:val="00105AB4"/>
    <w:rsid w:val="00117500"/>
    <w:rsid w:val="00126F37"/>
    <w:rsid w:val="001516A9"/>
    <w:rsid w:val="001D4817"/>
    <w:rsid w:val="001F3540"/>
    <w:rsid w:val="00215B27"/>
    <w:rsid w:val="00246690"/>
    <w:rsid w:val="0025109A"/>
    <w:rsid w:val="002C7338"/>
    <w:rsid w:val="002D2F46"/>
    <w:rsid w:val="0031678C"/>
    <w:rsid w:val="00376326"/>
    <w:rsid w:val="003969A6"/>
    <w:rsid w:val="003B3539"/>
    <w:rsid w:val="003F367E"/>
    <w:rsid w:val="00453C24"/>
    <w:rsid w:val="00464417"/>
    <w:rsid w:val="00470A50"/>
    <w:rsid w:val="004D7F55"/>
    <w:rsid w:val="004E44BA"/>
    <w:rsid w:val="00500942"/>
    <w:rsid w:val="00533FFE"/>
    <w:rsid w:val="00571D40"/>
    <w:rsid w:val="00594CF3"/>
    <w:rsid w:val="00595E27"/>
    <w:rsid w:val="005B5B43"/>
    <w:rsid w:val="005C4AB3"/>
    <w:rsid w:val="005E5CD2"/>
    <w:rsid w:val="00614403"/>
    <w:rsid w:val="006166BF"/>
    <w:rsid w:val="00625689"/>
    <w:rsid w:val="00625A46"/>
    <w:rsid w:val="0063131E"/>
    <w:rsid w:val="00644AC4"/>
    <w:rsid w:val="00671D03"/>
    <w:rsid w:val="006F3300"/>
    <w:rsid w:val="00700246"/>
    <w:rsid w:val="00702039"/>
    <w:rsid w:val="0071038F"/>
    <w:rsid w:val="00764455"/>
    <w:rsid w:val="007A0941"/>
    <w:rsid w:val="007A7831"/>
    <w:rsid w:val="007F1469"/>
    <w:rsid w:val="007F3F81"/>
    <w:rsid w:val="00802DE0"/>
    <w:rsid w:val="008150C1"/>
    <w:rsid w:val="00846718"/>
    <w:rsid w:val="008673B8"/>
    <w:rsid w:val="008B0CE2"/>
    <w:rsid w:val="008B17A3"/>
    <w:rsid w:val="00900D3C"/>
    <w:rsid w:val="0093273D"/>
    <w:rsid w:val="00954A77"/>
    <w:rsid w:val="00981E24"/>
    <w:rsid w:val="009D0BD9"/>
    <w:rsid w:val="009E5401"/>
    <w:rsid w:val="00A06F23"/>
    <w:rsid w:val="00A14096"/>
    <w:rsid w:val="00A2282C"/>
    <w:rsid w:val="00A43734"/>
    <w:rsid w:val="00A6125A"/>
    <w:rsid w:val="00A674F0"/>
    <w:rsid w:val="00A726E3"/>
    <w:rsid w:val="00AF586E"/>
    <w:rsid w:val="00B05923"/>
    <w:rsid w:val="00B41B8E"/>
    <w:rsid w:val="00B45363"/>
    <w:rsid w:val="00B67A4E"/>
    <w:rsid w:val="00B845FF"/>
    <w:rsid w:val="00BE7EB5"/>
    <w:rsid w:val="00BF20B5"/>
    <w:rsid w:val="00C17CC1"/>
    <w:rsid w:val="00C22342"/>
    <w:rsid w:val="00C367EC"/>
    <w:rsid w:val="00C40744"/>
    <w:rsid w:val="00D8433A"/>
    <w:rsid w:val="00D93D28"/>
    <w:rsid w:val="00DA22DE"/>
    <w:rsid w:val="00DB1550"/>
    <w:rsid w:val="00E2232C"/>
    <w:rsid w:val="00EC19FD"/>
    <w:rsid w:val="00EC5D39"/>
    <w:rsid w:val="00EE1222"/>
    <w:rsid w:val="00EF6FE5"/>
    <w:rsid w:val="00F07E1B"/>
    <w:rsid w:val="00F31BE5"/>
    <w:rsid w:val="00F976D9"/>
    <w:rsid w:val="00FB36D9"/>
    <w:rsid w:val="00FD0F1D"/>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character" w:styleId="Hyperlink">
    <w:name w:val="Hyperlink"/>
    <w:basedOn w:val="DefaultParagraphFont"/>
    <w:uiPriority w:val="99"/>
    <w:unhideWhenUsed/>
    <w:rsid w:val="009D0BD9"/>
    <w:rPr>
      <w:color w:val="0563C1" w:themeColor="hyperlink"/>
      <w:u w:val="single"/>
    </w:rPr>
  </w:style>
  <w:style w:type="paragraph" w:styleId="PlainText">
    <w:name w:val="Plain Text"/>
    <w:basedOn w:val="Normal"/>
    <w:link w:val="PlainTextChar"/>
    <w:uiPriority w:val="99"/>
    <w:semiHidden/>
    <w:unhideWhenUsed/>
    <w:rsid w:val="009D0BD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D0BD9"/>
    <w:rPr>
      <w:rFonts w:ascii="Calibri" w:hAnsi="Calibri"/>
      <w:szCs w:val="21"/>
    </w:rPr>
  </w:style>
  <w:style w:type="character" w:customStyle="1" w:styleId="UnresolvedMention">
    <w:name w:val="Unresolved Mention"/>
    <w:basedOn w:val="DefaultParagraphFont"/>
    <w:uiPriority w:val="99"/>
    <w:semiHidden/>
    <w:unhideWhenUsed/>
    <w:rsid w:val="002C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0620">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549533414">
      <w:bodyDiv w:val="1"/>
      <w:marLeft w:val="0"/>
      <w:marRight w:val="0"/>
      <w:marTop w:val="0"/>
      <w:marBottom w:val="0"/>
      <w:divBdr>
        <w:top w:val="none" w:sz="0" w:space="0" w:color="auto"/>
        <w:left w:val="none" w:sz="0" w:space="0" w:color="auto"/>
        <w:bottom w:val="none" w:sz="0" w:space="0" w:color="auto"/>
        <w:right w:val="none" w:sz="0" w:space="0" w:color="auto"/>
      </w:divBdr>
      <w:divsChild>
        <w:div w:id="1339698684">
          <w:marLeft w:val="0"/>
          <w:marRight w:val="0"/>
          <w:marTop w:val="34"/>
          <w:marBottom w:val="34"/>
          <w:divBdr>
            <w:top w:val="none" w:sz="0" w:space="0" w:color="auto"/>
            <w:left w:val="none" w:sz="0" w:space="0" w:color="auto"/>
            <w:bottom w:val="none" w:sz="0" w:space="0" w:color="auto"/>
            <w:right w:val="none" w:sz="0" w:space="0" w:color="auto"/>
          </w:divBdr>
        </w:div>
        <w:div w:id="872183885">
          <w:marLeft w:val="0"/>
          <w:marRight w:val="0"/>
          <w:marTop w:val="0"/>
          <w:marBottom w:val="0"/>
          <w:divBdr>
            <w:top w:val="none" w:sz="0" w:space="0" w:color="auto"/>
            <w:left w:val="none" w:sz="0" w:space="0" w:color="auto"/>
            <w:bottom w:val="none" w:sz="0" w:space="0" w:color="auto"/>
            <w:right w:val="none" w:sz="0" w:space="0" w:color="auto"/>
          </w:divBdr>
        </w:div>
      </w:divsChild>
    </w:div>
    <w:div w:id="2072654798">
      <w:bodyDiv w:val="1"/>
      <w:marLeft w:val="0"/>
      <w:marRight w:val="0"/>
      <w:marTop w:val="0"/>
      <w:marBottom w:val="0"/>
      <w:divBdr>
        <w:top w:val="none" w:sz="0" w:space="0" w:color="auto"/>
        <w:left w:val="none" w:sz="0" w:space="0" w:color="auto"/>
        <w:bottom w:val="none" w:sz="0" w:space="0" w:color="auto"/>
        <w:right w:val="none" w:sz="0" w:space="0" w:color="auto"/>
      </w:divBdr>
      <w:divsChild>
        <w:div w:id="35787707">
          <w:marLeft w:val="0"/>
          <w:marRight w:val="0"/>
          <w:marTop w:val="27"/>
          <w:marBottom w:val="27"/>
          <w:divBdr>
            <w:top w:val="none" w:sz="0" w:space="0" w:color="auto"/>
            <w:left w:val="none" w:sz="0" w:space="0" w:color="auto"/>
            <w:bottom w:val="none" w:sz="0" w:space="0" w:color="auto"/>
            <w:right w:val="none" w:sz="0" w:space="0" w:color="auto"/>
          </w:divBdr>
        </w:div>
        <w:div w:id="176522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rxiv.org/content/early/2018/04/05/2945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27C69-07A7-4F71-8B30-43A8D278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3</cp:revision>
  <dcterms:created xsi:type="dcterms:W3CDTF">2018-10-19T14:34:00Z</dcterms:created>
  <dcterms:modified xsi:type="dcterms:W3CDTF">2018-10-19T14:36:00Z</dcterms:modified>
</cp:coreProperties>
</file>