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13C163B" w:rsidR="0093273D" w:rsidRPr="008673B8" w:rsidRDefault="00013DD4" w:rsidP="00CF0D06">
            <w:pPr>
              <w:rPr>
                <w:rFonts w:asciiTheme="majorHAnsi" w:hAnsiTheme="majorHAnsi" w:cstheme="majorHAnsi"/>
                <w:sz w:val="22"/>
                <w:szCs w:val="22"/>
              </w:rPr>
            </w:pPr>
            <w:r>
              <w:rPr>
                <w:rFonts w:asciiTheme="majorHAnsi" w:hAnsiTheme="majorHAnsi" w:cstheme="majorHAnsi"/>
                <w:sz w:val="22"/>
                <w:szCs w:val="22"/>
              </w:rPr>
              <w:t>NT326</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236FFC3" w:rsidR="0093273D" w:rsidRPr="008673B8" w:rsidRDefault="00FB6F6A" w:rsidP="00CF0D06">
            <w:pPr>
              <w:rPr>
                <w:rFonts w:asciiTheme="majorHAnsi" w:hAnsiTheme="majorHAnsi" w:cstheme="majorHAnsi"/>
                <w:sz w:val="22"/>
                <w:szCs w:val="22"/>
              </w:rPr>
            </w:pPr>
            <w:r>
              <w:rPr>
                <w:rFonts w:ascii="Calibri" w:hAnsi="Calibri"/>
                <w:sz w:val="20"/>
                <w:szCs w:val="20"/>
              </w:rPr>
              <w:t>January, 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2FEC975" w14:textId="77777777" w:rsidR="00FB6F6A" w:rsidRPr="00FB6F6A" w:rsidRDefault="00FB6F6A" w:rsidP="00FB6F6A">
            <w:pPr>
              <w:rPr>
                <w:rFonts w:ascii="Calibri" w:hAnsi="Calibri"/>
                <w:sz w:val="20"/>
                <w:szCs w:val="20"/>
              </w:rPr>
            </w:pPr>
            <w:r w:rsidRPr="00FB6F6A">
              <w:rPr>
                <w:rFonts w:ascii="Calibri" w:hAnsi="Calibri"/>
                <w:sz w:val="20"/>
                <w:szCs w:val="20"/>
              </w:rPr>
              <w:t>Psychiatric Manifestations of Variations in ACMG59 Genes</w:t>
            </w:r>
          </w:p>
          <w:p w14:paraId="391AC091" w14:textId="77777777" w:rsidR="0093273D" w:rsidRPr="008673B8" w:rsidRDefault="0093273D" w:rsidP="00CF0D06">
            <w:pPr>
              <w:rPr>
                <w:rFonts w:asciiTheme="majorHAnsi" w:hAnsiTheme="majorHAnsi" w:cstheme="majorHAnsi"/>
                <w:sz w:val="22"/>
                <w:szCs w:val="22"/>
              </w:rPr>
            </w:pP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C8A90F4" w:rsidR="0093273D" w:rsidRPr="008673B8" w:rsidRDefault="00FB6F6A" w:rsidP="00CF0D06">
            <w:pPr>
              <w:rPr>
                <w:rFonts w:asciiTheme="majorHAnsi" w:hAnsiTheme="majorHAnsi" w:cstheme="majorHAnsi"/>
                <w:sz w:val="22"/>
                <w:szCs w:val="22"/>
              </w:rPr>
            </w:pPr>
            <w:r>
              <w:rPr>
                <w:rFonts w:ascii="Calibri" w:hAnsi="Calibri"/>
                <w:sz w:val="20"/>
                <w:szCs w:val="20"/>
              </w:rPr>
              <w:t>Y-C Feng</w:t>
            </w:r>
          </w:p>
        </w:tc>
      </w:tr>
      <w:tr w:rsidR="00947C1B"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47C1B" w:rsidRDefault="00947C1B" w:rsidP="00947C1B">
            <w:pPr>
              <w:rPr>
                <w:rFonts w:ascii="Calibri Light" w:hAnsi="Calibri Light"/>
                <w:b/>
                <w:sz w:val="22"/>
              </w:rPr>
            </w:pPr>
            <w:r w:rsidRPr="0074111E">
              <w:rPr>
                <w:rFonts w:ascii="Calibri Light" w:hAnsi="Calibri Light"/>
                <w:b/>
                <w:sz w:val="22"/>
              </w:rPr>
              <w:t xml:space="preserve">Tentative Senior Author </w:t>
            </w:r>
          </w:p>
          <w:p w14:paraId="4F66210D" w14:textId="77777777" w:rsidR="00947C1B" w:rsidRPr="0074111E" w:rsidRDefault="00947C1B" w:rsidP="00947C1B">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D9D9449" w:rsidR="00947C1B" w:rsidRPr="008673B8" w:rsidRDefault="00FB6F6A" w:rsidP="00947C1B">
            <w:pPr>
              <w:rPr>
                <w:rFonts w:asciiTheme="majorHAnsi" w:hAnsiTheme="majorHAnsi" w:cstheme="majorHAnsi"/>
                <w:sz w:val="22"/>
                <w:szCs w:val="22"/>
              </w:rPr>
            </w:pPr>
            <w:r>
              <w:rPr>
                <w:rFonts w:ascii="Calibri" w:hAnsi="Calibri"/>
                <w:sz w:val="20"/>
                <w:szCs w:val="20"/>
              </w:rPr>
              <w:t xml:space="preserve">J.W. </w:t>
            </w:r>
            <w:proofErr w:type="spellStart"/>
            <w:r>
              <w:rPr>
                <w:rFonts w:ascii="Calibri" w:hAnsi="Calibri"/>
                <w:sz w:val="20"/>
                <w:szCs w:val="20"/>
              </w:rPr>
              <w:t>Smoller</w:t>
            </w:r>
            <w:proofErr w:type="spellEnd"/>
          </w:p>
        </w:tc>
      </w:tr>
      <w:tr w:rsidR="00947C1B"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47C1B" w:rsidRPr="0074111E" w:rsidRDefault="00947C1B" w:rsidP="00947C1B">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34B56F1E" w:rsidR="00947C1B" w:rsidRPr="008673B8" w:rsidRDefault="00FB6F6A" w:rsidP="00947C1B">
            <w:pPr>
              <w:rPr>
                <w:rFonts w:asciiTheme="majorHAnsi" w:hAnsiTheme="majorHAnsi" w:cstheme="majorHAnsi"/>
                <w:sz w:val="22"/>
                <w:szCs w:val="22"/>
              </w:rPr>
            </w:pPr>
            <w:r w:rsidRPr="008F1E48">
              <w:rPr>
                <w:rFonts w:ascii="Calibri" w:hAnsi="Calibri"/>
                <w:sz w:val="20"/>
                <w:szCs w:val="20"/>
              </w:rPr>
              <w:t>E. Karlson</w:t>
            </w:r>
            <w:r>
              <w:rPr>
                <w:rFonts w:ascii="Calibri" w:hAnsi="Calibri"/>
                <w:sz w:val="20"/>
                <w:szCs w:val="20"/>
              </w:rPr>
              <w:t>, S Weiss, S. Murphy</w:t>
            </w:r>
          </w:p>
        </w:tc>
      </w:tr>
      <w:tr w:rsidR="00947C1B"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47C1B" w:rsidRPr="0074111E" w:rsidRDefault="00947C1B" w:rsidP="00947C1B">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0070C4AD" w:rsidR="00947C1B" w:rsidRPr="008673B8" w:rsidRDefault="00947C1B" w:rsidP="00947C1B">
            <w:pPr>
              <w:rPr>
                <w:rFonts w:asciiTheme="majorHAnsi" w:hAnsiTheme="majorHAnsi" w:cstheme="majorHAnsi"/>
                <w:sz w:val="22"/>
                <w:szCs w:val="22"/>
              </w:rPr>
            </w:pPr>
            <w:r w:rsidRPr="008F1E48">
              <w:rPr>
                <w:rFonts w:ascii="Calibri" w:hAnsi="Calibri"/>
                <w:sz w:val="20"/>
                <w:szCs w:val="20"/>
              </w:rPr>
              <w:t>We invite each site to join</w:t>
            </w:r>
          </w:p>
          <w:p w14:paraId="07C5FDB2" w14:textId="77777777" w:rsidR="00947C1B" w:rsidRPr="008673B8" w:rsidRDefault="00947C1B" w:rsidP="00947C1B">
            <w:pPr>
              <w:rPr>
                <w:rFonts w:asciiTheme="majorHAnsi" w:hAnsiTheme="majorHAnsi" w:cstheme="majorHAnsi"/>
                <w:sz w:val="22"/>
                <w:szCs w:val="22"/>
              </w:rPr>
            </w:pPr>
          </w:p>
        </w:tc>
      </w:tr>
      <w:tr w:rsidR="00947C1B"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47C1B" w:rsidRPr="0074111E" w:rsidRDefault="00947C1B" w:rsidP="00947C1B">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2BD947D" w14:textId="75EF6F6F" w:rsidR="00FB6F6A" w:rsidRDefault="00FB6F6A" w:rsidP="00FB6F6A">
            <w:pPr>
              <w:rPr>
                <w:rFonts w:asciiTheme="minorHAnsi" w:hAnsiTheme="minorHAnsi"/>
                <w:sz w:val="20"/>
                <w:szCs w:val="20"/>
              </w:rPr>
            </w:pPr>
            <w:r>
              <w:rPr>
                <w:rFonts w:asciiTheme="minorHAnsi" w:hAnsiTheme="minorHAnsi"/>
                <w:sz w:val="20"/>
                <w:szCs w:val="20"/>
              </w:rPr>
              <w:t>Implementation of return of genetic information for medically actionable genes (ACMG59) is becoming increasingly widespread.  These genes are known to be pleiotropic (</w:t>
            </w:r>
            <w:proofErr w:type="spellStart"/>
            <w:r>
              <w:rPr>
                <w:rFonts w:asciiTheme="minorHAnsi" w:hAnsiTheme="minorHAnsi"/>
                <w:sz w:val="20"/>
                <w:szCs w:val="20"/>
              </w:rPr>
              <w:t>Kocarnik</w:t>
            </w:r>
            <w:proofErr w:type="spellEnd"/>
            <w:r>
              <w:rPr>
                <w:rFonts w:asciiTheme="minorHAnsi" w:hAnsiTheme="minorHAnsi"/>
                <w:sz w:val="20"/>
                <w:szCs w:val="20"/>
              </w:rPr>
              <w:t xml:space="preserve"> and Fullerton, 2014), and defining their phenotypic spectrum of expression has important implications for return of genetic information to both patients and research participants. To date, there has been no systematic attempt to examine whether psychiatric phenotypes are associated with sequence variation in this set of genes.  Consistent with aim 2 of </w:t>
            </w:r>
            <w:proofErr w:type="gramStart"/>
            <w:r>
              <w:rPr>
                <w:rFonts w:asciiTheme="minorHAnsi" w:hAnsiTheme="minorHAnsi"/>
                <w:sz w:val="20"/>
                <w:szCs w:val="20"/>
              </w:rPr>
              <w:t>our</w:t>
            </w:r>
            <w:proofErr w:type="gramEnd"/>
            <w:r>
              <w:rPr>
                <w:rFonts w:asciiTheme="minorHAnsi" w:hAnsiTheme="minorHAnsi"/>
                <w:sz w:val="20"/>
                <w:szCs w:val="20"/>
              </w:rPr>
              <w:t xml:space="preserve"> </w:t>
            </w:r>
            <w:proofErr w:type="spellStart"/>
            <w:r>
              <w:rPr>
                <w:rFonts w:asciiTheme="minorHAnsi" w:hAnsiTheme="minorHAnsi"/>
                <w:sz w:val="20"/>
                <w:szCs w:val="20"/>
              </w:rPr>
              <w:t>eMERGE</w:t>
            </w:r>
            <w:proofErr w:type="spellEnd"/>
            <w:r>
              <w:rPr>
                <w:rFonts w:asciiTheme="minorHAnsi" w:hAnsiTheme="minorHAnsi"/>
                <w:sz w:val="20"/>
                <w:szCs w:val="20"/>
              </w:rPr>
              <w:t xml:space="preserve"> grant application, we would like to conduct analyses to examine pleiotropic effects on psychiatric phenotypes. We will use gene burden analysis and</w:t>
            </w:r>
            <w:r w:rsidRPr="00F2422A">
              <w:rPr>
                <w:rFonts w:asciiTheme="minorHAnsi" w:hAnsiTheme="minorHAnsi"/>
                <w:sz w:val="20"/>
                <w:szCs w:val="20"/>
              </w:rPr>
              <w:t xml:space="preserve"> </w:t>
            </w:r>
            <w:proofErr w:type="spellStart"/>
            <w:r w:rsidRPr="00F2422A">
              <w:rPr>
                <w:rFonts w:asciiTheme="minorHAnsi" w:hAnsiTheme="minorHAnsi"/>
                <w:sz w:val="20"/>
                <w:szCs w:val="20"/>
              </w:rPr>
              <w:t>PheWAS</w:t>
            </w:r>
            <w:proofErr w:type="spellEnd"/>
            <w:r w:rsidRPr="00F2422A">
              <w:rPr>
                <w:rFonts w:asciiTheme="minorHAnsi" w:hAnsiTheme="minorHAnsi"/>
                <w:sz w:val="20"/>
                <w:szCs w:val="20"/>
              </w:rPr>
              <w:t xml:space="preserve"> </w:t>
            </w:r>
            <w:r>
              <w:rPr>
                <w:rFonts w:asciiTheme="minorHAnsi" w:hAnsiTheme="minorHAnsi"/>
                <w:sz w:val="20"/>
                <w:szCs w:val="20"/>
              </w:rPr>
              <w:t xml:space="preserve">(focused specifically on psychiatric phenotypes) </w:t>
            </w:r>
            <w:r w:rsidRPr="00F2422A">
              <w:rPr>
                <w:rFonts w:asciiTheme="minorHAnsi" w:hAnsiTheme="minorHAnsi"/>
                <w:sz w:val="20"/>
                <w:szCs w:val="20"/>
              </w:rPr>
              <w:t>in the</w:t>
            </w:r>
            <w:r>
              <w:rPr>
                <w:rFonts w:asciiTheme="minorHAnsi" w:hAnsiTheme="minorHAnsi"/>
                <w:sz w:val="20"/>
                <w:szCs w:val="20"/>
              </w:rPr>
              <w:t xml:space="preserve"> </w:t>
            </w:r>
            <w:proofErr w:type="spellStart"/>
            <w:r>
              <w:rPr>
                <w:rFonts w:asciiTheme="minorHAnsi" w:hAnsiTheme="minorHAnsi"/>
                <w:sz w:val="20"/>
                <w:szCs w:val="20"/>
              </w:rPr>
              <w:t>eMERGE</w:t>
            </w:r>
            <w:proofErr w:type="spellEnd"/>
            <w:r>
              <w:rPr>
                <w:rFonts w:asciiTheme="minorHAnsi" w:hAnsiTheme="minorHAnsi"/>
                <w:sz w:val="20"/>
                <w:szCs w:val="20"/>
              </w:rPr>
              <w:t>-Seq dataset (N=</w:t>
            </w:r>
            <w:r w:rsidR="00216BF0">
              <w:rPr>
                <w:rFonts w:asciiTheme="minorHAnsi" w:hAnsiTheme="minorHAnsi"/>
                <w:sz w:val="20"/>
                <w:szCs w:val="20"/>
              </w:rPr>
              <w:t>25</w:t>
            </w:r>
            <w:r>
              <w:rPr>
                <w:rFonts w:asciiTheme="minorHAnsi" w:hAnsiTheme="minorHAnsi"/>
                <w:sz w:val="20"/>
                <w:szCs w:val="20"/>
              </w:rPr>
              <w:t xml:space="preserve">,000) to examine the association and penetrance of rare variants in the ACMG genes with psychiatric disorders. We will also </w:t>
            </w:r>
            <w:r w:rsidRPr="00F2422A">
              <w:rPr>
                <w:rFonts w:asciiTheme="minorHAnsi" w:hAnsiTheme="minorHAnsi"/>
                <w:sz w:val="20"/>
                <w:szCs w:val="20"/>
              </w:rPr>
              <w:t>confirm penetrance by</w:t>
            </w:r>
            <w:r>
              <w:rPr>
                <w:rFonts w:asciiTheme="minorHAnsi" w:hAnsiTheme="minorHAnsi"/>
                <w:sz w:val="20"/>
                <w:szCs w:val="20"/>
              </w:rPr>
              <w:t xml:space="preserve"> chart review of patients enrolled in the Partners HealthCare Biobank from </w:t>
            </w:r>
            <w:r w:rsidRPr="00F2422A">
              <w:rPr>
                <w:rFonts w:asciiTheme="minorHAnsi" w:hAnsiTheme="minorHAnsi"/>
                <w:sz w:val="20"/>
                <w:szCs w:val="20"/>
              </w:rPr>
              <w:t xml:space="preserve">the Harvard site (N=2500). </w:t>
            </w:r>
          </w:p>
          <w:p w14:paraId="3CD7DE62" w14:textId="37A3D20A" w:rsidR="00947C1B" w:rsidRPr="00947C1B" w:rsidRDefault="00947C1B" w:rsidP="00947C1B">
            <w:pPr>
              <w:rPr>
                <w:rFonts w:asciiTheme="minorHAnsi" w:hAnsiTheme="minorHAnsi"/>
                <w:sz w:val="20"/>
                <w:szCs w:val="20"/>
              </w:rPr>
            </w:pPr>
          </w:p>
        </w:tc>
      </w:tr>
      <w:tr w:rsidR="00947C1B"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47C1B" w:rsidRPr="0074111E" w:rsidRDefault="00947C1B" w:rsidP="00947C1B">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FE431B0" w14:textId="09DF44ED" w:rsidR="00FB6F6A" w:rsidRPr="00B36D48" w:rsidRDefault="00FB6F6A" w:rsidP="00FB6F6A">
            <w:pPr>
              <w:rPr>
                <w:rFonts w:asciiTheme="minorHAnsi" w:hAnsiTheme="minorHAnsi" w:cs="Arial"/>
                <w:spacing w:val="-3"/>
                <w:sz w:val="20"/>
                <w:szCs w:val="20"/>
              </w:rPr>
            </w:pPr>
            <w:r>
              <w:rPr>
                <w:rFonts w:asciiTheme="minorHAnsi" w:hAnsiTheme="minorHAnsi" w:cs="Arial"/>
                <w:spacing w:val="-3"/>
                <w:sz w:val="20"/>
                <w:szCs w:val="20"/>
              </w:rPr>
              <w:t>W</w:t>
            </w:r>
            <w:r w:rsidRPr="00B36D48">
              <w:rPr>
                <w:rFonts w:asciiTheme="minorHAnsi" w:hAnsiTheme="minorHAnsi" w:cs="Arial"/>
                <w:spacing w:val="-3"/>
                <w:sz w:val="20"/>
                <w:szCs w:val="20"/>
              </w:rPr>
              <w:t xml:space="preserve">e will conduct a hypothesis driven </w:t>
            </w:r>
            <w:r>
              <w:rPr>
                <w:rFonts w:asciiTheme="minorHAnsi" w:hAnsiTheme="minorHAnsi" w:cs="Arial"/>
                <w:spacing w:val="-3"/>
                <w:sz w:val="20"/>
                <w:szCs w:val="20"/>
              </w:rPr>
              <w:t xml:space="preserve">set of tests to examine the extent to which rare variants in ACMG59 genes are associated with psychiatric phenotypes. The phenotypes of interest will include those psychiatric diagnoses defined through </w:t>
            </w:r>
            <w:proofErr w:type="spellStart"/>
            <w:r>
              <w:rPr>
                <w:rFonts w:asciiTheme="minorHAnsi" w:hAnsiTheme="minorHAnsi" w:cs="Arial"/>
                <w:spacing w:val="-3"/>
                <w:sz w:val="20"/>
                <w:szCs w:val="20"/>
              </w:rPr>
              <w:t>eMERGE</w:t>
            </w:r>
            <w:proofErr w:type="spellEnd"/>
            <w:r>
              <w:rPr>
                <w:rFonts w:asciiTheme="minorHAnsi" w:hAnsiTheme="minorHAnsi" w:cs="Arial"/>
                <w:spacing w:val="-3"/>
                <w:sz w:val="20"/>
                <w:szCs w:val="20"/>
              </w:rPr>
              <w:t xml:space="preserve"> algorithms (</w:t>
            </w:r>
            <w:proofErr w:type="spellStart"/>
            <w:r>
              <w:rPr>
                <w:rFonts w:asciiTheme="minorHAnsi" w:hAnsiTheme="minorHAnsi" w:cs="Arial"/>
                <w:spacing w:val="-3"/>
                <w:sz w:val="20"/>
                <w:szCs w:val="20"/>
              </w:rPr>
              <w:t>ie</w:t>
            </w:r>
            <w:proofErr w:type="spellEnd"/>
            <w:r>
              <w:rPr>
                <w:rFonts w:asciiTheme="minorHAnsi" w:hAnsiTheme="minorHAnsi" w:cs="Arial"/>
                <w:spacing w:val="-3"/>
                <w:sz w:val="20"/>
                <w:szCs w:val="20"/>
              </w:rPr>
              <w:t xml:space="preserve"> autism spectrum disorder, ADHD, bipolar disorder, depression, schizophrenia) as well as other psychiatric disorders defined by </w:t>
            </w:r>
            <w:proofErr w:type="spellStart"/>
            <w:r>
              <w:rPr>
                <w:rFonts w:asciiTheme="minorHAnsi" w:hAnsiTheme="minorHAnsi" w:cs="Arial"/>
                <w:spacing w:val="-3"/>
                <w:sz w:val="20"/>
                <w:szCs w:val="20"/>
              </w:rPr>
              <w:t>PheCodes</w:t>
            </w:r>
            <w:proofErr w:type="spellEnd"/>
            <w:r>
              <w:rPr>
                <w:rFonts w:asciiTheme="minorHAnsi" w:hAnsiTheme="minorHAnsi" w:cs="Arial"/>
                <w:spacing w:val="-3"/>
                <w:sz w:val="20"/>
                <w:szCs w:val="20"/>
              </w:rPr>
              <w:t>.</w:t>
            </w:r>
            <w:r w:rsidR="006C72E9">
              <w:rPr>
                <w:rFonts w:asciiTheme="minorHAnsi" w:hAnsiTheme="minorHAnsi" w:cs="Arial"/>
                <w:spacing w:val="-3"/>
                <w:sz w:val="20"/>
                <w:szCs w:val="20"/>
              </w:rPr>
              <w:t xml:space="preserve"> </w:t>
            </w:r>
            <w:r w:rsidR="00D45605">
              <w:rPr>
                <w:rFonts w:asciiTheme="minorHAnsi" w:hAnsiTheme="minorHAnsi" w:cs="Arial"/>
                <w:spacing w:val="-3"/>
                <w:sz w:val="20"/>
                <w:szCs w:val="20"/>
              </w:rPr>
              <w:t>W</w:t>
            </w:r>
            <w:r w:rsidR="006C72E9">
              <w:rPr>
                <w:rFonts w:asciiTheme="minorHAnsi" w:hAnsiTheme="minorHAnsi" w:cs="Arial"/>
                <w:spacing w:val="-3"/>
                <w:sz w:val="20"/>
                <w:szCs w:val="20"/>
              </w:rPr>
              <w:t xml:space="preserve">e will conduct gene-based burden tests </w:t>
            </w:r>
            <w:r w:rsidR="009A0983">
              <w:rPr>
                <w:rFonts w:asciiTheme="minorHAnsi" w:hAnsiTheme="minorHAnsi" w:cs="Arial"/>
                <w:spacing w:val="-3"/>
                <w:sz w:val="20"/>
                <w:szCs w:val="20"/>
              </w:rPr>
              <w:t>prioritizing</w:t>
            </w:r>
            <w:r w:rsidR="006C72E9">
              <w:rPr>
                <w:rFonts w:asciiTheme="minorHAnsi" w:hAnsiTheme="minorHAnsi" w:cs="Arial"/>
                <w:spacing w:val="-3"/>
                <w:sz w:val="20"/>
                <w:szCs w:val="20"/>
              </w:rPr>
              <w:t xml:space="preserve"> rare variants with a predicted deleterious effect (e.g., protein-truncating, missense variants</w:t>
            </w:r>
            <w:r w:rsidR="00FE6A84">
              <w:rPr>
                <w:rFonts w:asciiTheme="minorHAnsi" w:hAnsiTheme="minorHAnsi" w:cs="Arial"/>
                <w:spacing w:val="-3"/>
                <w:sz w:val="20"/>
                <w:szCs w:val="20"/>
              </w:rPr>
              <w:t xml:space="preserve"> with a CADD score &gt; 20</w:t>
            </w:r>
            <w:r w:rsidR="006C72E9">
              <w:rPr>
                <w:rFonts w:asciiTheme="minorHAnsi" w:hAnsiTheme="minorHAnsi" w:cs="Arial"/>
                <w:spacing w:val="-3"/>
                <w:sz w:val="20"/>
                <w:szCs w:val="20"/>
              </w:rPr>
              <w:t>)</w:t>
            </w:r>
            <w:r w:rsidR="00FE6A84">
              <w:rPr>
                <w:rFonts w:asciiTheme="minorHAnsi" w:hAnsiTheme="minorHAnsi" w:cs="Arial"/>
                <w:spacing w:val="-3"/>
                <w:sz w:val="20"/>
                <w:szCs w:val="20"/>
              </w:rPr>
              <w:t xml:space="preserve"> at different minor allele frequency bins (MAF &lt; 1%, 0.1%, or 0.01%)</w:t>
            </w:r>
            <w:r w:rsidR="00D45605">
              <w:rPr>
                <w:rFonts w:asciiTheme="minorHAnsi" w:hAnsiTheme="minorHAnsi" w:cs="Arial"/>
                <w:spacing w:val="-3"/>
                <w:sz w:val="20"/>
                <w:szCs w:val="20"/>
              </w:rPr>
              <w:t xml:space="preserve">. In addition, we </w:t>
            </w:r>
            <w:r w:rsidR="00FE6A84">
              <w:rPr>
                <w:rFonts w:asciiTheme="minorHAnsi" w:hAnsiTheme="minorHAnsi" w:cs="Arial"/>
                <w:spacing w:val="-3"/>
                <w:sz w:val="20"/>
                <w:szCs w:val="20"/>
              </w:rPr>
              <w:t xml:space="preserve">will </w:t>
            </w:r>
            <w:r w:rsidR="00D057DB">
              <w:rPr>
                <w:rFonts w:asciiTheme="minorHAnsi" w:hAnsiTheme="minorHAnsi" w:cs="Arial"/>
                <w:spacing w:val="-3"/>
                <w:sz w:val="20"/>
                <w:szCs w:val="20"/>
              </w:rPr>
              <w:t>examine</w:t>
            </w:r>
            <w:r w:rsidR="00D45605">
              <w:rPr>
                <w:rFonts w:asciiTheme="minorHAnsi" w:hAnsiTheme="minorHAnsi" w:cs="Arial"/>
                <w:spacing w:val="-3"/>
                <w:sz w:val="20"/>
                <w:szCs w:val="20"/>
              </w:rPr>
              <w:t xml:space="preserve"> a group of ultra-rare genetic varia</w:t>
            </w:r>
            <w:r w:rsidR="00D057DB">
              <w:rPr>
                <w:rFonts w:asciiTheme="minorHAnsi" w:hAnsiTheme="minorHAnsi" w:cs="Arial"/>
                <w:spacing w:val="-3"/>
                <w:sz w:val="20"/>
                <w:szCs w:val="20"/>
              </w:rPr>
              <w:t>nts</w:t>
            </w:r>
            <w:r w:rsidR="00D45605">
              <w:rPr>
                <w:rFonts w:asciiTheme="minorHAnsi" w:hAnsiTheme="minorHAnsi" w:cs="Arial"/>
                <w:spacing w:val="-3"/>
                <w:sz w:val="20"/>
                <w:szCs w:val="20"/>
              </w:rPr>
              <w:t xml:space="preserve"> that are absent from a </w:t>
            </w:r>
            <w:r w:rsidR="00FE6A84">
              <w:rPr>
                <w:rFonts w:asciiTheme="minorHAnsi" w:hAnsiTheme="minorHAnsi" w:cs="Arial"/>
                <w:spacing w:val="-3"/>
                <w:sz w:val="20"/>
                <w:szCs w:val="20"/>
              </w:rPr>
              <w:t xml:space="preserve">population allele frequency reference (e.g., Genome Aggregation Database) </w:t>
            </w:r>
            <w:r w:rsidR="00D45605">
              <w:rPr>
                <w:rFonts w:asciiTheme="minorHAnsi" w:hAnsiTheme="minorHAnsi" w:cs="Arial"/>
                <w:spacing w:val="-3"/>
                <w:sz w:val="20"/>
                <w:szCs w:val="20"/>
              </w:rPr>
              <w:t>and thus are more likely to be pathogenic</w:t>
            </w:r>
            <w:r w:rsidR="00FE6A84">
              <w:rPr>
                <w:rFonts w:asciiTheme="minorHAnsi" w:hAnsiTheme="minorHAnsi" w:cs="Arial"/>
                <w:spacing w:val="-3"/>
                <w:sz w:val="20"/>
                <w:szCs w:val="20"/>
              </w:rPr>
              <w:t>.</w:t>
            </w:r>
            <w:r w:rsidR="00D45605">
              <w:rPr>
                <w:rFonts w:asciiTheme="minorHAnsi" w:hAnsiTheme="minorHAnsi" w:cs="Arial"/>
                <w:spacing w:val="-3"/>
                <w:sz w:val="20"/>
                <w:szCs w:val="20"/>
              </w:rPr>
              <w:t xml:space="preserve"> </w:t>
            </w:r>
            <w:r w:rsidRPr="00B36D48">
              <w:rPr>
                <w:rFonts w:asciiTheme="minorHAnsi" w:hAnsiTheme="minorHAnsi" w:cs="Arial"/>
                <w:spacing w:val="-3"/>
                <w:sz w:val="20"/>
                <w:szCs w:val="20"/>
              </w:rPr>
              <w:t xml:space="preserve">We </w:t>
            </w:r>
            <w:r w:rsidR="00FE6A84">
              <w:rPr>
                <w:rFonts w:asciiTheme="minorHAnsi" w:hAnsiTheme="minorHAnsi" w:cs="Arial"/>
                <w:spacing w:val="-3"/>
                <w:sz w:val="20"/>
                <w:szCs w:val="20"/>
              </w:rPr>
              <w:t>will consider</w:t>
            </w:r>
            <w:r>
              <w:rPr>
                <w:rFonts w:asciiTheme="minorHAnsi" w:hAnsiTheme="minorHAnsi" w:cs="Arial"/>
                <w:spacing w:val="-3"/>
                <w:sz w:val="20"/>
                <w:szCs w:val="20"/>
              </w:rPr>
              <w:t xml:space="preserve"> a variety of rare variant </w:t>
            </w:r>
            <w:r w:rsidR="00EC0554">
              <w:rPr>
                <w:rFonts w:asciiTheme="minorHAnsi" w:hAnsiTheme="minorHAnsi" w:cs="Arial"/>
                <w:spacing w:val="-3"/>
                <w:sz w:val="20"/>
                <w:szCs w:val="20"/>
              </w:rPr>
              <w:t xml:space="preserve">association testing </w:t>
            </w:r>
            <w:r>
              <w:rPr>
                <w:rFonts w:asciiTheme="minorHAnsi" w:hAnsiTheme="minorHAnsi" w:cs="Arial"/>
                <w:spacing w:val="-3"/>
                <w:sz w:val="20"/>
                <w:szCs w:val="20"/>
              </w:rPr>
              <w:t>methods</w:t>
            </w:r>
            <w:r w:rsidRPr="00B36D48">
              <w:rPr>
                <w:rFonts w:asciiTheme="minorHAnsi" w:hAnsiTheme="minorHAnsi" w:cs="Arial"/>
                <w:spacing w:val="-3"/>
                <w:sz w:val="20"/>
                <w:szCs w:val="20"/>
              </w:rPr>
              <w:t xml:space="preserve"> including </w:t>
            </w:r>
            <w:r w:rsidR="009A0983">
              <w:rPr>
                <w:rFonts w:asciiTheme="minorHAnsi" w:hAnsiTheme="minorHAnsi" w:cs="Arial"/>
                <w:spacing w:val="-3"/>
                <w:sz w:val="20"/>
                <w:szCs w:val="20"/>
              </w:rPr>
              <w:t xml:space="preserve">CMC, </w:t>
            </w:r>
            <w:r w:rsidRPr="00B36D48">
              <w:rPr>
                <w:rFonts w:asciiTheme="minorHAnsi" w:hAnsiTheme="minorHAnsi" w:cs="Arial"/>
                <w:spacing w:val="-3"/>
                <w:sz w:val="20"/>
                <w:szCs w:val="20"/>
              </w:rPr>
              <w:t>SKAT</w:t>
            </w:r>
            <w:r w:rsidR="009A0983">
              <w:rPr>
                <w:rFonts w:asciiTheme="minorHAnsi" w:hAnsiTheme="minorHAnsi" w:cs="Arial"/>
                <w:spacing w:val="-3"/>
                <w:sz w:val="20"/>
                <w:szCs w:val="20"/>
              </w:rPr>
              <w:t>, and Fisher’s exact test</w:t>
            </w:r>
            <w:r>
              <w:rPr>
                <w:rFonts w:asciiTheme="minorHAnsi" w:hAnsiTheme="minorHAnsi" w:cs="Arial"/>
                <w:spacing w:val="-3"/>
                <w:sz w:val="20"/>
                <w:szCs w:val="20"/>
              </w:rPr>
              <w:t xml:space="preserve">. </w:t>
            </w:r>
            <w:r w:rsidR="00D45605">
              <w:rPr>
                <w:rFonts w:asciiTheme="minorHAnsi" w:hAnsiTheme="minorHAnsi" w:cs="Arial"/>
                <w:spacing w:val="-3"/>
                <w:sz w:val="20"/>
                <w:szCs w:val="20"/>
              </w:rPr>
              <w:t xml:space="preserve">In addition to gene-based tests, we will examine individual variant association by fitting a logistic regression </w:t>
            </w:r>
            <w:r w:rsidR="00D057DB">
              <w:rPr>
                <w:rFonts w:asciiTheme="minorHAnsi" w:hAnsiTheme="minorHAnsi" w:cs="Arial"/>
                <w:spacing w:val="-3"/>
                <w:sz w:val="20"/>
                <w:szCs w:val="20"/>
              </w:rPr>
              <w:t xml:space="preserve">that uses </w:t>
            </w:r>
            <w:r w:rsidRPr="00B36D48">
              <w:rPr>
                <w:rFonts w:asciiTheme="minorHAnsi" w:hAnsiTheme="minorHAnsi" w:cs="Arial"/>
                <w:spacing w:val="-3"/>
                <w:sz w:val="20"/>
                <w:szCs w:val="20"/>
              </w:rPr>
              <w:t xml:space="preserve">each variant and presence or absence of the EMR-algorithm phenotype or </w:t>
            </w:r>
            <w:proofErr w:type="spellStart"/>
            <w:r w:rsidRPr="00B36D48">
              <w:rPr>
                <w:rFonts w:asciiTheme="minorHAnsi" w:hAnsiTheme="minorHAnsi" w:cs="Arial"/>
                <w:spacing w:val="-3"/>
                <w:sz w:val="20"/>
                <w:szCs w:val="20"/>
              </w:rPr>
              <w:t>PheWAS</w:t>
            </w:r>
            <w:proofErr w:type="spellEnd"/>
            <w:r w:rsidRPr="00B36D48">
              <w:rPr>
                <w:rFonts w:asciiTheme="minorHAnsi" w:hAnsiTheme="minorHAnsi" w:cs="Arial"/>
                <w:spacing w:val="-3"/>
                <w:sz w:val="20"/>
                <w:szCs w:val="20"/>
              </w:rPr>
              <w:t xml:space="preserve"> code as the outcome adjusting for age, sex and </w:t>
            </w:r>
            <w:r w:rsidR="00D057DB">
              <w:rPr>
                <w:rFonts w:asciiTheme="minorHAnsi" w:hAnsiTheme="minorHAnsi" w:cs="Arial"/>
                <w:spacing w:val="-3"/>
                <w:sz w:val="20"/>
                <w:szCs w:val="20"/>
              </w:rPr>
              <w:t>the first</w:t>
            </w:r>
            <w:r w:rsidR="00EC0554">
              <w:rPr>
                <w:rFonts w:asciiTheme="minorHAnsi" w:hAnsiTheme="minorHAnsi" w:cs="Arial"/>
                <w:spacing w:val="-3"/>
                <w:sz w:val="20"/>
                <w:szCs w:val="20"/>
              </w:rPr>
              <w:t xml:space="preserve"> 10 principal components</w:t>
            </w:r>
            <w:r w:rsidRPr="00B36D48">
              <w:rPr>
                <w:rFonts w:asciiTheme="minorHAnsi" w:hAnsiTheme="minorHAnsi" w:cs="Arial"/>
                <w:spacing w:val="-3"/>
                <w:sz w:val="20"/>
                <w:szCs w:val="20"/>
              </w:rPr>
              <w:t>. We</w:t>
            </w:r>
            <w:r w:rsidRPr="00B36D48">
              <w:rPr>
                <w:rFonts w:asciiTheme="minorHAnsi" w:hAnsiTheme="minorHAnsi" w:cs="Arial"/>
                <w:color w:val="000000"/>
                <w:spacing w:val="-3"/>
                <w:sz w:val="20"/>
                <w:szCs w:val="20"/>
              </w:rPr>
              <w:t xml:space="preserve"> will set the p-value cut-off for a significant association using the </w:t>
            </w:r>
            <w:r w:rsidRPr="00B36D48">
              <w:rPr>
                <w:rFonts w:asciiTheme="minorHAnsi" w:hAnsiTheme="minorHAnsi" w:cs="Arial"/>
                <w:spacing w:val="-3"/>
                <w:sz w:val="20"/>
                <w:szCs w:val="20"/>
              </w:rPr>
              <w:t xml:space="preserve">Bonferroni correction. For </w:t>
            </w:r>
            <w:proofErr w:type="spellStart"/>
            <w:r w:rsidRPr="00B36D48">
              <w:rPr>
                <w:rFonts w:asciiTheme="minorHAnsi" w:hAnsiTheme="minorHAnsi" w:cs="Arial"/>
                <w:spacing w:val="-3"/>
                <w:sz w:val="20"/>
                <w:szCs w:val="20"/>
              </w:rPr>
              <w:t>PheWAS</w:t>
            </w:r>
            <w:proofErr w:type="spellEnd"/>
            <w:r w:rsidRPr="00B36D48">
              <w:rPr>
                <w:rFonts w:asciiTheme="minorHAnsi" w:hAnsiTheme="minorHAnsi" w:cs="Arial"/>
                <w:spacing w:val="-3"/>
                <w:sz w:val="20"/>
                <w:szCs w:val="20"/>
              </w:rPr>
              <w:t xml:space="preserve"> codes significantly associated with a variant, we will review a random set of </w:t>
            </w:r>
            <w:r w:rsidR="00AD5451">
              <w:rPr>
                <w:rFonts w:asciiTheme="minorHAnsi" w:hAnsiTheme="minorHAnsi" w:cs="Arial"/>
                <w:spacing w:val="-3"/>
                <w:sz w:val="20"/>
                <w:szCs w:val="20"/>
              </w:rPr>
              <w:t>50</w:t>
            </w:r>
            <w:r w:rsidR="00AD5451" w:rsidRPr="00B36D48">
              <w:rPr>
                <w:rFonts w:asciiTheme="minorHAnsi" w:hAnsiTheme="minorHAnsi" w:cs="Arial"/>
                <w:spacing w:val="-3"/>
                <w:sz w:val="20"/>
                <w:szCs w:val="20"/>
              </w:rPr>
              <w:t xml:space="preserve"> </w:t>
            </w:r>
            <w:r w:rsidRPr="00B36D48">
              <w:rPr>
                <w:rFonts w:asciiTheme="minorHAnsi" w:hAnsiTheme="minorHAnsi" w:cs="Arial"/>
                <w:spacing w:val="-3"/>
                <w:sz w:val="20"/>
                <w:szCs w:val="20"/>
              </w:rPr>
              <w:t>charts at Partners HealthCare to determine the accuracy (PPV) of the code. This will allow us to assess penetrance.</w:t>
            </w:r>
          </w:p>
          <w:p w14:paraId="40461DB7" w14:textId="33EB10DC" w:rsidR="00947C1B" w:rsidRPr="00FB6F6A" w:rsidRDefault="00FB6F6A" w:rsidP="00FB6F6A">
            <w:pPr>
              <w:jc w:val="both"/>
              <w:rPr>
                <w:rFonts w:asciiTheme="minorHAnsi" w:hAnsiTheme="minorHAnsi" w:cs="Arial"/>
                <w:b/>
                <w:spacing w:val="-3"/>
                <w:sz w:val="20"/>
                <w:szCs w:val="20"/>
              </w:rPr>
            </w:pPr>
            <w:r>
              <w:rPr>
                <w:rFonts w:asciiTheme="minorHAnsi" w:hAnsiTheme="minorHAnsi" w:cs="Arial"/>
                <w:spacing w:val="-3"/>
                <w:sz w:val="20"/>
                <w:szCs w:val="20"/>
              </w:rPr>
              <w:t>W</w:t>
            </w:r>
            <w:r w:rsidRPr="00B36D48">
              <w:rPr>
                <w:rFonts w:asciiTheme="minorHAnsi" w:hAnsiTheme="minorHAnsi" w:cs="Arial"/>
                <w:spacing w:val="-3"/>
                <w:sz w:val="20"/>
                <w:szCs w:val="20"/>
              </w:rPr>
              <w:t xml:space="preserve">e will define penetrance as the proportion of subjects with the variant shown to be associated with a disease, for whom they have evidence in the EMR for that disease according to 1) EMR-algorithm phenotype or, 2) </w:t>
            </w:r>
            <w:proofErr w:type="spellStart"/>
            <w:r w:rsidRPr="00B36D48">
              <w:rPr>
                <w:rFonts w:asciiTheme="minorHAnsi" w:hAnsiTheme="minorHAnsi" w:cs="Arial"/>
                <w:spacing w:val="-3"/>
                <w:sz w:val="20"/>
                <w:szCs w:val="20"/>
              </w:rPr>
              <w:t>PheWAS</w:t>
            </w:r>
            <w:proofErr w:type="spellEnd"/>
            <w:r w:rsidRPr="00B36D48">
              <w:rPr>
                <w:rFonts w:asciiTheme="minorHAnsi" w:hAnsiTheme="minorHAnsi" w:cs="Arial"/>
                <w:spacing w:val="-3"/>
                <w:sz w:val="20"/>
                <w:szCs w:val="20"/>
              </w:rPr>
              <w:t xml:space="preserve"> code verified by chart review.  </w:t>
            </w:r>
          </w:p>
        </w:tc>
      </w:tr>
      <w:tr w:rsidR="00947C1B"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947C1B" w:rsidRPr="0074111E" w:rsidRDefault="00947C1B" w:rsidP="00947C1B">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947C1B" w:rsidRPr="000B7654" w:rsidRDefault="00947C1B" w:rsidP="00947C1B">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913F13" w:rsidR="00947C1B" w:rsidRPr="00AE4C4D" w:rsidRDefault="00013DD4" w:rsidP="00947C1B">
            <w:pPr>
              <w:rPr>
                <w:rFonts w:asciiTheme="majorHAnsi" w:hAnsiTheme="majorHAnsi" w:cstheme="majorHAnsi"/>
                <w:sz w:val="22"/>
                <w:szCs w:val="22"/>
                <w:lang w:val="fr-CH"/>
              </w:rPr>
            </w:pPr>
            <w:sdt>
              <w:sdtPr>
                <w:rPr>
                  <w:rFonts w:ascii="MS Gothic" w:eastAsia="MS Gothic" w:hAnsi="MS Gothic" w:cstheme="majorHAnsi"/>
                  <w:sz w:val="22"/>
                  <w:szCs w:val="22"/>
                  <w:lang w:val="fr-CH"/>
                </w:rPr>
                <w:id w:val="1110708460"/>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proofErr w:type="spellStart"/>
            <w:r w:rsidR="00947C1B" w:rsidRPr="00AE4C4D">
              <w:rPr>
                <w:rFonts w:asciiTheme="majorHAnsi" w:hAnsiTheme="majorHAnsi" w:cstheme="majorHAnsi"/>
                <w:sz w:val="22"/>
                <w:szCs w:val="22"/>
                <w:lang w:val="fr-CH"/>
              </w:rPr>
              <w:t>Demographics</w:t>
            </w:r>
            <w:proofErr w:type="spellEnd"/>
            <w:r w:rsidR="00947C1B" w:rsidRPr="00AE4C4D">
              <w:rPr>
                <w:rFonts w:asciiTheme="majorHAnsi" w:hAnsiTheme="majorHAnsi" w:cstheme="majorHAnsi"/>
                <w:sz w:val="22"/>
                <w:szCs w:val="22"/>
                <w:lang w:val="fr-CH"/>
              </w:rPr>
              <w:t xml:space="preserve">                               </w:t>
            </w:r>
          </w:p>
          <w:p w14:paraId="1611A790" w14:textId="3D9EC317" w:rsidR="00947C1B" w:rsidRPr="00AE4C4D" w:rsidRDefault="00013DD4" w:rsidP="00947C1B">
            <w:pPr>
              <w:rPr>
                <w:rFonts w:asciiTheme="majorHAnsi" w:hAnsiTheme="majorHAnsi" w:cstheme="majorHAnsi"/>
                <w:sz w:val="22"/>
                <w:szCs w:val="22"/>
                <w:lang w:val="fr-CH"/>
              </w:rPr>
            </w:pPr>
            <w:sdt>
              <w:sdtPr>
                <w:rPr>
                  <w:rFonts w:asciiTheme="majorHAnsi" w:hAnsiTheme="majorHAnsi" w:cstheme="majorHAnsi"/>
                  <w:sz w:val="22"/>
                  <w:szCs w:val="22"/>
                  <w:lang w:val="fr-CH"/>
                </w:rPr>
                <w:id w:val="1450890140"/>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r w:rsidR="00947C1B" w:rsidRPr="00AE4C4D">
              <w:rPr>
                <w:rFonts w:asciiTheme="majorHAnsi" w:hAnsiTheme="majorHAnsi" w:cstheme="majorHAnsi"/>
                <w:sz w:val="22"/>
                <w:szCs w:val="22"/>
                <w:lang w:val="fr-CH"/>
              </w:rPr>
              <w:t>ICD9/10 codes</w:t>
            </w:r>
          </w:p>
          <w:p w14:paraId="3E560944" w14:textId="6DB1AAB3" w:rsidR="00947C1B" w:rsidRPr="00AE4C4D" w:rsidRDefault="00013DD4" w:rsidP="00947C1B">
            <w:pPr>
              <w:rPr>
                <w:rFonts w:asciiTheme="majorHAnsi" w:hAnsiTheme="majorHAnsi" w:cstheme="majorHAnsi"/>
                <w:sz w:val="22"/>
                <w:szCs w:val="22"/>
                <w:lang w:val="fr-CH"/>
              </w:rPr>
            </w:pPr>
            <w:sdt>
              <w:sdtPr>
                <w:rPr>
                  <w:rFonts w:asciiTheme="majorHAnsi" w:hAnsiTheme="majorHAnsi" w:cstheme="majorHAnsi"/>
                  <w:sz w:val="22"/>
                  <w:szCs w:val="22"/>
                  <w:lang w:val="fr-CH"/>
                </w:rPr>
                <w:id w:val="-580603195"/>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r w:rsidR="00947C1B" w:rsidRPr="00AE4C4D">
              <w:rPr>
                <w:rFonts w:asciiTheme="majorHAnsi" w:hAnsiTheme="majorHAnsi" w:cstheme="majorHAnsi"/>
                <w:sz w:val="22"/>
                <w:szCs w:val="22"/>
                <w:lang w:val="fr-CH"/>
              </w:rPr>
              <w:t>CPT codes</w:t>
            </w:r>
          </w:p>
          <w:p w14:paraId="05AE5A43" w14:textId="303F9B13" w:rsidR="00947C1B" w:rsidRPr="00AE4C4D" w:rsidRDefault="00013DD4" w:rsidP="00947C1B">
            <w:pPr>
              <w:rPr>
                <w:rFonts w:asciiTheme="majorHAnsi" w:hAnsiTheme="majorHAnsi" w:cstheme="majorHAnsi"/>
                <w:sz w:val="22"/>
                <w:szCs w:val="22"/>
                <w:lang w:val="fr-CH"/>
              </w:rPr>
            </w:pPr>
            <w:sdt>
              <w:sdtPr>
                <w:rPr>
                  <w:rFonts w:asciiTheme="majorHAnsi" w:hAnsiTheme="majorHAnsi" w:cstheme="majorHAnsi"/>
                  <w:sz w:val="22"/>
                  <w:szCs w:val="22"/>
                  <w:lang w:val="fr-CH"/>
                </w:rPr>
                <w:id w:val="-162162049"/>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proofErr w:type="spellStart"/>
            <w:r w:rsidR="00947C1B" w:rsidRPr="00AE4C4D">
              <w:rPr>
                <w:rFonts w:asciiTheme="majorHAnsi" w:hAnsiTheme="majorHAnsi" w:cstheme="majorHAnsi"/>
                <w:sz w:val="22"/>
                <w:szCs w:val="22"/>
                <w:lang w:val="fr-CH"/>
              </w:rPr>
              <w:t>Phecodes</w:t>
            </w:r>
            <w:proofErr w:type="spellEnd"/>
          </w:p>
          <w:p w14:paraId="3A9ACBE3" w14:textId="459266F9"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BMI</w:t>
            </w:r>
          </w:p>
        </w:tc>
        <w:tc>
          <w:tcPr>
            <w:tcW w:w="4132" w:type="dxa"/>
          </w:tcPr>
          <w:p w14:paraId="2574C661" w14:textId="71E88915"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Common Variable Labs</w:t>
            </w:r>
          </w:p>
          <w:p w14:paraId="0BEB2E50" w14:textId="2F60E48B"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Common Variable Meds</w:t>
            </w:r>
          </w:p>
          <w:p w14:paraId="585C79F2" w14:textId="0642E6DE"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FB6F6A">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 xml:space="preserve">Other: Case/Control status on Phase I and </w:t>
            </w:r>
            <w:r w:rsidR="0064498A">
              <w:rPr>
                <w:rFonts w:asciiTheme="majorHAnsi" w:hAnsiTheme="majorHAnsi" w:cstheme="majorHAnsi"/>
                <w:sz w:val="22"/>
                <w:szCs w:val="22"/>
              </w:rPr>
              <w:t xml:space="preserve">  </w:t>
            </w:r>
            <w:r w:rsidR="00947C1B" w:rsidRPr="00700246">
              <w:rPr>
                <w:rFonts w:asciiTheme="majorHAnsi" w:hAnsiTheme="majorHAnsi" w:cstheme="majorHAnsi"/>
                <w:sz w:val="22"/>
                <w:szCs w:val="22"/>
              </w:rPr>
              <w:t>Phase II phenotypes</w:t>
            </w:r>
          </w:p>
          <w:p w14:paraId="6EBF0C4F" w14:textId="49342840" w:rsidR="00947C1B" w:rsidRPr="00376326" w:rsidRDefault="00947C1B" w:rsidP="00947C1B">
            <w:pPr>
              <w:pStyle w:val="ListParagraph"/>
              <w:rPr>
                <w:rFonts w:asciiTheme="majorHAnsi" w:hAnsiTheme="majorHAnsi" w:cstheme="majorHAnsi"/>
                <w:sz w:val="22"/>
                <w:szCs w:val="22"/>
              </w:rPr>
            </w:pPr>
          </w:p>
        </w:tc>
      </w:tr>
      <w:tr w:rsidR="00947C1B"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947C1B" w:rsidRPr="0074111E" w:rsidRDefault="00947C1B" w:rsidP="00947C1B">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947C1B" w:rsidRPr="000B7654" w:rsidRDefault="00947C1B" w:rsidP="00947C1B">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47C1B"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47C1B" w:rsidRPr="0074111E" w:rsidRDefault="00947C1B" w:rsidP="00947C1B">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534FB031"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C52B0E">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I-III Merged set (HRC imputed, GWAS)</w:t>
            </w:r>
          </w:p>
          <w:p w14:paraId="0175EB89" w14:textId="3D922147"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 xml:space="preserve">eMERGE PGx/PGRNseq data set </w:t>
            </w:r>
          </w:p>
          <w:p w14:paraId="23D993BB" w14:textId="7FD03278"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eMERGEseq data set (Phase III)</w:t>
            </w:r>
          </w:p>
          <w:p w14:paraId="6D051FCF" w14:textId="5B52B32F"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Whole Genome sequencing data set</w:t>
            </w:r>
          </w:p>
          <w:p w14:paraId="78A23A59" w14:textId="2BEA73FA"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Exome chip data set</w:t>
            </w:r>
          </w:p>
          <w:p w14:paraId="4C7B91CA" w14:textId="066F231B"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Whole Exome sequencing data set</w:t>
            </w:r>
          </w:p>
          <w:p w14:paraId="02A57161" w14:textId="0DE38036"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Other (not listed above):</w:t>
            </w:r>
          </w:p>
        </w:tc>
      </w:tr>
      <w:tr w:rsidR="00947C1B"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947C1B" w:rsidRPr="0074111E" w:rsidRDefault="00947C1B" w:rsidP="00947C1B">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BCDA98E" w14:textId="77777777" w:rsidR="00947C1B" w:rsidRDefault="00013DD4" w:rsidP="00947C1B">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Yes, if so please list</w:t>
            </w:r>
          </w:p>
          <w:p w14:paraId="784306AA" w14:textId="69D2DE55" w:rsidR="00947C1B" w:rsidRDefault="00947C1B" w:rsidP="00947C1B">
            <w:pPr>
              <w:rPr>
                <w:rFonts w:asciiTheme="minorHAnsi" w:hAnsiTheme="minorHAnsi"/>
                <w:sz w:val="20"/>
                <w:szCs w:val="20"/>
              </w:rPr>
            </w:pPr>
            <w:r w:rsidRPr="00F2422A">
              <w:rPr>
                <w:rFonts w:asciiTheme="minorHAnsi" w:hAnsiTheme="minorHAnsi"/>
                <w:sz w:val="20"/>
                <w:szCs w:val="20"/>
              </w:rPr>
              <w:t>ADHD,</w:t>
            </w:r>
            <w:r w:rsidR="00FB6F6A">
              <w:rPr>
                <w:rFonts w:asciiTheme="minorHAnsi" w:hAnsiTheme="minorHAnsi"/>
                <w:sz w:val="20"/>
                <w:szCs w:val="20"/>
              </w:rPr>
              <w:t xml:space="preserve"> Autism,</w:t>
            </w:r>
            <w:r w:rsidRPr="00F2422A">
              <w:rPr>
                <w:rFonts w:asciiTheme="minorHAnsi" w:hAnsiTheme="minorHAnsi"/>
                <w:sz w:val="20"/>
                <w:szCs w:val="20"/>
              </w:rPr>
              <w:t xml:space="preserve"> Bipolar disease, depression, and schizophrenia</w:t>
            </w:r>
          </w:p>
          <w:p w14:paraId="2C71B567" w14:textId="00FA8EA3" w:rsidR="00947C1B" w:rsidRPr="00700246" w:rsidRDefault="00013DD4" w:rsidP="00947C1B">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No</w:t>
            </w:r>
          </w:p>
        </w:tc>
      </w:tr>
      <w:tr w:rsidR="00947C1B"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47C1B" w:rsidRPr="0074111E" w:rsidRDefault="00947C1B" w:rsidP="00947C1B">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4CAD0F1" w14:textId="77777777" w:rsidR="00947C1B" w:rsidRDefault="00947C1B" w:rsidP="00947C1B">
            <w:pPr>
              <w:rPr>
                <w:rFonts w:ascii="Calibri" w:hAnsi="Calibri"/>
                <w:sz w:val="20"/>
                <w:szCs w:val="20"/>
              </w:rPr>
            </w:pPr>
            <w:r>
              <w:rPr>
                <w:rFonts w:ascii="Calibri" w:hAnsi="Calibri"/>
                <w:sz w:val="20"/>
                <w:szCs w:val="20"/>
              </w:rPr>
              <w:t>Logistic regression</w:t>
            </w:r>
          </w:p>
          <w:p w14:paraId="63BE8F08" w14:textId="77777777" w:rsidR="00947C1B" w:rsidRDefault="00947C1B" w:rsidP="00947C1B">
            <w:pPr>
              <w:rPr>
                <w:rFonts w:ascii="Calibri" w:hAnsi="Calibri"/>
                <w:sz w:val="20"/>
                <w:szCs w:val="20"/>
              </w:rPr>
            </w:pPr>
            <w:r>
              <w:rPr>
                <w:rFonts w:ascii="Calibri" w:hAnsi="Calibri"/>
                <w:sz w:val="20"/>
                <w:szCs w:val="20"/>
              </w:rPr>
              <w:t>Generalized linear mixed models</w:t>
            </w:r>
          </w:p>
          <w:p w14:paraId="20820BD0" w14:textId="77777777" w:rsidR="00947C1B" w:rsidRDefault="00947C1B" w:rsidP="00947C1B">
            <w:pPr>
              <w:rPr>
                <w:rFonts w:ascii="Calibri" w:hAnsi="Calibri"/>
                <w:sz w:val="20"/>
                <w:szCs w:val="20"/>
              </w:rPr>
            </w:pPr>
            <w:proofErr w:type="spellStart"/>
            <w:r>
              <w:rPr>
                <w:rFonts w:ascii="Calibri" w:hAnsi="Calibri"/>
                <w:sz w:val="20"/>
                <w:szCs w:val="20"/>
              </w:rPr>
              <w:t>PheWAS</w:t>
            </w:r>
            <w:proofErr w:type="spellEnd"/>
          </w:p>
          <w:p w14:paraId="380BDF3D" w14:textId="77777777" w:rsidR="00947C1B" w:rsidRDefault="00947C1B" w:rsidP="00947C1B">
            <w:pPr>
              <w:rPr>
                <w:rFonts w:ascii="Calibri" w:hAnsi="Calibri"/>
                <w:sz w:val="20"/>
                <w:szCs w:val="20"/>
              </w:rPr>
            </w:pPr>
            <w:r>
              <w:rPr>
                <w:rFonts w:ascii="Calibri" w:hAnsi="Calibri"/>
                <w:sz w:val="20"/>
                <w:szCs w:val="20"/>
              </w:rPr>
              <w:t>CMC</w:t>
            </w:r>
          </w:p>
          <w:p w14:paraId="3A7FF53C" w14:textId="77777777" w:rsidR="00947C1B" w:rsidRDefault="00947C1B" w:rsidP="00947C1B">
            <w:pPr>
              <w:rPr>
                <w:rFonts w:ascii="Calibri" w:hAnsi="Calibri"/>
                <w:sz w:val="20"/>
                <w:szCs w:val="20"/>
              </w:rPr>
            </w:pPr>
            <w:r>
              <w:rPr>
                <w:rFonts w:ascii="Calibri" w:hAnsi="Calibri"/>
                <w:sz w:val="20"/>
                <w:szCs w:val="20"/>
              </w:rPr>
              <w:t>SKAT</w:t>
            </w:r>
          </w:p>
          <w:p w14:paraId="43950299" w14:textId="59EFE2FA" w:rsidR="00947C1B" w:rsidRPr="008673B8" w:rsidRDefault="00947C1B" w:rsidP="00947C1B">
            <w:pPr>
              <w:rPr>
                <w:rFonts w:asciiTheme="majorHAnsi" w:hAnsiTheme="majorHAnsi" w:cstheme="majorHAnsi"/>
                <w:sz w:val="22"/>
                <w:szCs w:val="22"/>
              </w:rPr>
            </w:pPr>
            <w:r>
              <w:rPr>
                <w:rFonts w:ascii="Calibri" w:hAnsi="Calibri"/>
                <w:sz w:val="20"/>
                <w:szCs w:val="20"/>
              </w:rPr>
              <w:t>RCH</w:t>
            </w:r>
          </w:p>
        </w:tc>
      </w:tr>
      <w:tr w:rsidR="00947C1B"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47C1B" w:rsidRPr="0074111E" w:rsidRDefault="00947C1B" w:rsidP="00947C1B">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7BC77740" w:rsidR="00947C1B" w:rsidRPr="008673B8" w:rsidRDefault="00947C1B" w:rsidP="00947C1B">
            <w:pPr>
              <w:rPr>
                <w:rFonts w:asciiTheme="majorHAnsi" w:hAnsiTheme="majorHAnsi" w:cstheme="majorHAnsi"/>
                <w:sz w:val="22"/>
                <w:szCs w:val="22"/>
              </w:rPr>
            </w:pPr>
            <w:r w:rsidRPr="00247875">
              <w:rPr>
                <w:rFonts w:ascii="Calibri" w:hAnsi="Calibri"/>
                <w:sz w:val="20"/>
                <w:szCs w:val="20"/>
              </w:rPr>
              <w:t xml:space="preserve">This study makes use of data that is already obtained </w:t>
            </w:r>
            <w:r>
              <w:rPr>
                <w:rFonts w:ascii="Calibri" w:hAnsi="Calibri"/>
                <w:sz w:val="20"/>
                <w:szCs w:val="20"/>
              </w:rPr>
              <w:t>from electronic health records</w:t>
            </w:r>
            <w:r w:rsidRPr="00247875">
              <w:rPr>
                <w:rFonts w:ascii="Calibri" w:hAnsi="Calibri"/>
                <w:sz w:val="20"/>
                <w:szCs w:val="20"/>
              </w:rPr>
              <w:t xml:space="preserve">. The </w:t>
            </w:r>
            <w:r>
              <w:rPr>
                <w:rFonts w:ascii="Calibri" w:hAnsi="Calibri"/>
                <w:sz w:val="20"/>
                <w:szCs w:val="20"/>
              </w:rPr>
              <w:t>chart reviews will be performed in the Partners HealthCare Biobank subjects, a process that is IRB approved at Partners HealthCare.</w:t>
            </w:r>
          </w:p>
        </w:tc>
      </w:tr>
      <w:tr w:rsidR="00947C1B"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47C1B" w:rsidRPr="0074111E" w:rsidRDefault="00947C1B" w:rsidP="00947C1B">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CD65CDC" w14:textId="77777777" w:rsidR="00947C1B" w:rsidRDefault="00FB6F6A" w:rsidP="00947C1B">
            <w:pPr>
              <w:rPr>
                <w:rFonts w:asciiTheme="majorHAnsi" w:hAnsiTheme="majorHAnsi" w:cstheme="majorHAnsi"/>
                <w:sz w:val="22"/>
                <w:szCs w:val="22"/>
              </w:rPr>
            </w:pPr>
            <w:r>
              <w:rPr>
                <w:rFonts w:asciiTheme="majorHAnsi" w:hAnsiTheme="majorHAnsi" w:cstheme="majorHAnsi"/>
                <w:sz w:val="22"/>
                <w:szCs w:val="22"/>
              </w:rPr>
              <w:t>American Journal of Psychiatry</w:t>
            </w:r>
          </w:p>
          <w:p w14:paraId="098C9F46" w14:textId="1D690174" w:rsidR="00FB6F6A" w:rsidRPr="008673B8" w:rsidRDefault="00FB6F6A" w:rsidP="00947C1B">
            <w:pPr>
              <w:rPr>
                <w:rFonts w:asciiTheme="majorHAnsi" w:hAnsiTheme="majorHAnsi" w:cstheme="majorHAnsi"/>
                <w:sz w:val="22"/>
                <w:szCs w:val="22"/>
              </w:rPr>
            </w:pPr>
            <w:r>
              <w:rPr>
                <w:rFonts w:asciiTheme="majorHAnsi" w:hAnsiTheme="majorHAnsi" w:cstheme="majorHAnsi"/>
                <w:sz w:val="22"/>
                <w:szCs w:val="22"/>
              </w:rPr>
              <w:t>American Journal of Human Genetics</w:t>
            </w:r>
          </w:p>
        </w:tc>
      </w:tr>
      <w:tr w:rsidR="00947C1B"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947C1B" w:rsidRDefault="00947C1B" w:rsidP="00947C1B">
            <w:pPr>
              <w:rPr>
                <w:rFonts w:ascii="Calibri Light" w:hAnsi="Calibri Light"/>
                <w:b/>
                <w:sz w:val="22"/>
              </w:rPr>
            </w:pPr>
          </w:p>
          <w:p w14:paraId="5203358F" w14:textId="77777777" w:rsidR="00947C1B" w:rsidRDefault="00947C1B" w:rsidP="00947C1B">
            <w:pPr>
              <w:rPr>
                <w:rFonts w:ascii="Calibri Light" w:hAnsi="Calibri Light"/>
                <w:b/>
                <w:sz w:val="22"/>
              </w:rPr>
            </w:pPr>
            <w:r>
              <w:rPr>
                <w:rFonts w:ascii="Calibri Light" w:hAnsi="Calibri Light"/>
                <w:b/>
                <w:sz w:val="22"/>
              </w:rPr>
              <w:t>Milestones</w:t>
            </w:r>
          </w:p>
          <w:p w14:paraId="602A9DB1" w14:textId="1D6EFB4B" w:rsidR="00947C1B" w:rsidRPr="0093273D" w:rsidRDefault="00947C1B" w:rsidP="00947C1B">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947C1B" w:rsidRPr="0074111E" w:rsidRDefault="00947C1B" w:rsidP="00947C1B">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47C1B" w:rsidRPr="008673B8" w:rsidRDefault="00947C1B" w:rsidP="00947C1B">
            <w:pPr>
              <w:rPr>
                <w:rFonts w:asciiTheme="majorHAnsi" w:hAnsiTheme="majorHAnsi" w:cstheme="majorHAnsi"/>
                <w:sz w:val="22"/>
                <w:szCs w:val="22"/>
              </w:rPr>
            </w:pPr>
          </w:p>
          <w:tbl>
            <w:tblPr>
              <w:tblW w:w="10397" w:type="dxa"/>
              <w:tblLayout w:type="fixed"/>
              <w:tblLook w:val="04A0" w:firstRow="1" w:lastRow="0" w:firstColumn="1" w:lastColumn="0" w:noHBand="0" w:noVBand="1"/>
            </w:tblPr>
            <w:tblGrid>
              <w:gridCol w:w="4277"/>
              <w:gridCol w:w="720"/>
              <w:gridCol w:w="720"/>
              <w:gridCol w:w="810"/>
              <w:gridCol w:w="810"/>
              <w:gridCol w:w="3060"/>
            </w:tblGrid>
            <w:tr w:rsidR="00FB6F6A" w:rsidRPr="008F1E48" w14:paraId="3DFD2008" w14:textId="61FF7E95" w:rsidTr="00FB6F6A">
              <w:trPr>
                <w:trHeight w:val="486"/>
              </w:trPr>
              <w:tc>
                <w:tcPr>
                  <w:tcW w:w="4277" w:type="dxa"/>
                  <w:tcBorders>
                    <w:top w:val="nil"/>
                    <w:left w:val="nil"/>
                    <w:bottom w:val="nil"/>
                    <w:right w:val="nil"/>
                  </w:tcBorders>
                  <w:shd w:val="clear" w:color="auto" w:fill="auto"/>
                  <w:noWrap/>
                  <w:vAlign w:val="bottom"/>
                  <w:hideMark/>
                </w:tcPr>
                <w:p w14:paraId="645F8B29" w14:textId="77777777" w:rsidR="00FB6F6A" w:rsidRPr="008F1E48" w:rsidRDefault="00FB6F6A" w:rsidP="00947C1B">
                  <w:pPr>
                    <w:rPr>
                      <w:rFonts w:ascii="Calibri" w:hAnsi="Calibri" w:cstheme="minorBidi"/>
                      <w:sz w:val="16"/>
                      <w:szCs w:val="16"/>
                    </w:rPr>
                  </w:pPr>
                </w:p>
              </w:tc>
              <w:tc>
                <w:tcPr>
                  <w:tcW w:w="720" w:type="dxa"/>
                  <w:tcBorders>
                    <w:top w:val="nil"/>
                    <w:left w:val="nil"/>
                    <w:bottom w:val="nil"/>
                    <w:right w:val="nil"/>
                  </w:tcBorders>
                  <w:shd w:val="clear" w:color="auto" w:fill="auto"/>
                  <w:noWrap/>
                  <w:vAlign w:val="bottom"/>
                  <w:hideMark/>
                </w:tcPr>
                <w:p w14:paraId="406A8C1F" w14:textId="1076BC5A" w:rsidR="00FB6F6A" w:rsidRPr="008F1E48" w:rsidRDefault="00FB6F6A" w:rsidP="00947C1B">
                  <w:pPr>
                    <w:rPr>
                      <w:rFonts w:ascii="Calibri" w:hAnsi="Calibri"/>
                      <w:color w:val="000000"/>
                      <w:sz w:val="16"/>
                      <w:szCs w:val="16"/>
                    </w:rPr>
                  </w:pPr>
                  <w:r>
                    <w:rPr>
                      <w:rFonts w:ascii="Calibri" w:hAnsi="Calibri"/>
                      <w:color w:val="000000"/>
                      <w:sz w:val="16"/>
                      <w:szCs w:val="16"/>
                    </w:rPr>
                    <w:t xml:space="preserve">March </w:t>
                  </w:r>
                </w:p>
              </w:tc>
              <w:tc>
                <w:tcPr>
                  <w:tcW w:w="720" w:type="dxa"/>
                  <w:tcBorders>
                    <w:top w:val="nil"/>
                    <w:left w:val="nil"/>
                    <w:bottom w:val="nil"/>
                    <w:right w:val="nil"/>
                  </w:tcBorders>
                  <w:shd w:val="clear" w:color="auto" w:fill="auto"/>
                  <w:noWrap/>
                  <w:vAlign w:val="bottom"/>
                  <w:hideMark/>
                </w:tcPr>
                <w:p w14:paraId="528E4E23" w14:textId="3C9D8623" w:rsidR="00FB6F6A" w:rsidRPr="008F1E48" w:rsidRDefault="00FB6F6A" w:rsidP="00947C1B">
                  <w:pPr>
                    <w:rPr>
                      <w:rFonts w:ascii="Calibri" w:hAnsi="Calibri"/>
                      <w:color w:val="000000"/>
                      <w:sz w:val="16"/>
                      <w:szCs w:val="16"/>
                    </w:rPr>
                  </w:pPr>
                  <w:r>
                    <w:rPr>
                      <w:rFonts w:ascii="Calibri" w:hAnsi="Calibri"/>
                      <w:color w:val="000000"/>
                      <w:sz w:val="16"/>
                      <w:szCs w:val="16"/>
                    </w:rPr>
                    <w:t xml:space="preserve">Apr - </w:t>
                  </w:r>
                  <w:r w:rsidR="00BE0E93">
                    <w:rPr>
                      <w:rFonts w:ascii="Calibri" w:hAnsi="Calibri"/>
                      <w:color w:val="000000"/>
                      <w:sz w:val="16"/>
                      <w:szCs w:val="16"/>
                    </w:rPr>
                    <w:t>Jun</w:t>
                  </w:r>
                </w:p>
              </w:tc>
              <w:tc>
                <w:tcPr>
                  <w:tcW w:w="810" w:type="dxa"/>
                  <w:tcBorders>
                    <w:top w:val="nil"/>
                    <w:left w:val="nil"/>
                    <w:bottom w:val="nil"/>
                    <w:right w:val="nil"/>
                  </w:tcBorders>
                  <w:shd w:val="clear" w:color="auto" w:fill="auto"/>
                  <w:noWrap/>
                  <w:vAlign w:val="bottom"/>
                  <w:hideMark/>
                </w:tcPr>
                <w:p w14:paraId="38587C7E" w14:textId="7C9FC910" w:rsidR="00FB6F6A" w:rsidRPr="008F1E48" w:rsidRDefault="00FB6F6A" w:rsidP="00947C1B">
                  <w:pPr>
                    <w:rPr>
                      <w:rFonts w:ascii="Calibri" w:hAnsi="Calibri"/>
                      <w:color w:val="000000"/>
                      <w:sz w:val="16"/>
                      <w:szCs w:val="16"/>
                    </w:rPr>
                  </w:pPr>
                  <w:r>
                    <w:rPr>
                      <w:rFonts w:ascii="Calibri" w:hAnsi="Calibri"/>
                      <w:color w:val="000000"/>
                      <w:sz w:val="16"/>
                      <w:szCs w:val="16"/>
                    </w:rPr>
                    <w:t>July-  Aug</w:t>
                  </w:r>
                </w:p>
              </w:tc>
              <w:tc>
                <w:tcPr>
                  <w:tcW w:w="810" w:type="dxa"/>
                  <w:tcBorders>
                    <w:top w:val="nil"/>
                    <w:left w:val="nil"/>
                    <w:bottom w:val="nil"/>
                    <w:right w:val="nil"/>
                  </w:tcBorders>
                  <w:shd w:val="clear" w:color="auto" w:fill="auto"/>
                  <w:noWrap/>
                  <w:vAlign w:val="bottom"/>
                  <w:hideMark/>
                </w:tcPr>
                <w:p w14:paraId="35ACB734" w14:textId="72A60C95" w:rsidR="00FB6F6A" w:rsidRPr="008F1E48" w:rsidRDefault="00FB6F6A" w:rsidP="00947C1B">
                  <w:pPr>
                    <w:rPr>
                      <w:rFonts w:ascii="Calibri" w:hAnsi="Calibri"/>
                      <w:color w:val="000000"/>
                      <w:sz w:val="16"/>
                      <w:szCs w:val="16"/>
                    </w:rPr>
                  </w:pPr>
                  <w:r>
                    <w:rPr>
                      <w:rFonts w:ascii="Calibri" w:hAnsi="Calibri"/>
                      <w:color w:val="000000"/>
                      <w:sz w:val="16"/>
                      <w:szCs w:val="16"/>
                    </w:rPr>
                    <w:t>Sept-Oct</w:t>
                  </w:r>
                </w:p>
              </w:tc>
              <w:tc>
                <w:tcPr>
                  <w:tcW w:w="3060" w:type="dxa"/>
                  <w:tcBorders>
                    <w:top w:val="nil"/>
                    <w:left w:val="nil"/>
                    <w:bottom w:val="nil"/>
                    <w:right w:val="nil"/>
                  </w:tcBorders>
                </w:tcPr>
                <w:p w14:paraId="21A80B1F" w14:textId="373EB620" w:rsidR="00FB6F6A" w:rsidRDefault="00FB6F6A" w:rsidP="00947C1B">
                  <w:pPr>
                    <w:rPr>
                      <w:rFonts w:ascii="Calibri" w:hAnsi="Calibri"/>
                      <w:color w:val="000000"/>
                      <w:sz w:val="16"/>
                      <w:szCs w:val="16"/>
                    </w:rPr>
                  </w:pPr>
                  <w:r>
                    <w:rPr>
                      <w:rFonts w:ascii="Calibri" w:hAnsi="Calibri"/>
                      <w:color w:val="000000"/>
                      <w:sz w:val="16"/>
                      <w:szCs w:val="16"/>
                    </w:rPr>
                    <w:t xml:space="preserve">Nov - </w:t>
                  </w:r>
                  <w:r w:rsidR="00BE0E93">
                    <w:rPr>
                      <w:rFonts w:ascii="Calibri" w:hAnsi="Calibri"/>
                      <w:color w:val="000000"/>
                      <w:sz w:val="16"/>
                      <w:szCs w:val="16"/>
                    </w:rPr>
                    <w:t>Dec</w:t>
                  </w:r>
                </w:p>
              </w:tc>
            </w:tr>
            <w:tr w:rsidR="00FB6F6A" w:rsidRPr="008F1E48" w14:paraId="6307E04F" w14:textId="46BF7ACE" w:rsidTr="00FB6F6A">
              <w:trPr>
                <w:trHeight w:val="193"/>
              </w:trPr>
              <w:tc>
                <w:tcPr>
                  <w:tcW w:w="4277" w:type="dxa"/>
                  <w:tcBorders>
                    <w:top w:val="nil"/>
                    <w:left w:val="nil"/>
                    <w:bottom w:val="nil"/>
                    <w:right w:val="nil"/>
                  </w:tcBorders>
                  <w:shd w:val="clear" w:color="auto" w:fill="auto"/>
                  <w:noWrap/>
                  <w:vAlign w:val="bottom"/>
                </w:tcPr>
                <w:p w14:paraId="46B666F5" w14:textId="3DD690AC" w:rsidR="00FB6F6A" w:rsidRDefault="00FB6F6A" w:rsidP="00947C1B">
                  <w:pPr>
                    <w:rPr>
                      <w:rFonts w:ascii="Calibri" w:hAnsi="Calibri"/>
                      <w:color w:val="000000"/>
                      <w:sz w:val="20"/>
                      <w:szCs w:val="20"/>
                    </w:rPr>
                  </w:pPr>
                  <w:r>
                    <w:rPr>
                      <w:rFonts w:ascii="Calibri" w:hAnsi="Calibri"/>
                      <w:color w:val="000000"/>
                      <w:sz w:val="20"/>
                      <w:szCs w:val="20"/>
                    </w:rPr>
                    <w:t>Data assembly and analysis design</w:t>
                  </w:r>
                </w:p>
              </w:tc>
              <w:tc>
                <w:tcPr>
                  <w:tcW w:w="720" w:type="dxa"/>
                  <w:tcBorders>
                    <w:top w:val="nil"/>
                    <w:left w:val="nil"/>
                    <w:bottom w:val="nil"/>
                    <w:right w:val="nil"/>
                  </w:tcBorders>
                  <w:shd w:val="clear" w:color="auto" w:fill="000000" w:themeFill="text1"/>
                  <w:noWrap/>
                  <w:vAlign w:val="bottom"/>
                </w:tcPr>
                <w:p w14:paraId="5E98921B" w14:textId="77777777" w:rsidR="00FB6F6A" w:rsidRPr="008F1E48" w:rsidRDefault="00FB6F6A" w:rsidP="00947C1B">
                  <w:pPr>
                    <w:rPr>
                      <w:rFonts w:ascii="Calibri" w:hAnsi="Calibri"/>
                      <w:color w:val="000000"/>
                      <w:sz w:val="20"/>
                      <w:szCs w:val="20"/>
                    </w:rPr>
                  </w:pPr>
                </w:p>
              </w:tc>
              <w:tc>
                <w:tcPr>
                  <w:tcW w:w="720" w:type="dxa"/>
                  <w:tcBorders>
                    <w:top w:val="nil"/>
                    <w:left w:val="nil"/>
                    <w:bottom w:val="nil"/>
                    <w:right w:val="nil"/>
                  </w:tcBorders>
                  <w:shd w:val="clear" w:color="auto" w:fill="auto"/>
                  <w:noWrap/>
                  <w:vAlign w:val="bottom"/>
                </w:tcPr>
                <w:p w14:paraId="1E29EC21" w14:textId="77777777" w:rsidR="00FB6F6A" w:rsidRPr="008F1E48" w:rsidRDefault="00FB6F6A" w:rsidP="00947C1B">
                  <w:pPr>
                    <w:rPr>
                      <w:rFonts w:ascii="Calibri" w:hAnsi="Calibri"/>
                      <w:color w:val="000000"/>
                      <w:sz w:val="20"/>
                      <w:szCs w:val="20"/>
                    </w:rPr>
                  </w:pPr>
                </w:p>
              </w:tc>
              <w:tc>
                <w:tcPr>
                  <w:tcW w:w="810" w:type="dxa"/>
                  <w:tcBorders>
                    <w:top w:val="nil"/>
                    <w:left w:val="nil"/>
                    <w:bottom w:val="nil"/>
                    <w:right w:val="nil"/>
                  </w:tcBorders>
                  <w:shd w:val="clear" w:color="auto" w:fill="auto"/>
                  <w:noWrap/>
                  <w:vAlign w:val="bottom"/>
                </w:tcPr>
                <w:p w14:paraId="49546B0E" w14:textId="77777777" w:rsidR="00FB6F6A" w:rsidRPr="008F1E48" w:rsidRDefault="00FB6F6A" w:rsidP="00947C1B">
                  <w:pPr>
                    <w:rPr>
                      <w:rFonts w:ascii="Calibri" w:hAnsi="Calibri"/>
                      <w:sz w:val="20"/>
                      <w:szCs w:val="20"/>
                    </w:rPr>
                  </w:pPr>
                </w:p>
              </w:tc>
              <w:tc>
                <w:tcPr>
                  <w:tcW w:w="810" w:type="dxa"/>
                  <w:tcBorders>
                    <w:top w:val="nil"/>
                    <w:left w:val="nil"/>
                    <w:bottom w:val="nil"/>
                    <w:right w:val="nil"/>
                  </w:tcBorders>
                  <w:shd w:val="clear" w:color="auto" w:fill="auto"/>
                  <w:noWrap/>
                  <w:vAlign w:val="bottom"/>
                </w:tcPr>
                <w:p w14:paraId="469BD359" w14:textId="77777777" w:rsidR="00FB6F6A" w:rsidRPr="008F1E48" w:rsidRDefault="00FB6F6A" w:rsidP="00947C1B">
                  <w:pPr>
                    <w:rPr>
                      <w:rFonts w:ascii="Calibri" w:hAnsi="Calibri"/>
                      <w:sz w:val="20"/>
                      <w:szCs w:val="20"/>
                    </w:rPr>
                  </w:pPr>
                </w:p>
              </w:tc>
              <w:tc>
                <w:tcPr>
                  <w:tcW w:w="3060" w:type="dxa"/>
                  <w:tcBorders>
                    <w:top w:val="nil"/>
                    <w:left w:val="nil"/>
                    <w:bottom w:val="nil"/>
                    <w:right w:val="nil"/>
                  </w:tcBorders>
                </w:tcPr>
                <w:p w14:paraId="3AD702CF" w14:textId="77777777" w:rsidR="00FB6F6A" w:rsidRPr="008F1E48" w:rsidRDefault="00FB6F6A" w:rsidP="00947C1B">
                  <w:pPr>
                    <w:rPr>
                      <w:rFonts w:ascii="Calibri" w:hAnsi="Calibri"/>
                      <w:sz w:val="20"/>
                      <w:szCs w:val="20"/>
                    </w:rPr>
                  </w:pPr>
                </w:p>
              </w:tc>
            </w:tr>
            <w:tr w:rsidR="00FB6F6A" w:rsidRPr="00013DD4" w14:paraId="4FCD1220" w14:textId="65938E19" w:rsidTr="00FB6F6A">
              <w:trPr>
                <w:trHeight w:val="193"/>
              </w:trPr>
              <w:tc>
                <w:tcPr>
                  <w:tcW w:w="4277" w:type="dxa"/>
                  <w:tcBorders>
                    <w:top w:val="nil"/>
                    <w:left w:val="nil"/>
                    <w:bottom w:val="nil"/>
                    <w:right w:val="nil"/>
                  </w:tcBorders>
                  <w:shd w:val="clear" w:color="auto" w:fill="auto"/>
                  <w:noWrap/>
                  <w:vAlign w:val="bottom"/>
                  <w:hideMark/>
                </w:tcPr>
                <w:p w14:paraId="32C29A17" w14:textId="3D3C67BA" w:rsidR="00FB6F6A" w:rsidRPr="00013DD4" w:rsidRDefault="00FB6F6A" w:rsidP="00947C1B">
                  <w:pPr>
                    <w:rPr>
                      <w:color w:val="000000"/>
                      <w:sz w:val="20"/>
                      <w:szCs w:val="20"/>
                      <w:lang w:bidi="fa-IR"/>
                    </w:rPr>
                  </w:pPr>
                  <w:r w:rsidRPr="00013DD4">
                    <w:rPr>
                      <w:rFonts w:ascii="Calibri" w:hAnsi="Calibri"/>
                      <w:color w:val="000000"/>
                      <w:sz w:val="20"/>
                      <w:szCs w:val="20"/>
                    </w:rPr>
                    <w:t>Gene</w:t>
                  </w:r>
                  <w:r w:rsidR="00BE0E93" w:rsidRPr="00013DD4">
                    <w:rPr>
                      <w:rFonts w:ascii="Calibri" w:hAnsi="Calibri"/>
                      <w:color w:val="000000"/>
                      <w:sz w:val="20"/>
                      <w:szCs w:val="20"/>
                    </w:rPr>
                    <w:t>/</w:t>
                  </w:r>
                  <w:r w:rsidRPr="00013DD4">
                    <w:rPr>
                      <w:rFonts w:ascii="Calibri" w:hAnsi="Calibri"/>
                      <w:color w:val="000000"/>
                      <w:sz w:val="20"/>
                      <w:szCs w:val="20"/>
                      <w:lang w:bidi="fa-IR"/>
                    </w:rPr>
                    <w:t xml:space="preserve">burden testing and psychiatric </w:t>
                  </w:r>
                  <w:proofErr w:type="spellStart"/>
                  <w:r w:rsidRPr="00013DD4">
                    <w:rPr>
                      <w:rFonts w:ascii="Calibri" w:hAnsi="Calibri"/>
                      <w:color w:val="000000"/>
                      <w:sz w:val="20"/>
                      <w:szCs w:val="20"/>
                      <w:lang w:bidi="fa-IR"/>
                    </w:rPr>
                    <w:t>phewas</w:t>
                  </w:r>
                  <w:proofErr w:type="spellEnd"/>
                </w:p>
              </w:tc>
              <w:tc>
                <w:tcPr>
                  <w:tcW w:w="720" w:type="dxa"/>
                  <w:tcBorders>
                    <w:top w:val="nil"/>
                    <w:left w:val="nil"/>
                    <w:bottom w:val="nil"/>
                    <w:right w:val="nil"/>
                  </w:tcBorders>
                  <w:shd w:val="clear" w:color="auto" w:fill="auto"/>
                  <w:noWrap/>
                  <w:vAlign w:val="bottom"/>
                  <w:hideMark/>
                </w:tcPr>
                <w:p w14:paraId="6E9E2D42" w14:textId="77777777" w:rsidR="00FB6F6A" w:rsidRPr="00013DD4" w:rsidRDefault="00FB6F6A" w:rsidP="00947C1B">
                  <w:pPr>
                    <w:rPr>
                      <w:rFonts w:ascii="Calibri" w:hAnsi="Calibri"/>
                      <w:color w:val="000000"/>
                      <w:sz w:val="20"/>
                      <w:szCs w:val="20"/>
                    </w:rPr>
                  </w:pPr>
                  <w:r w:rsidRPr="00013DD4">
                    <w:rPr>
                      <w:rFonts w:ascii="Calibri" w:hAnsi="Calibri"/>
                      <w:color w:val="000000"/>
                      <w:sz w:val="20"/>
                      <w:szCs w:val="20"/>
                    </w:rPr>
                    <w:t> </w:t>
                  </w:r>
                </w:p>
              </w:tc>
              <w:tc>
                <w:tcPr>
                  <w:tcW w:w="720" w:type="dxa"/>
                  <w:tcBorders>
                    <w:top w:val="nil"/>
                    <w:left w:val="nil"/>
                    <w:bottom w:val="nil"/>
                    <w:right w:val="nil"/>
                  </w:tcBorders>
                  <w:shd w:val="clear" w:color="auto" w:fill="000000" w:themeFill="text1"/>
                  <w:noWrap/>
                  <w:vAlign w:val="bottom"/>
                  <w:hideMark/>
                </w:tcPr>
                <w:p w14:paraId="453B3310" w14:textId="77777777" w:rsidR="00FB6F6A" w:rsidRPr="00013DD4" w:rsidRDefault="00FB6F6A" w:rsidP="00947C1B">
                  <w:pPr>
                    <w:rPr>
                      <w:rFonts w:ascii="Calibri" w:hAnsi="Calibri"/>
                      <w:color w:val="000000"/>
                      <w:sz w:val="20"/>
                      <w:szCs w:val="20"/>
                    </w:rPr>
                  </w:pPr>
                </w:p>
              </w:tc>
              <w:tc>
                <w:tcPr>
                  <w:tcW w:w="810" w:type="dxa"/>
                  <w:tcBorders>
                    <w:top w:val="nil"/>
                    <w:left w:val="nil"/>
                    <w:bottom w:val="nil"/>
                    <w:right w:val="nil"/>
                  </w:tcBorders>
                  <w:shd w:val="clear" w:color="auto" w:fill="auto"/>
                  <w:noWrap/>
                  <w:vAlign w:val="bottom"/>
                  <w:hideMark/>
                </w:tcPr>
                <w:p w14:paraId="0B22D0D8" w14:textId="77777777" w:rsidR="00FB6F6A" w:rsidRPr="00013DD4" w:rsidRDefault="00FB6F6A" w:rsidP="00947C1B">
                  <w:pPr>
                    <w:rPr>
                      <w:rFonts w:ascii="Calibri" w:hAnsi="Calibri"/>
                      <w:sz w:val="20"/>
                      <w:szCs w:val="20"/>
                    </w:rPr>
                  </w:pPr>
                </w:p>
              </w:tc>
              <w:tc>
                <w:tcPr>
                  <w:tcW w:w="810" w:type="dxa"/>
                  <w:tcBorders>
                    <w:top w:val="nil"/>
                    <w:left w:val="nil"/>
                    <w:bottom w:val="nil"/>
                    <w:right w:val="nil"/>
                  </w:tcBorders>
                  <w:shd w:val="clear" w:color="auto" w:fill="auto"/>
                  <w:noWrap/>
                  <w:vAlign w:val="bottom"/>
                  <w:hideMark/>
                </w:tcPr>
                <w:p w14:paraId="51B2B4C0" w14:textId="77777777" w:rsidR="00FB6F6A" w:rsidRPr="00013DD4" w:rsidRDefault="00FB6F6A" w:rsidP="00947C1B">
                  <w:pPr>
                    <w:rPr>
                      <w:rFonts w:ascii="Calibri" w:hAnsi="Calibri"/>
                      <w:sz w:val="20"/>
                      <w:szCs w:val="20"/>
                    </w:rPr>
                  </w:pPr>
                </w:p>
              </w:tc>
              <w:tc>
                <w:tcPr>
                  <w:tcW w:w="3060" w:type="dxa"/>
                  <w:tcBorders>
                    <w:top w:val="nil"/>
                    <w:left w:val="nil"/>
                    <w:bottom w:val="nil"/>
                    <w:right w:val="nil"/>
                  </w:tcBorders>
                </w:tcPr>
                <w:p w14:paraId="68BF392F" w14:textId="77777777" w:rsidR="00FB6F6A" w:rsidRPr="00013DD4" w:rsidRDefault="00FB6F6A" w:rsidP="00947C1B">
                  <w:pPr>
                    <w:rPr>
                      <w:rFonts w:ascii="Calibri" w:hAnsi="Calibri"/>
                      <w:sz w:val="20"/>
                      <w:szCs w:val="20"/>
                    </w:rPr>
                  </w:pPr>
                </w:p>
              </w:tc>
            </w:tr>
            <w:tr w:rsidR="00FB6F6A" w:rsidRPr="00013DD4" w14:paraId="00EFAFF6" w14:textId="0B01B3B1" w:rsidTr="00FB6F6A">
              <w:trPr>
                <w:trHeight w:val="193"/>
              </w:trPr>
              <w:tc>
                <w:tcPr>
                  <w:tcW w:w="4277" w:type="dxa"/>
                  <w:tcBorders>
                    <w:top w:val="nil"/>
                    <w:left w:val="nil"/>
                    <w:bottom w:val="nil"/>
                    <w:right w:val="nil"/>
                  </w:tcBorders>
                  <w:shd w:val="clear" w:color="auto" w:fill="auto"/>
                  <w:noWrap/>
                  <w:vAlign w:val="bottom"/>
                  <w:hideMark/>
                </w:tcPr>
                <w:p w14:paraId="093D3071" w14:textId="356CA150" w:rsidR="00FB6F6A" w:rsidRPr="00013DD4" w:rsidRDefault="00FB6F6A" w:rsidP="00947C1B">
                  <w:pPr>
                    <w:rPr>
                      <w:rFonts w:ascii="Calibri" w:hAnsi="Calibri"/>
                      <w:color w:val="000000"/>
                      <w:sz w:val="20"/>
                      <w:szCs w:val="20"/>
                    </w:rPr>
                  </w:pPr>
                  <w:r w:rsidRPr="00013DD4">
                    <w:rPr>
                      <w:rFonts w:ascii="Calibri" w:hAnsi="Calibri"/>
                      <w:color w:val="000000"/>
                      <w:sz w:val="20"/>
                      <w:szCs w:val="20"/>
                    </w:rPr>
                    <w:t>Chart reviews</w:t>
                  </w:r>
                </w:p>
              </w:tc>
              <w:tc>
                <w:tcPr>
                  <w:tcW w:w="720" w:type="dxa"/>
                  <w:tcBorders>
                    <w:top w:val="nil"/>
                    <w:left w:val="nil"/>
                    <w:bottom w:val="nil"/>
                    <w:right w:val="nil"/>
                  </w:tcBorders>
                  <w:shd w:val="clear" w:color="auto" w:fill="auto"/>
                  <w:noWrap/>
                  <w:vAlign w:val="bottom"/>
                  <w:hideMark/>
                </w:tcPr>
                <w:p w14:paraId="0B781839" w14:textId="77777777" w:rsidR="00FB6F6A" w:rsidRPr="00013DD4" w:rsidRDefault="00FB6F6A" w:rsidP="00947C1B">
                  <w:pPr>
                    <w:rPr>
                      <w:rFonts w:ascii="Calibri" w:hAnsi="Calibri"/>
                      <w:color w:val="000000"/>
                      <w:sz w:val="20"/>
                      <w:szCs w:val="20"/>
                    </w:rPr>
                  </w:pPr>
                  <w:r w:rsidRPr="00013DD4">
                    <w:rPr>
                      <w:rFonts w:ascii="Calibri" w:hAnsi="Calibri"/>
                      <w:color w:val="000000"/>
                      <w:sz w:val="20"/>
                      <w:szCs w:val="20"/>
                    </w:rPr>
                    <w:t> </w:t>
                  </w:r>
                </w:p>
              </w:tc>
              <w:tc>
                <w:tcPr>
                  <w:tcW w:w="720" w:type="dxa"/>
                  <w:tcBorders>
                    <w:top w:val="nil"/>
                    <w:left w:val="nil"/>
                    <w:bottom w:val="nil"/>
                    <w:right w:val="nil"/>
                  </w:tcBorders>
                  <w:shd w:val="clear" w:color="auto" w:fill="auto"/>
                  <w:noWrap/>
                  <w:vAlign w:val="bottom"/>
                  <w:hideMark/>
                </w:tcPr>
                <w:p w14:paraId="19460CE4" w14:textId="77777777" w:rsidR="00FB6F6A" w:rsidRPr="00013DD4" w:rsidRDefault="00FB6F6A" w:rsidP="00947C1B">
                  <w:pPr>
                    <w:rPr>
                      <w:rFonts w:ascii="Calibri" w:hAnsi="Calibri"/>
                      <w:color w:val="D9D9D9" w:themeColor="background1" w:themeShade="D9"/>
                      <w:sz w:val="20"/>
                      <w:szCs w:val="20"/>
                    </w:rPr>
                  </w:pPr>
                </w:p>
              </w:tc>
              <w:tc>
                <w:tcPr>
                  <w:tcW w:w="810" w:type="dxa"/>
                  <w:tcBorders>
                    <w:top w:val="nil"/>
                    <w:left w:val="nil"/>
                    <w:bottom w:val="nil"/>
                    <w:right w:val="nil"/>
                  </w:tcBorders>
                  <w:shd w:val="clear" w:color="auto" w:fill="000000" w:themeFill="text1"/>
                  <w:noWrap/>
                  <w:vAlign w:val="bottom"/>
                  <w:hideMark/>
                </w:tcPr>
                <w:p w14:paraId="2F693390" w14:textId="77777777" w:rsidR="00FB6F6A" w:rsidRPr="00013DD4" w:rsidRDefault="00FB6F6A" w:rsidP="00947C1B">
                  <w:pPr>
                    <w:rPr>
                      <w:rFonts w:ascii="Calibri" w:hAnsi="Calibri"/>
                      <w:sz w:val="20"/>
                      <w:szCs w:val="20"/>
                    </w:rPr>
                  </w:pPr>
                </w:p>
              </w:tc>
              <w:tc>
                <w:tcPr>
                  <w:tcW w:w="810" w:type="dxa"/>
                  <w:tcBorders>
                    <w:top w:val="nil"/>
                    <w:left w:val="nil"/>
                    <w:bottom w:val="nil"/>
                    <w:right w:val="nil"/>
                  </w:tcBorders>
                  <w:shd w:val="clear" w:color="auto" w:fill="auto"/>
                  <w:noWrap/>
                  <w:vAlign w:val="bottom"/>
                  <w:hideMark/>
                </w:tcPr>
                <w:p w14:paraId="71EBDFA5" w14:textId="77777777" w:rsidR="00FB6F6A" w:rsidRPr="00013DD4" w:rsidRDefault="00FB6F6A" w:rsidP="00947C1B">
                  <w:pPr>
                    <w:rPr>
                      <w:rFonts w:ascii="Calibri" w:hAnsi="Calibri"/>
                      <w:sz w:val="20"/>
                      <w:szCs w:val="20"/>
                    </w:rPr>
                  </w:pPr>
                </w:p>
              </w:tc>
              <w:tc>
                <w:tcPr>
                  <w:tcW w:w="3060" w:type="dxa"/>
                  <w:tcBorders>
                    <w:top w:val="nil"/>
                    <w:left w:val="nil"/>
                    <w:bottom w:val="nil"/>
                    <w:right w:val="nil"/>
                  </w:tcBorders>
                </w:tcPr>
                <w:p w14:paraId="5B574B31" w14:textId="77777777" w:rsidR="00FB6F6A" w:rsidRPr="00013DD4" w:rsidRDefault="00FB6F6A" w:rsidP="00947C1B">
                  <w:pPr>
                    <w:rPr>
                      <w:rFonts w:ascii="Calibri" w:hAnsi="Calibri"/>
                      <w:sz w:val="20"/>
                      <w:szCs w:val="20"/>
                    </w:rPr>
                  </w:pPr>
                </w:p>
              </w:tc>
            </w:tr>
            <w:tr w:rsidR="00FB6F6A" w:rsidRPr="00013DD4" w14:paraId="547C004B" w14:textId="3EEC71FD" w:rsidTr="00FB6F6A">
              <w:trPr>
                <w:trHeight w:val="193"/>
              </w:trPr>
              <w:tc>
                <w:tcPr>
                  <w:tcW w:w="4277" w:type="dxa"/>
                  <w:tcBorders>
                    <w:top w:val="nil"/>
                    <w:left w:val="nil"/>
                    <w:bottom w:val="nil"/>
                    <w:right w:val="nil"/>
                  </w:tcBorders>
                  <w:shd w:val="clear" w:color="auto" w:fill="auto"/>
                  <w:noWrap/>
                  <w:vAlign w:val="bottom"/>
                  <w:hideMark/>
                </w:tcPr>
                <w:p w14:paraId="0DEFB51F" w14:textId="1E82D5E8" w:rsidR="00FB6F6A" w:rsidRPr="00013DD4" w:rsidRDefault="00FB6F6A" w:rsidP="00947C1B">
                  <w:pPr>
                    <w:rPr>
                      <w:rFonts w:ascii="Calibri" w:hAnsi="Calibri"/>
                      <w:color w:val="000000"/>
                      <w:sz w:val="20"/>
                      <w:szCs w:val="20"/>
                    </w:rPr>
                  </w:pPr>
                  <w:r w:rsidRPr="00013DD4">
                    <w:rPr>
                      <w:rFonts w:ascii="Calibri" w:hAnsi="Calibri"/>
                      <w:color w:val="000000"/>
                      <w:sz w:val="20"/>
                      <w:szCs w:val="20"/>
                    </w:rPr>
                    <w:t xml:space="preserve">Manuscript writing </w:t>
                  </w:r>
                </w:p>
              </w:tc>
              <w:tc>
                <w:tcPr>
                  <w:tcW w:w="720" w:type="dxa"/>
                  <w:tcBorders>
                    <w:top w:val="nil"/>
                    <w:left w:val="nil"/>
                    <w:bottom w:val="nil"/>
                    <w:right w:val="nil"/>
                  </w:tcBorders>
                  <w:shd w:val="clear" w:color="auto" w:fill="auto"/>
                  <w:noWrap/>
                  <w:vAlign w:val="bottom"/>
                  <w:hideMark/>
                </w:tcPr>
                <w:p w14:paraId="400420EE" w14:textId="77777777" w:rsidR="00FB6F6A" w:rsidRPr="00013DD4" w:rsidRDefault="00FB6F6A" w:rsidP="00947C1B">
                  <w:pPr>
                    <w:rPr>
                      <w:rFonts w:ascii="Calibri" w:hAnsi="Calibri"/>
                      <w:color w:val="000000"/>
                      <w:sz w:val="20"/>
                      <w:szCs w:val="20"/>
                    </w:rPr>
                  </w:pPr>
                </w:p>
              </w:tc>
              <w:tc>
                <w:tcPr>
                  <w:tcW w:w="720" w:type="dxa"/>
                  <w:tcBorders>
                    <w:top w:val="nil"/>
                    <w:left w:val="nil"/>
                    <w:bottom w:val="nil"/>
                    <w:right w:val="nil"/>
                  </w:tcBorders>
                  <w:shd w:val="clear" w:color="auto" w:fill="auto"/>
                  <w:noWrap/>
                  <w:vAlign w:val="bottom"/>
                  <w:hideMark/>
                </w:tcPr>
                <w:p w14:paraId="79702CEA" w14:textId="77777777" w:rsidR="00FB6F6A" w:rsidRPr="00013DD4" w:rsidRDefault="00FB6F6A" w:rsidP="00947C1B">
                  <w:pPr>
                    <w:rPr>
                      <w:rFonts w:ascii="Calibri" w:hAnsi="Calibri"/>
                      <w:sz w:val="20"/>
                      <w:szCs w:val="20"/>
                    </w:rPr>
                  </w:pPr>
                </w:p>
              </w:tc>
              <w:tc>
                <w:tcPr>
                  <w:tcW w:w="810" w:type="dxa"/>
                  <w:tcBorders>
                    <w:top w:val="nil"/>
                    <w:left w:val="nil"/>
                    <w:bottom w:val="nil"/>
                    <w:right w:val="nil"/>
                  </w:tcBorders>
                  <w:shd w:val="clear" w:color="auto" w:fill="auto"/>
                  <w:noWrap/>
                  <w:vAlign w:val="bottom"/>
                  <w:hideMark/>
                </w:tcPr>
                <w:p w14:paraId="5F7800C5" w14:textId="77777777" w:rsidR="00FB6F6A" w:rsidRPr="00013DD4" w:rsidRDefault="00FB6F6A" w:rsidP="00947C1B">
                  <w:pPr>
                    <w:rPr>
                      <w:rFonts w:ascii="Calibri" w:hAnsi="Calibri"/>
                      <w:sz w:val="20"/>
                      <w:szCs w:val="20"/>
                    </w:rPr>
                  </w:pPr>
                </w:p>
              </w:tc>
              <w:tc>
                <w:tcPr>
                  <w:tcW w:w="810" w:type="dxa"/>
                  <w:tcBorders>
                    <w:top w:val="nil"/>
                    <w:left w:val="nil"/>
                    <w:bottom w:val="nil"/>
                    <w:right w:val="nil"/>
                  </w:tcBorders>
                  <w:shd w:val="clear" w:color="auto" w:fill="000000" w:themeFill="text1"/>
                  <w:noWrap/>
                  <w:vAlign w:val="bottom"/>
                  <w:hideMark/>
                </w:tcPr>
                <w:p w14:paraId="19C277D6" w14:textId="77777777" w:rsidR="00FB6F6A" w:rsidRPr="00013DD4" w:rsidRDefault="00FB6F6A" w:rsidP="00947C1B">
                  <w:pPr>
                    <w:rPr>
                      <w:rFonts w:ascii="Calibri" w:hAnsi="Calibri"/>
                      <w:sz w:val="20"/>
                      <w:szCs w:val="20"/>
                    </w:rPr>
                  </w:pPr>
                </w:p>
              </w:tc>
              <w:tc>
                <w:tcPr>
                  <w:tcW w:w="3060" w:type="dxa"/>
                  <w:tcBorders>
                    <w:top w:val="nil"/>
                    <w:left w:val="nil"/>
                    <w:bottom w:val="nil"/>
                    <w:right w:val="nil"/>
                  </w:tcBorders>
                  <w:shd w:val="clear" w:color="auto" w:fill="auto"/>
                </w:tcPr>
                <w:p w14:paraId="0FDDD2ED" w14:textId="77777777" w:rsidR="00FB6F6A" w:rsidRPr="00013DD4" w:rsidRDefault="00FB6F6A" w:rsidP="00947C1B">
                  <w:pPr>
                    <w:rPr>
                      <w:rFonts w:ascii="Calibri" w:hAnsi="Calibri"/>
                      <w:sz w:val="20"/>
                      <w:szCs w:val="20"/>
                    </w:rPr>
                  </w:pPr>
                </w:p>
              </w:tc>
            </w:tr>
            <w:tr w:rsidR="00FB6F6A" w:rsidRPr="00013DD4" w14:paraId="64F00852" w14:textId="4BF183AC" w:rsidTr="00FB6F6A">
              <w:trPr>
                <w:trHeight w:val="193"/>
              </w:trPr>
              <w:tc>
                <w:tcPr>
                  <w:tcW w:w="4277" w:type="dxa"/>
                  <w:tcBorders>
                    <w:top w:val="nil"/>
                    <w:left w:val="nil"/>
                    <w:bottom w:val="nil"/>
                    <w:right w:val="nil"/>
                  </w:tcBorders>
                  <w:shd w:val="clear" w:color="auto" w:fill="auto"/>
                  <w:noWrap/>
                  <w:vAlign w:val="bottom"/>
                </w:tcPr>
                <w:p w14:paraId="0C2F4B5F" w14:textId="10649775" w:rsidR="00FB6F6A" w:rsidRPr="00013DD4" w:rsidRDefault="00FB6F6A" w:rsidP="00947C1B">
                  <w:pPr>
                    <w:rPr>
                      <w:rFonts w:ascii="Calibri" w:hAnsi="Calibri"/>
                      <w:color w:val="000000"/>
                      <w:sz w:val="20"/>
                      <w:szCs w:val="20"/>
                    </w:rPr>
                  </w:pPr>
                  <w:r w:rsidRPr="00013DD4">
                    <w:rPr>
                      <w:rFonts w:ascii="Calibri" w:hAnsi="Calibri"/>
                      <w:color w:val="000000"/>
                      <w:sz w:val="20"/>
                      <w:szCs w:val="20"/>
                    </w:rPr>
                    <w:t>Manuscript completion and submission</w:t>
                  </w:r>
                </w:p>
              </w:tc>
              <w:tc>
                <w:tcPr>
                  <w:tcW w:w="720" w:type="dxa"/>
                  <w:tcBorders>
                    <w:top w:val="nil"/>
                    <w:left w:val="nil"/>
                    <w:bottom w:val="nil"/>
                    <w:right w:val="nil"/>
                  </w:tcBorders>
                  <w:shd w:val="clear" w:color="auto" w:fill="auto"/>
                  <w:noWrap/>
                  <w:vAlign w:val="bottom"/>
                </w:tcPr>
                <w:p w14:paraId="0D6B2AF2" w14:textId="77777777" w:rsidR="00FB6F6A" w:rsidRPr="00013DD4" w:rsidRDefault="00FB6F6A" w:rsidP="00947C1B">
                  <w:pPr>
                    <w:rPr>
                      <w:rFonts w:ascii="Calibri" w:hAnsi="Calibri"/>
                      <w:color w:val="000000"/>
                      <w:sz w:val="20"/>
                      <w:szCs w:val="20"/>
                    </w:rPr>
                  </w:pPr>
                </w:p>
              </w:tc>
              <w:tc>
                <w:tcPr>
                  <w:tcW w:w="720" w:type="dxa"/>
                  <w:tcBorders>
                    <w:top w:val="nil"/>
                    <w:left w:val="nil"/>
                    <w:bottom w:val="nil"/>
                    <w:right w:val="nil"/>
                  </w:tcBorders>
                  <w:shd w:val="clear" w:color="auto" w:fill="auto"/>
                  <w:noWrap/>
                  <w:vAlign w:val="bottom"/>
                </w:tcPr>
                <w:p w14:paraId="635B3890" w14:textId="77777777" w:rsidR="00FB6F6A" w:rsidRPr="00013DD4" w:rsidRDefault="00FB6F6A" w:rsidP="00947C1B">
                  <w:pPr>
                    <w:rPr>
                      <w:rFonts w:ascii="Calibri" w:hAnsi="Calibri"/>
                      <w:sz w:val="20"/>
                      <w:szCs w:val="20"/>
                    </w:rPr>
                  </w:pPr>
                </w:p>
              </w:tc>
              <w:tc>
                <w:tcPr>
                  <w:tcW w:w="810" w:type="dxa"/>
                  <w:tcBorders>
                    <w:top w:val="nil"/>
                    <w:left w:val="nil"/>
                    <w:bottom w:val="nil"/>
                    <w:right w:val="nil"/>
                  </w:tcBorders>
                  <w:shd w:val="clear" w:color="auto" w:fill="auto"/>
                  <w:noWrap/>
                  <w:vAlign w:val="bottom"/>
                </w:tcPr>
                <w:p w14:paraId="3D95E46C" w14:textId="77777777" w:rsidR="00FB6F6A" w:rsidRPr="00013DD4" w:rsidRDefault="00FB6F6A" w:rsidP="00947C1B">
                  <w:pPr>
                    <w:rPr>
                      <w:rFonts w:ascii="Calibri" w:hAnsi="Calibri"/>
                      <w:sz w:val="20"/>
                      <w:szCs w:val="20"/>
                    </w:rPr>
                  </w:pPr>
                </w:p>
              </w:tc>
              <w:tc>
                <w:tcPr>
                  <w:tcW w:w="810" w:type="dxa"/>
                  <w:tcBorders>
                    <w:top w:val="nil"/>
                    <w:left w:val="nil"/>
                    <w:bottom w:val="nil"/>
                    <w:right w:val="nil"/>
                  </w:tcBorders>
                  <w:shd w:val="clear" w:color="auto" w:fill="auto"/>
                  <w:noWrap/>
                  <w:vAlign w:val="bottom"/>
                </w:tcPr>
                <w:p w14:paraId="3A68E398" w14:textId="77777777" w:rsidR="00FB6F6A" w:rsidRPr="00013DD4" w:rsidRDefault="00FB6F6A" w:rsidP="00947C1B">
                  <w:pPr>
                    <w:rPr>
                      <w:rFonts w:ascii="Calibri" w:hAnsi="Calibri"/>
                      <w:sz w:val="20"/>
                      <w:szCs w:val="20"/>
                    </w:rPr>
                  </w:pPr>
                </w:p>
              </w:tc>
              <w:tc>
                <w:tcPr>
                  <w:tcW w:w="3060" w:type="dxa"/>
                  <w:tcBorders>
                    <w:top w:val="nil"/>
                    <w:left w:val="nil"/>
                    <w:bottom w:val="nil"/>
                    <w:right w:val="nil"/>
                  </w:tcBorders>
                  <w:shd w:val="clear" w:color="auto" w:fill="000000" w:themeFill="text1"/>
                </w:tcPr>
                <w:p w14:paraId="0B553275" w14:textId="77777777" w:rsidR="00FB6F6A" w:rsidRPr="00013DD4" w:rsidRDefault="00FB6F6A" w:rsidP="00947C1B">
                  <w:pPr>
                    <w:rPr>
                      <w:rFonts w:ascii="Calibri" w:hAnsi="Calibri"/>
                      <w:sz w:val="20"/>
                      <w:szCs w:val="20"/>
                    </w:rPr>
                  </w:pPr>
                </w:p>
              </w:tc>
            </w:tr>
          </w:tbl>
          <w:p w14:paraId="4089201E" w14:textId="698DDE30" w:rsidR="00947C1B" w:rsidRPr="008673B8" w:rsidRDefault="00947C1B" w:rsidP="00947C1B">
            <w:pPr>
              <w:rPr>
                <w:rFonts w:asciiTheme="majorHAnsi" w:hAnsiTheme="majorHAnsi" w:cstheme="majorHAnsi"/>
                <w:sz w:val="22"/>
                <w:szCs w:val="22"/>
              </w:rPr>
            </w:pPr>
          </w:p>
        </w:tc>
      </w:tr>
    </w:tbl>
    <w:p w14:paraId="4BF2BAC8" w14:textId="77777777" w:rsidR="002142B6" w:rsidRDefault="00013DD4"/>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2D85" w14:textId="77777777" w:rsidR="00F12283" w:rsidRDefault="00F12283" w:rsidP="0093273D">
      <w:r>
        <w:separator/>
      </w:r>
    </w:p>
  </w:endnote>
  <w:endnote w:type="continuationSeparator" w:id="0">
    <w:p w14:paraId="58D0215C" w14:textId="77777777" w:rsidR="00F12283" w:rsidRDefault="00F1228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5E72529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64498A">
          <w:rPr>
            <w:rFonts w:asciiTheme="majorHAnsi" w:hAnsiTheme="majorHAnsi"/>
            <w:noProof/>
            <w:sz w:val="22"/>
          </w:rPr>
          <w:t>3</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5EF85" w14:textId="77777777" w:rsidR="00F12283" w:rsidRDefault="00F12283" w:rsidP="0093273D">
      <w:r>
        <w:separator/>
      </w:r>
    </w:p>
  </w:footnote>
  <w:footnote w:type="continuationSeparator" w:id="0">
    <w:p w14:paraId="5A86D8BC" w14:textId="77777777" w:rsidR="00F12283" w:rsidRDefault="00F12283"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13DD4"/>
    <w:rsid w:val="00035FDC"/>
    <w:rsid w:val="000A12A3"/>
    <w:rsid w:val="000B7654"/>
    <w:rsid w:val="00117500"/>
    <w:rsid w:val="001F3540"/>
    <w:rsid w:val="00216BF0"/>
    <w:rsid w:val="0025109A"/>
    <w:rsid w:val="00376326"/>
    <w:rsid w:val="003F367E"/>
    <w:rsid w:val="00421468"/>
    <w:rsid w:val="004D7F55"/>
    <w:rsid w:val="00547B2A"/>
    <w:rsid w:val="00571D40"/>
    <w:rsid w:val="00594CF3"/>
    <w:rsid w:val="00595E27"/>
    <w:rsid w:val="00614403"/>
    <w:rsid w:val="006166BF"/>
    <w:rsid w:val="00625689"/>
    <w:rsid w:val="0063131E"/>
    <w:rsid w:val="0064498A"/>
    <w:rsid w:val="006C72E9"/>
    <w:rsid w:val="006D5E6D"/>
    <w:rsid w:val="00700246"/>
    <w:rsid w:val="00702039"/>
    <w:rsid w:val="00781C3A"/>
    <w:rsid w:val="007F3F81"/>
    <w:rsid w:val="008673B8"/>
    <w:rsid w:val="008B0CE2"/>
    <w:rsid w:val="00900D3C"/>
    <w:rsid w:val="0093273D"/>
    <w:rsid w:val="00947C1B"/>
    <w:rsid w:val="00954A77"/>
    <w:rsid w:val="009A0983"/>
    <w:rsid w:val="00A14096"/>
    <w:rsid w:val="00A43734"/>
    <w:rsid w:val="00A674F0"/>
    <w:rsid w:val="00A726E3"/>
    <w:rsid w:val="00A73910"/>
    <w:rsid w:val="00AC13F9"/>
    <w:rsid w:val="00AD5451"/>
    <w:rsid w:val="00AE4C4D"/>
    <w:rsid w:val="00AF586E"/>
    <w:rsid w:val="00B67A4E"/>
    <w:rsid w:val="00B845FF"/>
    <w:rsid w:val="00BC6980"/>
    <w:rsid w:val="00BE0E93"/>
    <w:rsid w:val="00BE6BE6"/>
    <w:rsid w:val="00C367EC"/>
    <w:rsid w:val="00C52B0E"/>
    <w:rsid w:val="00D057DB"/>
    <w:rsid w:val="00D45605"/>
    <w:rsid w:val="00D47ECE"/>
    <w:rsid w:val="00D93D28"/>
    <w:rsid w:val="00DF74F9"/>
    <w:rsid w:val="00E67563"/>
    <w:rsid w:val="00EC0554"/>
    <w:rsid w:val="00F12283"/>
    <w:rsid w:val="00F94A39"/>
    <w:rsid w:val="00FB6F6A"/>
    <w:rsid w:val="00FC5D50"/>
    <w:rsid w:val="00FD49BF"/>
    <w:rsid w:val="00FE6A8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D9FC-DEA5-4CB4-83D9-01253191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2019-02-08T17:08:00Z</dcterms:created>
  <dcterms:modified xsi:type="dcterms:W3CDTF">2019-02-08T17:08:00Z</dcterms:modified>
</cp:coreProperties>
</file>