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AE51F8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779001E3" w:rsidR="0093273D" w:rsidRPr="008673B8" w:rsidRDefault="004F603B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NT330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873C0D9" w:rsidR="0093273D" w:rsidRPr="008673B8" w:rsidRDefault="00C82D3B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February 15, 2019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0C07497D" w:rsidR="0093273D" w:rsidRPr="008673B8" w:rsidRDefault="00DC1960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Approaches to the return of actionable adult-onset conditions in pediatric research: Lessons learned from eMERGE 3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7574EAFD" w:rsidR="00BE3C53" w:rsidRPr="008673B8" w:rsidRDefault="00DC1960" w:rsidP="00BE3C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Ingrid A. Holm, BCH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3976862B" w:rsidR="0093273D" w:rsidRPr="008673B8" w:rsidRDefault="0065353A" w:rsidP="00BE3C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1960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ynthia A.</w:t>
            </w:r>
            <w:r w:rsidRPr="00DC1960">
              <w:rPr>
                <w:rFonts w:asciiTheme="majorHAnsi" w:hAnsiTheme="majorHAnsi" w:cstheme="majorHAnsi"/>
                <w:sz w:val="22"/>
                <w:szCs w:val="22"/>
              </w:rPr>
              <w:t xml:space="preserve"> Prows, CCHMC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6B6E50" w14:textId="40C25358" w:rsidR="0093273D" w:rsidRPr="00DC1960" w:rsidRDefault="00DC1960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1960">
              <w:rPr>
                <w:rFonts w:asciiTheme="majorHAnsi" w:hAnsiTheme="majorHAnsi" w:cstheme="majorHAnsi"/>
                <w:sz w:val="22"/>
                <w:szCs w:val="22"/>
              </w:rPr>
              <w:t>Melanie</w:t>
            </w:r>
            <w:r w:rsidR="00BE3C53" w:rsidRPr="00DC196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037AB">
              <w:rPr>
                <w:rFonts w:asciiTheme="majorHAnsi" w:hAnsiTheme="majorHAnsi" w:cstheme="majorHAnsi"/>
                <w:sz w:val="22"/>
                <w:szCs w:val="22"/>
              </w:rPr>
              <w:t xml:space="preserve">F. </w:t>
            </w:r>
            <w:r w:rsidR="00BE3C53" w:rsidRPr="00DC1960">
              <w:rPr>
                <w:rFonts w:asciiTheme="majorHAnsi" w:hAnsiTheme="majorHAnsi" w:cstheme="majorHAnsi"/>
                <w:sz w:val="22"/>
                <w:szCs w:val="22"/>
              </w:rPr>
              <w:t>Myer</w:t>
            </w:r>
            <w:r w:rsidRPr="00DC196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BE3C53" w:rsidRPr="00DC1960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DC1960">
              <w:rPr>
                <w:rFonts w:asciiTheme="majorHAnsi" w:hAnsiTheme="majorHAnsi" w:cstheme="majorHAnsi"/>
                <w:sz w:val="22"/>
                <w:szCs w:val="22"/>
              </w:rPr>
              <w:t>CCHMC</w:t>
            </w:r>
          </w:p>
          <w:p w14:paraId="6536FBB0" w14:textId="4CDE9E01" w:rsidR="00DC1960" w:rsidRDefault="00DC1960" w:rsidP="00AE51F8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shd w:val="clear" w:color="auto" w:fill="FFFFFF"/>
              </w:rPr>
            </w:pPr>
            <w:r w:rsidRPr="00DC1960">
              <w:rPr>
                <w:rFonts w:asciiTheme="majorHAnsi" w:hAnsiTheme="majorHAnsi" w:cstheme="majorHAnsi"/>
                <w:color w:val="212121"/>
                <w:sz w:val="22"/>
                <w:szCs w:val="22"/>
                <w:shd w:val="clear" w:color="auto" w:fill="FFFFFF"/>
              </w:rPr>
              <w:t>Margaret Harr, CHOP</w:t>
            </w:r>
          </w:p>
          <w:p w14:paraId="13606934" w14:textId="5D311E75" w:rsidR="00BB626C" w:rsidRPr="00DC1960" w:rsidRDefault="00BB626C" w:rsidP="00AE51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212121"/>
                <w:sz w:val="22"/>
                <w:szCs w:val="22"/>
                <w:shd w:val="clear" w:color="auto" w:fill="FFFFFF"/>
              </w:rPr>
              <w:t>John Connolly, CHOP</w:t>
            </w:r>
          </w:p>
          <w:p w14:paraId="6DB36893" w14:textId="1973B2AE" w:rsidR="00D773F7" w:rsidRPr="008673B8" w:rsidRDefault="00D773F7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Others TBD</w:t>
            </w: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51D3A678" w:rsidR="0093273D" w:rsidRPr="0074111E" w:rsidRDefault="0093273D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CF1278" w14:textId="69138D2A" w:rsidR="0093273D" w:rsidRDefault="00BE3C53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Invite representatives from</w:t>
            </w:r>
            <w:r w:rsidR="00DC1960">
              <w:rPr>
                <w:rFonts w:asciiTheme="majorHAnsi" w:hAnsiTheme="majorHAnsi" w:cstheme="majorHAnsi"/>
                <w:sz w:val="22"/>
                <w:szCs w:val="22"/>
              </w:rPr>
              <w:t xml:space="preserve"> pediatric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E51F8">
              <w:rPr>
                <w:rFonts w:asciiTheme="majorHAnsi" w:hAnsiTheme="majorHAnsi" w:cstheme="majorHAnsi"/>
                <w:sz w:val="22"/>
                <w:szCs w:val="22"/>
              </w:rPr>
              <w:t xml:space="preserve">eMERGE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sites</w:t>
            </w:r>
            <w:r w:rsidR="00DC1960">
              <w:rPr>
                <w:rFonts w:asciiTheme="majorHAnsi" w:hAnsiTheme="majorHAnsi" w:cstheme="majorHAnsi"/>
                <w:sz w:val="22"/>
                <w:szCs w:val="22"/>
              </w:rPr>
              <w:t xml:space="preserve"> and others involved in ELSI in pediatrics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4C497282" w14:textId="2270DE44" w:rsidR="00BE3C53" w:rsidRPr="00BE3C53" w:rsidRDefault="00BE3C53" w:rsidP="00BE3C53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 Light" w:eastAsiaTheme="minorHAnsi" w:hAnsi="Calibri Light" w:cs="Calibri"/>
                <w:szCs w:val="32"/>
              </w:rPr>
            </w:pPr>
            <w:r w:rsidRPr="00BE3C53">
              <w:rPr>
                <w:rFonts w:ascii="Calibri Light" w:eastAsiaTheme="minorHAnsi" w:hAnsi="Calibri Light" w:cs="Trebuchet MS"/>
                <w:sz w:val="22"/>
                <w:szCs w:val="28"/>
              </w:rPr>
              <w:t>C</w:t>
            </w:r>
            <w:r>
              <w:rPr>
                <w:rFonts w:ascii="Calibri Light" w:eastAsiaTheme="minorHAnsi" w:hAnsi="Calibri Light" w:cs="Trebuchet MS"/>
                <w:sz w:val="22"/>
                <w:szCs w:val="28"/>
              </w:rPr>
              <w:t>incinnati Children’s Hospital</w:t>
            </w:r>
          </w:p>
          <w:p w14:paraId="6BEA0BC2" w14:textId="77777777" w:rsidR="00BE3C53" w:rsidRPr="00DC1960" w:rsidRDefault="00DC1960" w:rsidP="00BE3C53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 Light" w:eastAsiaTheme="minorHAnsi" w:hAnsi="Calibri Light" w:cs="Calibri"/>
                <w:szCs w:val="32"/>
              </w:rPr>
            </w:pPr>
            <w:r>
              <w:rPr>
                <w:rFonts w:ascii="Calibri Light" w:eastAsiaTheme="minorHAnsi" w:hAnsi="Calibri Light" w:cs="Trebuchet MS"/>
                <w:sz w:val="22"/>
                <w:szCs w:val="28"/>
              </w:rPr>
              <w:t>Children’s Hospital of Philadelphia</w:t>
            </w:r>
          </w:p>
          <w:p w14:paraId="07C5FDB2" w14:textId="77BB8970" w:rsidR="00DC1960" w:rsidRPr="00D773F7" w:rsidRDefault="00DC1960" w:rsidP="00BE3C53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 Light" w:eastAsiaTheme="minorHAnsi" w:hAnsi="Calibri Light" w:cs="Calibri"/>
                <w:szCs w:val="32"/>
              </w:rPr>
            </w:pPr>
            <w:r>
              <w:rPr>
                <w:rFonts w:ascii="Calibri Light" w:eastAsiaTheme="minorHAnsi" w:hAnsi="Calibri Light" w:cs="Calibri"/>
                <w:szCs w:val="32"/>
              </w:rPr>
              <w:t>Others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2B15A654" w:rsidR="0093273D" w:rsidRPr="0074111E" w:rsidRDefault="0093273D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4CA5CAA5" w:rsidR="0093273D" w:rsidRPr="008673B8" w:rsidRDefault="00DC1960" w:rsidP="00B010F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return </w:t>
            </w:r>
            <w:r w:rsidR="009037A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of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results for highly actionable adult onset conditions in pediatrics is controversia</w:t>
            </w:r>
            <w:r w:rsidR="00163B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 Pediatric researchers conducting sequencing studies in which such results are generated need to make plans for how to deal with this potential information.</w:t>
            </w:r>
            <w:r w:rsidR="00947C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The eMERGE Network </w:t>
            </w:r>
            <w:r w:rsidR="00B010F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provides a</w:t>
            </w:r>
            <w:r w:rsidR="009037A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laboratory </w:t>
            </w:r>
            <w:r w:rsidR="0065353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which </w:t>
            </w:r>
            <w:r w:rsidR="009037A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to generate evidence for </w:t>
            </w:r>
            <w:r w:rsidR="00947C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recommendations</w:t>
            </w:r>
            <w:r w:rsidR="0065353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regarding how to handle children’s results for adult onset disorders</w:t>
            </w:r>
            <w:r w:rsidR="009037A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947C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283D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Over 30,000 Network participants were sequenced with the </w:t>
            </w:r>
            <w:proofErr w:type="spellStart"/>
            <w:r w:rsidR="00283D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eMERGESeq</w:t>
            </w:r>
            <w:proofErr w:type="spellEnd"/>
            <w:r w:rsidR="00283D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panel which included g</w:t>
            </w:r>
            <w:r w:rsidR="009037A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enes </w:t>
            </w:r>
            <w:r w:rsidR="00947C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 several highly actionable adult onset conditions</w:t>
            </w:r>
            <w:r w:rsidR="00283D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947C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283D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</w:t>
            </w:r>
            <w:r w:rsidR="00947C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he pediatric sites </w:t>
            </w:r>
            <w:r w:rsidR="0065353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implemented different </w:t>
            </w:r>
            <w:r w:rsidR="00283D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approaches</w:t>
            </w:r>
            <w:r w:rsidR="0065353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that </w:t>
            </w:r>
            <w:r w:rsidR="00283D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were </w:t>
            </w:r>
            <w:r w:rsidR="0065353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responsive to ethical issues </w:t>
            </w:r>
            <w:r w:rsidR="00ED33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and published professional recommendations regarding the return of genomic results that inform risk for adult onset conditions. </w:t>
            </w:r>
            <w:r w:rsidR="00947C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67A48D22" w:rsidR="0093273D" w:rsidRPr="00947C38" w:rsidRDefault="00BE26EC" w:rsidP="00947C38">
            <w:pPr>
              <w:pStyle w:val="ListParagraph"/>
              <w:numPr>
                <w:ilvl w:val="0"/>
                <w:numId w:val="8"/>
              </w:numPr>
              <w:ind w:left="229" w:hanging="229"/>
              <w:rPr>
                <w:rFonts w:asciiTheme="majorHAnsi" w:hAnsiTheme="majorHAnsi" w:cstheme="majorHAnsi"/>
                <w:sz w:val="22"/>
                <w:szCs w:val="22"/>
              </w:rPr>
            </w:pPr>
            <w:r w:rsidRPr="00947C38">
              <w:rPr>
                <w:rFonts w:asciiTheme="majorHAnsi" w:hAnsiTheme="majorHAnsi" w:cstheme="majorHAnsi"/>
                <w:sz w:val="22"/>
                <w:szCs w:val="22"/>
              </w:rPr>
              <w:t xml:space="preserve">Establish a </w:t>
            </w:r>
            <w:r w:rsidR="00457416">
              <w:rPr>
                <w:rFonts w:asciiTheme="majorHAnsi" w:hAnsiTheme="majorHAnsi" w:cstheme="majorHAnsi"/>
                <w:sz w:val="22"/>
                <w:szCs w:val="22"/>
              </w:rPr>
              <w:t xml:space="preserve">core writing group </w:t>
            </w:r>
            <w:r w:rsidRPr="00947C38">
              <w:rPr>
                <w:rFonts w:asciiTheme="majorHAnsi" w:hAnsiTheme="majorHAnsi" w:cstheme="majorHAnsi"/>
                <w:sz w:val="22"/>
                <w:szCs w:val="22"/>
              </w:rPr>
              <w:t xml:space="preserve">comprised of representatives from </w:t>
            </w:r>
            <w:r w:rsidR="00947C38">
              <w:rPr>
                <w:rFonts w:asciiTheme="majorHAnsi" w:hAnsiTheme="majorHAnsi" w:cstheme="majorHAnsi"/>
                <w:sz w:val="22"/>
                <w:szCs w:val="22"/>
              </w:rPr>
              <w:t xml:space="preserve">the pediatric </w:t>
            </w:r>
            <w:r w:rsidRPr="00947C38">
              <w:rPr>
                <w:rFonts w:asciiTheme="majorHAnsi" w:hAnsiTheme="majorHAnsi" w:cstheme="majorHAnsi"/>
                <w:sz w:val="22"/>
                <w:szCs w:val="22"/>
              </w:rPr>
              <w:t>eMERGE site</w:t>
            </w:r>
            <w:r w:rsidR="00947C38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947C3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177BA4F" w14:textId="627EF22A" w:rsidR="00222A4A" w:rsidRDefault="00BE26EC" w:rsidP="00222A4A">
            <w:pPr>
              <w:pStyle w:val="ListParagraph"/>
              <w:numPr>
                <w:ilvl w:val="0"/>
                <w:numId w:val="8"/>
              </w:numPr>
              <w:ind w:left="229" w:hanging="229"/>
              <w:rPr>
                <w:rFonts w:asciiTheme="majorHAnsi" w:hAnsiTheme="majorHAnsi" w:cstheme="majorHAnsi"/>
                <w:sz w:val="22"/>
                <w:szCs w:val="22"/>
              </w:rPr>
            </w:pPr>
            <w:r w:rsidRPr="00947C38">
              <w:rPr>
                <w:rFonts w:asciiTheme="majorHAnsi" w:hAnsiTheme="majorHAnsi" w:cstheme="majorHAnsi"/>
                <w:sz w:val="22"/>
                <w:szCs w:val="22"/>
              </w:rPr>
              <w:t xml:space="preserve">Gather </w:t>
            </w:r>
            <w:r w:rsidR="00222A4A">
              <w:rPr>
                <w:rFonts w:asciiTheme="majorHAnsi" w:hAnsiTheme="majorHAnsi" w:cstheme="majorHAnsi"/>
                <w:sz w:val="22"/>
                <w:szCs w:val="22"/>
              </w:rPr>
              <w:t xml:space="preserve">the protocols used by the 2 pediatric sites for handling results for </w:t>
            </w:r>
            <w:r w:rsidR="00222A4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highly actionable adult onset conditions in those &lt;18 years</w:t>
            </w:r>
            <w:r w:rsidR="00E2355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as well as the BCH </w:t>
            </w:r>
            <w:proofErr w:type="spellStart"/>
            <w:r w:rsidR="00E2355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BabySeq</w:t>
            </w:r>
            <w:proofErr w:type="spellEnd"/>
            <w:r w:rsidR="00E2355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project</w:t>
            </w:r>
            <w:r w:rsidRPr="00947C3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CEA07F3" w14:textId="6F3EE326" w:rsidR="001069B3" w:rsidRDefault="00222A4A" w:rsidP="00222A4A">
            <w:pPr>
              <w:pStyle w:val="ListParagraph"/>
              <w:numPr>
                <w:ilvl w:val="0"/>
                <w:numId w:val="8"/>
              </w:numPr>
              <w:ind w:left="229" w:hanging="229"/>
              <w:rPr>
                <w:rFonts w:asciiTheme="majorHAnsi" w:hAnsiTheme="majorHAnsi" w:cstheme="majorHAnsi"/>
                <w:sz w:val="22"/>
                <w:szCs w:val="22"/>
              </w:rPr>
            </w:pPr>
            <w:r w:rsidRPr="00222A4A">
              <w:rPr>
                <w:rFonts w:asciiTheme="majorHAnsi" w:hAnsiTheme="majorHAnsi" w:cstheme="majorHAnsi"/>
                <w:sz w:val="22"/>
                <w:szCs w:val="22"/>
              </w:rPr>
              <w:t xml:space="preserve">Compare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contrast the approaches at the pediatric sites</w:t>
            </w:r>
            <w:r w:rsidR="00E2355F">
              <w:rPr>
                <w:rFonts w:asciiTheme="majorHAnsi" w:hAnsiTheme="majorHAnsi" w:cstheme="majorHAnsi"/>
                <w:sz w:val="22"/>
                <w:szCs w:val="22"/>
              </w:rPr>
              <w:t xml:space="preserve">, and with the BCH </w:t>
            </w:r>
            <w:proofErr w:type="spellStart"/>
            <w:r w:rsidR="00E2355F">
              <w:rPr>
                <w:rFonts w:asciiTheme="majorHAnsi" w:hAnsiTheme="majorHAnsi" w:cstheme="majorHAnsi"/>
                <w:sz w:val="22"/>
                <w:szCs w:val="22"/>
              </w:rPr>
              <w:t>BabySeq</w:t>
            </w:r>
            <w:proofErr w:type="spellEnd"/>
            <w:r w:rsidR="00E2355F">
              <w:rPr>
                <w:rFonts w:asciiTheme="majorHAnsi" w:hAnsiTheme="majorHAnsi" w:cstheme="majorHAnsi"/>
                <w:sz w:val="22"/>
                <w:szCs w:val="22"/>
              </w:rPr>
              <w:t xml:space="preserve"> project,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discuss the ethical</w:t>
            </w:r>
            <w:r w:rsidR="000E4E77">
              <w:rPr>
                <w:rFonts w:asciiTheme="majorHAnsi" w:hAnsiTheme="majorHAnsi" w:cstheme="majorHAnsi"/>
                <w:sz w:val="22"/>
                <w:szCs w:val="22"/>
              </w:rPr>
              <w:t>, legal, and social implications (ELSI)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B576FE">
              <w:rPr>
                <w:rFonts w:asciiTheme="majorHAnsi" w:hAnsiTheme="majorHAnsi" w:cstheme="majorHAnsi"/>
                <w:sz w:val="22"/>
                <w:szCs w:val="22"/>
              </w:rPr>
              <w:t xml:space="preserve">e.g.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future autonomy, best interests, family interests) and how they are addressed.</w:t>
            </w:r>
          </w:p>
          <w:p w14:paraId="40461DB7" w14:textId="0F5BFAE1" w:rsidR="00222A4A" w:rsidRPr="00222A4A" w:rsidRDefault="00222A4A" w:rsidP="00B010FD">
            <w:pPr>
              <w:pStyle w:val="ListParagraph"/>
              <w:numPr>
                <w:ilvl w:val="0"/>
                <w:numId w:val="8"/>
              </w:numPr>
              <w:ind w:left="229" w:hanging="22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Develop recommendations and options to </w:t>
            </w:r>
            <w:r w:rsidR="00B010FD">
              <w:rPr>
                <w:rFonts w:asciiTheme="majorHAnsi" w:hAnsiTheme="majorHAnsi" w:cstheme="majorHAnsi"/>
                <w:sz w:val="22"/>
                <w:szCs w:val="22"/>
              </w:rPr>
              <w:t>approach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return of results for adult onset conditions for researchers who are conducting studies where these genes are sequenced.</w:t>
            </w: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6E859467" w:rsidR="00C367EC" w:rsidRPr="0074111E" w:rsidRDefault="00C367EC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AE51F8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6114A64E" w:rsidR="00C367EC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700246">
                  <w:rPr>
                    <w:rFonts w:ascii="MS Gothic" w:eastAsia="MS Gothic" w:hAnsi="MS Gothic" w:cstheme="majorHAnsi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64D879F4" w:rsidR="00C367EC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35AA1B95" w:rsidR="00C367EC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0D9AF29A" w:rsidR="00C367EC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009878D2" w:rsidR="00B845FF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C367EC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2889A1A4" w:rsidR="00C367EC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37C65CE3" w:rsidR="00C367EC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Case/Control status on Phase I and 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AE51F8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AE51F8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36EDD4E" w14:textId="77777777" w:rsidR="0025109A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14:paraId="7F2CFA5C" w14:textId="77777777" w:rsidR="00BE26EC" w:rsidRDefault="00BE26EC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1DCE786" w14:textId="7B8D9387" w:rsidR="00BE26EC" w:rsidRPr="00BE26EC" w:rsidRDefault="00BE26EC" w:rsidP="000B76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E26EC"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B8812D7" w:rsidR="0093273D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376326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304F4EDC" w:rsidR="00376326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5B52B32F" w:rsidR="00376326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376326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7C79F07B" w14:textId="77777777" w:rsidR="00571D40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  <w:p w14:paraId="02A57161" w14:textId="47AFFB1D" w:rsidR="004F603B" w:rsidRPr="004F603B" w:rsidRDefault="004F603B" w:rsidP="0070024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F603B">
              <w:rPr>
                <w:rFonts w:asciiTheme="majorHAnsi" w:hAnsiTheme="majorHAnsi" w:cstheme="majorHAnsi"/>
                <w:b/>
                <w:sz w:val="22"/>
                <w:szCs w:val="22"/>
              </w:rPr>
              <w:t>NONE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AE51F8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4382899F" w:rsidR="0063131E" w:rsidRPr="00700246" w:rsidRDefault="004F603B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6245A610" w:rsidR="0063131E" w:rsidRPr="00700246" w:rsidRDefault="00BE26EC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X  </w:t>
            </w:r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2500B1F5" w:rsidR="0093273D" w:rsidRPr="008673B8" w:rsidRDefault="00BE26EC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None, the project will be descriptive of practices across eMERGE sites.</w:t>
            </w:r>
          </w:p>
          <w:p w14:paraId="18EFD397" w14:textId="3C70010D" w:rsidR="0093273D" w:rsidRDefault="0093273D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608534" w14:textId="77777777" w:rsidR="000A12A3" w:rsidRPr="008673B8" w:rsidRDefault="000A12A3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950299" w14:textId="77777777" w:rsidR="0093273D" w:rsidRPr="008673B8" w:rsidRDefault="0093273D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264CE2" w14:textId="5DAF76D5" w:rsidR="0093273D" w:rsidRPr="008673B8" w:rsidRDefault="00222A4A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Ethical considerations around the return of highly actionable adult onset conditions in children include future autonomy, best interests, and family interests and will be discussed</w:t>
            </w: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AE51F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72B30815" w:rsidR="000A12A3" w:rsidRPr="008673B8" w:rsidRDefault="00BE26EC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r>
              <w:rPr>
                <w:rFonts w:asciiTheme="majorHAnsi" w:hAnsiTheme="majorHAnsi" w:cstheme="majorHAnsi"/>
                <w:sz w:val="22"/>
                <w:szCs w:val="22"/>
              </w:rPr>
              <w:t>Genetics in Medicine; Journal of Medical Genetics; or similar.</w:t>
            </w:r>
            <w:bookmarkEnd w:id="0"/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AE51F8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AE51F8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AE51F8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94A0D28" w14:textId="77777777" w:rsidR="0093273D" w:rsidRDefault="0093273D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6476E1" w14:textId="74BC6D0E" w:rsidR="00BE26EC" w:rsidRDefault="00BE26EC" w:rsidP="00AE51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Data collection phases of the project to be completed by April 30</w:t>
            </w:r>
            <w:r w:rsidR="00222A4A">
              <w:rPr>
                <w:rFonts w:asciiTheme="majorHAnsi" w:hAnsiTheme="majorHAnsi" w:cstheme="majorHAnsi"/>
                <w:sz w:val="22"/>
                <w:szCs w:val="22"/>
              </w:rPr>
              <w:t>, 2019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089201E" w14:textId="72F25C76" w:rsidR="00BE26EC" w:rsidRPr="008673B8" w:rsidRDefault="00BE26EC" w:rsidP="00BE26E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Manuscript submission to be completed by June 30, 2019.</w:t>
            </w:r>
          </w:p>
        </w:tc>
      </w:tr>
    </w:tbl>
    <w:p w14:paraId="4BF2BAC8" w14:textId="6631750C" w:rsidR="00AE51F8" w:rsidRDefault="00AE51F8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F92D" w14:textId="77777777" w:rsidR="00EF3C4A" w:rsidRDefault="00EF3C4A" w:rsidP="0093273D">
      <w:r>
        <w:separator/>
      </w:r>
    </w:p>
  </w:endnote>
  <w:endnote w:type="continuationSeparator" w:id="0">
    <w:p w14:paraId="5B2A5567" w14:textId="77777777" w:rsidR="00EF3C4A" w:rsidRDefault="00EF3C4A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A5FD304" w:rsidR="00AE51F8" w:rsidRPr="0093273D" w:rsidRDefault="00AE51F8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B576FE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AE51F8" w:rsidRDefault="00AE5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98F71" w14:textId="77777777" w:rsidR="00EF3C4A" w:rsidRDefault="00EF3C4A" w:rsidP="0093273D">
      <w:r>
        <w:separator/>
      </w:r>
    </w:p>
  </w:footnote>
  <w:footnote w:type="continuationSeparator" w:id="0">
    <w:p w14:paraId="33220761" w14:textId="77777777" w:rsidR="00EF3C4A" w:rsidRDefault="00EF3C4A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AE51F8" w:rsidRDefault="00AE51F8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56EE5"/>
    <w:multiLevelType w:val="hybridMultilevel"/>
    <w:tmpl w:val="4AD0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167D8"/>
    <w:multiLevelType w:val="hybridMultilevel"/>
    <w:tmpl w:val="6EA8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A12A3"/>
    <w:rsid w:val="000B7654"/>
    <w:rsid w:val="000E4E77"/>
    <w:rsid w:val="001069B3"/>
    <w:rsid w:val="00117500"/>
    <w:rsid w:val="00163BAD"/>
    <w:rsid w:val="001F3540"/>
    <w:rsid w:val="00222A4A"/>
    <w:rsid w:val="0025109A"/>
    <w:rsid w:val="00283D1A"/>
    <w:rsid w:val="002D68A7"/>
    <w:rsid w:val="002F1BD6"/>
    <w:rsid w:val="002F4DF3"/>
    <w:rsid w:val="00304A45"/>
    <w:rsid w:val="00376326"/>
    <w:rsid w:val="003F367E"/>
    <w:rsid w:val="00457416"/>
    <w:rsid w:val="00497746"/>
    <w:rsid w:val="004D7F55"/>
    <w:rsid w:val="004F603B"/>
    <w:rsid w:val="00571D40"/>
    <w:rsid w:val="00594CF3"/>
    <w:rsid w:val="00595E27"/>
    <w:rsid w:val="00614403"/>
    <w:rsid w:val="006166BF"/>
    <w:rsid w:val="00625689"/>
    <w:rsid w:val="0063131E"/>
    <w:rsid w:val="00642D01"/>
    <w:rsid w:val="0065353A"/>
    <w:rsid w:val="00700246"/>
    <w:rsid w:val="00702039"/>
    <w:rsid w:val="007066E3"/>
    <w:rsid w:val="00776313"/>
    <w:rsid w:val="007F3F81"/>
    <w:rsid w:val="008673B8"/>
    <w:rsid w:val="008B0CE2"/>
    <w:rsid w:val="008D1507"/>
    <w:rsid w:val="00900D3C"/>
    <w:rsid w:val="009037AB"/>
    <w:rsid w:val="0093273D"/>
    <w:rsid w:val="00947C38"/>
    <w:rsid w:val="00954A77"/>
    <w:rsid w:val="00A14096"/>
    <w:rsid w:val="00A349A3"/>
    <w:rsid w:val="00A43734"/>
    <w:rsid w:val="00A674F0"/>
    <w:rsid w:val="00A726E3"/>
    <w:rsid w:val="00AE51F8"/>
    <w:rsid w:val="00AF586E"/>
    <w:rsid w:val="00B010FD"/>
    <w:rsid w:val="00B576FE"/>
    <w:rsid w:val="00B67A4E"/>
    <w:rsid w:val="00B845FF"/>
    <w:rsid w:val="00BB626C"/>
    <w:rsid w:val="00BD1431"/>
    <w:rsid w:val="00BE26EC"/>
    <w:rsid w:val="00BE3C53"/>
    <w:rsid w:val="00C367EC"/>
    <w:rsid w:val="00C82D3B"/>
    <w:rsid w:val="00D7661D"/>
    <w:rsid w:val="00D773F7"/>
    <w:rsid w:val="00D93D28"/>
    <w:rsid w:val="00DC1960"/>
    <w:rsid w:val="00E2355F"/>
    <w:rsid w:val="00E7007E"/>
    <w:rsid w:val="00ED331E"/>
    <w:rsid w:val="00EF3C4A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docId w15:val="{8DB5C94A-4681-8540-983D-768D9903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0C33-EDB0-48CB-A194-55E24501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2</cp:revision>
  <dcterms:created xsi:type="dcterms:W3CDTF">2019-02-26T19:40:00Z</dcterms:created>
  <dcterms:modified xsi:type="dcterms:W3CDTF">2019-02-26T19:40:00Z</dcterms:modified>
</cp:coreProperties>
</file>