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AE51F8">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AE51F8">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7852BCF1" w:rsidR="00F7328D" w:rsidRPr="008673B8" w:rsidRDefault="00F7328D" w:rsidP="00AE51F8">
            <w:pPr>
              <w:rPr>
                <w:rFonts w:asciiTheme="majorHAnsi" w:hAnsiTheme="majorHAnsi" w:cstheme="majorHAnsi"/>
                <w:sz w:val="22"/>
                <w:szCs w:val="22"/>
              </w:rPr>
            </w:pPr>
            <w:r>
              <w:rPr>
                <w:rFonts w:asciiTheme="majorHAnsi" w:hAnsiTheme="majorHAnsi" w:cstheme="majorHAnsi"/>
                <w:sz w:val="22"/>
                <w:szCs w:val="22"/>
              </w:rPr>
              <w:t>NT332</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AE51F8">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32DD81C6" w:rsidR="0093273D" w:rsidRPr="008673B8" w:rsidRDefault="00BE3C53" w:rsidP="00AE51F8">
            <w:pPr>
              <w:rPr>
                <w:rFonts w:asciiTheme="majorHAnsi" w:hAnsiTheme="majorHAnsi" w:cstheme="majorHAnsi"/>
                <w:sz w:val="22"/>
                <w:szCs w:val="22"/>
              </w:rPr>
            </w:pPr>
            <w:r>
              <w:rPr>
                <w:rFonts w:asciiTheme="majorHAnsi" w:hAnsiTheme="majorHAnsi" w:cstheme="majorHAnsi"/>
                <w:sz w:val="22"/>
                <w:szCs w:val="22"/>
              </w:rPr>
              <w:t xml:space="preserve">January </w:t>
            </w:r>
            <w:r w:rsidR="00F7328D">
              <w:rPr>
                <w:rFonts w:asciiTheme="majorHAnsi" w:hAnsiTheme="majorHAnsi" w:cstheme="majorHAnsi"/>
                <w:sz w:val="22"/>
                <w:szCs w:val="22"/>
              </w:rPr>
              <w:t>27</w:t>
            </w:r>
            <w:r>
              <w:rPr>
                <w:rFonts w:asciiTheme="majorHAnsi" w:hAnsiTheme="majorHAnsi" w:cstheme="majorHAnsi"/>
                <w:sz w:val="22"/>
                <w:szCs w:val="22"/>
              </w:rPr>
              <w:t>, 2019</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AE51F8">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0007B0B1" w:rsidR="0093273D" w:rsidRPr="008673B8" w:rsidRDefault="00BE3C53" w:rsidP="00AE51F8">
            <w:pPr>
              <w:rPr>
                <w:rFonts w:asciiTheme="majorHAnsi" w:hAnsiTheme="majorHAnsi" w:cstheme="majorHAnsi"/>
                <w:sz w:val="22"/>
                <w:szCs w:val="22"/>
              </w:rPr>
            </w:pPr>
            <w:r>
              <w:rPr>
                <w:rFonts w:asciiTheme="majorHAnsi" w:hAnsiTheme="majorHAnsi" w:cstheme="majorHAnsi"/>
                <w:sz w:val="22"/>
                <w:szCs w:val="22"/>
              </w:rPr>
              <w:t>Network-wide lessons learned from the reporting of negative test results</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AE51F8">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11AA576" w14:textId="77777777" w:rsidR="00BE3C53" w:rsidRDefault="00BE3C53" w:rsidP="00BE3C53">
            <w:pPr>
              <w:rPr>
                <w:rFonts w:asciiTheme="majorHAnsi" w:hAnsiTheme="majorHAnsi" w:cstheme="majorHAnsi"/>
                <w:sz w:val="22"/>
                <w:szCs w:val="22"/>
              </w:rPr>
            </w:pPr>
            <w:r>
              <w:rPr>
                <w:rFonts w:asciiTheme="majorHAnsi" w:hAnsiTheme="majorHAnsi" w:cstheme="majorHAnsi"/>
                <w:sz w:val="22"/>
                <w:szCs w:val="22"/>
              </w:rPr>
              <w:t>Richard Sharp, Mayo Clini</w:t>
            </w:r>
            <w:bookmarkStart w:id="0" w:name="_GoBack"/>
            <w:bookmarkEnd w:id="0"/>
            <w:r>
              <w:rPr>
                <w:rFonts w:asciiTheme="majorHAnsi" w:hAnsiTheme="majorHAnsi" w:cstheme="majorHAnsi"/>
                <w:sz w:val="22"/>
                <w:szCs w:val="22"/>
              </w:rPr>
              <w:t>c</w:t>
            </w:r>
          </w:p>
          <w:p w14:paraId="7ACA34EC" w14:textId="264A8971" w:rsidR="00BE3C53" w:rsidRPr="008673B8" w:rsidRDefault="00BE3C53" w:rsidP="00BE3C53">
            <w:pPr>
              <w:rPr>
                <w:rFonts w:asciiTheme="majorHAnsi" w:hAnsiTheme="majorHAnsi" w:cstheme="majorHAnsi"/>
                <w:sz w:val="22"/>
                <w:szCs w:val="22"/>
              </w:rPr>
            </w:pPr>
            <w:r>
              <w:rPr>
                <w:rFonts w:asciiTheme="majorHAnsi" w:hAnsiTheme="majorHAnsi" w:cstheme="majorHAnsi"/>
                <w:sz w:val="22"/>
                <w:szCs w:val="22"/>
              </w:rPr>
              <w:t>Maureen Smith, Northwestern</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AE51F8">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AE51F8">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04F3446" w14:textId="77777777" w:rsidR="00BE3C53" w:rsidRDefault="00BE3C53" w:rsidP="00BE3C53">
            <w:pPr>
              <w:rPr>
                <w:rFonts w:asciiTheme="majorHAnsi" w:hAnsiTheme="majorHAnsi" w:cstheme="majorHAnsi"/>
                <w:sz w:val="22"/>
                <w:szCs w:val="22"/>
              </w:rPr>
            </w:pPr>
            <w:r>
              <w:rPr>
                <w:rFonts w:asciiTheme="majorHAnsi" w:hAnsiTheme="majorHAnsi" w:cstheme="majorHAnsi"/>
                <w:sz w:val="22"/>
                <w:szCs w:val="22"/>
              </w:rPr>
              <w:t>Richard Sharp, Mayo Clinic</w:t>
            </w:r>
          </w:p>
          <w:p w14:paraId="1C0ED39B" w14:textId="49950B04" w:rsidR="0093273D" w:rsidRPr="008673B8" w:rsidRDefault="00BE3C53" w:rsidP="00BE3C53">
            <w:pPr>
              <w:rPr>
                <w:rFonts w:asciiTheme="majorHAnsi" w:hAnsiTheme="majorHAnsi" w:cstheme="majorHAnsi"/>
                <w:sz w:val="22"/>
                <w:szCs w:val="22"/>
              </w:rPr>
            </w:pPr>
            <w:r>
              <w:rPr>
                <w:rFonts w:asciiTheme="majorHAnsi" w:hAnsiTheme="majorHAnsi" w:cstheme="majorHAnsi"/>
                <w:sz w:val="22"/>
                <w:szCs w:val="22"/>
              </w:rPr>
              <w:t>Maureen Smith, Northwestern</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B91A6A9" w14:textId="1CCE4509" w:rsidR="0093273D" w:rsidRDefault="00BE3C53" w:rsidP="00AE51F8">
            <w:pPr>
              <w:rPr>
                <w:rFonts w:asciiTheme="majorHAnsi" w:hAnsiTheme="majorHAnsi" w:cstheme="majorHAnsi"/>
                <w:sz w:val="22"/>
                <w:szCs w:val="22"/>
              </w:rPr>
            </w:pPr>
            <w:r>
              <w:rPr>
                <w:rFonts w:asciiTheme="majorHAnsi" w:hAnsiTheme="majorHAnsi" w:cstheme="majorHAnsi"/>
                <w:sz w:val="22"/>
                <w:szCs w:val="22"/>
              </w:rPr>
              <w:t>Wendy Chung, Columbia</w:t>
            </w:r>
          </w:p>
          <w:p w14:paraId="296B6E50" w14:textId="26A7CE67" w:rsidR="0093273D" w:rsidRDefault="00BE3C53" w:rsidP="00AE51F8">
            <w:pPr>
              <w:rPr>
                <w:rFonts w:asciiTheme="majorHAnsi" w:hAnsiTheme="majorHAnsi" w:cstheme="majorHAnsi"/>
                <w:sz w:val="22"/>
                <w:szCs w:val="22"/>
              </w:rPr>
            </w:pPr>
            <w:r>
              <w:rPr>
                <w:rFonts w:asciiTheme="majorHAnsi" w:hAnsiTheme="majorHAnsi" w:cstheme="majorHAnsi"/>
                <w:sz w:val="22"/>
                <w:szCs w:val="22"/>
              </w:rPr>
              <w:t>Michelle Meyer, Cincinnati Children’s Hospital</w:t>
            </w:r>
          </w:p>
          <w:p w14:paraId="0EA607A8" w14:textId="5430A040" w:rsidR="00BF373C" w:rsidRDefault="00BF373C" w:rsidP="00AE51F8">
            <w:pPr>
              <w:rPr>
                <w:rFonts w:asciiTheme="majorHAnsi" w:hAnsiTheme="majorHAnsi" w:cstheme="majorHAnsi"/>
                <w:sz w:val="22"/>
                <w:szCs w:val="22"/>
              </w:rPr>
            </w:pPr>
            <w:r>
              <w:rPr>
                <w:rFonts w:asciiTheme="majorHAnsi" w:hAnsiTheme="majorHAnsi" w:cstheme="majorHAnsi"/>
                <w:sz w:val="22"/>
                <w:szCs w:val="22"/>
              </w:rPr>
              <w:t>Ingrid A. Holm, Boston Children’s Hospital</w:t>
            </w:r>
          </w:p>
          <w:p w14:paraId="6DB36893" w14:textId="1973B2AE" w:rsidR="00D773F7" w:rsidRPr="008673B8" w:rsidRDefault="00D773F7" w:rsidP="00AE51F8">
            <w:pPr>
              <w:rPr>
                <w:rFonts w:asciiTheme="majorHAnsi" w:hAnsiTheme="majorHAnsi" w:cstheme="majorHAnsi"/>
                <w:sz w:val="22"/>
                <w:szCs w:val="22"/>
              </w:rPr>
            </w:pPr>
            <w:r>
              <w:rPr>
                <w:rFonts w:asciiTheme="majorHAnsi" w:hAnsiTheme="majorHAnsi" w:cstheme="majorHAnsi"/>
                <w:sz w:val="22"/>
                <w:szCs w:val="22"/>
              </w:rPr>
              <w:t>Others TBD</w:t>
            </w: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51D3A678" w:rsidR="0093273D" w:rsidRPr="0074111E" w:rsidRDefault="0093273D" w:rsidP="00AE51F8">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CF1278" w14:textId="50DB7E16" w:rsidR="0093273D" w:rsidRDefault="00BE3C53" w:rsidP="00AE51F8">
            <w:pPr>
              <w:rPr>
                <w:rFonts w:asciiTheme="majorHAnsi" w:hAnsiTheme="majorHAnsi" w:cstheme="majorHAnsi"/>
                <w:sz w:val="22"/>
                <w:szCs w:val="22"/>
              </w:rPr>
            </w:pPr>
            <w:r>
              <w:rPr>
                <w:rFonts w:asciiTheme="majorHAnsi" w:hAnsiTheme="majorHAnsi" w:cstheme="majorHAnsi"/>
                <w:sz w:val="22"/>
                <w:szCs w:val="22"/>
              </w:rPr>
              <w:t xml:space="preserve">Invite representatives from all of the </w:t>
            </w:r>
            <w:r w:rsidR="00AE51F8">
              <w:rPr>
                <w:rFonts w:asciiTheme="majorHAnsi" w:hAnsiTheme="majorHAnsi" w:cstheme="majorHAnsi"/>
                <w:sz w:val="22"/>
                <w:szCs w:val="22"/>
              </w:rPr>
              <w:t xml:space="preserve">eMERGE </w:t>
            </w:r>
            <w:r>
              <w:rPr>
                <w:rFonts w:asciiTheme="majorHAnsi" w:hAnsiTheme="majorHAnsi" w:cstheme="majorHAnsi"/>
                <w:sz w:val="22"/>
                <w:szCs w:val="22"/>
              </w:rPr>
              <w:t>sites that are reporting negative results:</w:t>
            </w:r>
          </w:p>
          <w:p w14:paraId="4C497282" w14:textId="2270DE44" w:rsidR="00BE3C53" w:rsidRPr="00BE3C53" w:rsidRDefault="00BE3C53" w:rsidP="00BE3C53">
            <w:pPr>
              <w:widowControl w:val="0"/>
              <w:numPr>
                <w:ilvl w:val="0"/>
                <w:numId w:val="6"/>
              </w:numPr>
              <w:tabs>
                <w:tab w:val="left" w:pos="220"/>
                <w:tab w:val="left" w:pos="720"/>
              </w:tabs>
              <w:autoSpaceDE w:val="0"/>
              <w:autoSpaceDN w:val="0"/>
              <w:adjustRightInd w:val="0"/>
              <w:ind w:hanging="720"/>
              <w:rPr>
                <w:rFonts w:ascii="Calibri Light" w:eastAsiaTheme="minorHAnsi" w:hAnsi="Calibri Light" w:cs="Calibri"/>
                <w:szCs w:val="32"/>
              </w:rPr>
            </w:pPr>
            <w:r w:rsidRPr="00BE3C53">
              <w:rPr>
                <w:rFonts w:ascii="Calibri Light" w:eastAsiaTheme="minorHAnsi" w:hAnsi="Calibri Light" w:cs="Trebuchet MS"/>
                <w:sz w:val="22"/>
                <w:szCs w:val="28"/>
              </w:rPr>
              <w:t>C</w:t>
            </w:r>
            <w:r>
              <w:rPr>
                <w:rFonts w:ascii="Calibri Light" w:eastAsiaTheme="minorHAnsi" w:hAnsi="Calibri Light" w:cs="Trebuchet MS"/>
                <w:sz w:val="22"/>
                <w:szCs w:val="28"/>
              </w:rPr>
              <w:t>incinnati Children’s Hospital</w:t>
            </w:r>
          </w:p>
          <w:p w14:paraId="38BABF84" w14:textId="38D6B484" w:rsidR="00BE3C53" w:rsidRPr="00BE3C53" w:rsidRDefault="00BE3C53" w:rsidP="00BE3C53">
            <w:pPr>
              <w:widowControl w:val="0"/>
              <w:numPr>
                <w:ilvl w:val="0"/>
                <w:numId w:val="6"/>
              </w:numPr>
              <w:tabs>
                <w:tab w:val="left" w:pos="220"/>
                <w:tab w:val="left" w:pos="720"/>
              </w:tabs>
              <w:autoSpaceDE w:val="0"/>
              <w:autoSpaceDN w:val="0"/>
              <w:adjustRightInd w:val="0"/>
              <w:ind w:hanging="720"/>
              <w:rPr>
                <w:rFonts w:ascii="Calibri Light" w:eastAsiaTheme="minorHAnsi" w:hAnsi="Calibri Light" w:cs="Calibri"/>
                <w:szCs w:val="32"/>
              </w:rPr>
            </w:pPr>
            <w:r>
              <w:rPr>
                <w:rFonts w:ascii="Calibri Light" w:eastAsiaTheme="minorHAnsi" w:hAnsi="Calibri Light" w:cs="Trebuchet MS"/>
                <w:sz w:val="22"/>
                <w:szCs w:val="28"/>
              </w:rPr>
              <w:t>Kaiser Permanente/University of Washington</w:t>
            </w:r>
          </w:p>
          <w:p w14:paraId="6F520012" w14:textId="77777777" w:rsidR="00BE3C53" w:rsidRPr="00BE3C53" w:rsidRDefault="00BE3C53" w:rsidP="00BE3C53">
            <w:pPr>
              <w:widowControl w:val="0"/>
              <w:numPr>
                <w:ilvl w:val="0"/>
                <w:numId w:val="6"/>
              </w:numPr>
              <w:tabs>
                <w:tab w:val="left" w:pos="220"/>
                <w:tab w:val="left" w:pos="720"/>
              </w:tabs>
              <w:autoSpaceDE w:val="0"/>
              <w:autoSpaceDN w:val="0"/>
              <w:adjustRightInd w:val="0"/>
              <w:ind w:hanging="720"/>
              <w:rPr>
                <w:rFonts w:ascii="Calibri Light" w:eastAsiaTheme="minorHAnsi" w:hAnsi="Calibri Light" w:cs="Calibri"/>
                <w:szCs w:val="32"/>
              </w:rPr>
            </w:pPr>
            <w:r w:rsidRPr="00BE3C53">
              <w:rPr>
                <w:rFonts w:ascii="Calibri Light" w:eastAsiaTheme="minorHAnsi" w:hAnsi="Calibri Light" w:cs="Trebuchet MS"/>
                <w:sz w:val="22"/>
                <w:szCs w:val="28"/>
              </w:rPr>
              <w:t>Marshfield</w:t>
            </w:r>
          </w:p>
          <w:p w14:paraId="37D99991" w14:textId="0C752B6F" w:rsidR="00BE3C53" w:rsidRPr="00BE3C53" w:rsidRDefault="00BE3C53" w:rsidP="00BE3C53">
            <w:pPr>
              <w:widowControl w:val="0"/>
              <w:numPr>
                <w:ilvl w:val="0"/>
                <w:numId w:val="6"/>
              </w:numPr>
              <w:tabs>
                <w:tab w:val="left" w:pos="220"/>
                <w:tab w:val="left" w:pos="720"/>
              </w:tabs>
              <w:autoSpaceDE w:val="0"/>
              <w:autoSpaceDN w:val="0"/>
              <w:adjustRightInd w:val="0"/>
              <w:ind w:hanging="720"/>
              <w:rPr>
                <w:rFonts w:ascii="Calibri Light" w:eastAsiaTheme="minorHAnsi" w:hAnsi="Calibri Light" w:cs="Calibri"/>
                <w:szCs w:val="32"/>
              </w:rPr>
            </w:pPr>
            <w:r w:rsidRPr="00BE3C53">
              <w:rPr>
                <w:rFonts w:ascii="Calibri Light" w:eastAsiaTheme="minorHAnsi" w:hAnsi="Calibri Light" w:cs="Trebuchet MS"/>
                <w:sz w:val="22"/>
                <w:szCs w:val="28"/>
              </w:rPr>
              <w:t>Mayo</w:t>
            </w:r>
            <w:r>
              <w:rPr>
                <w:rFonts w:ascii="Calibri Light" w:eastAsiaTheme="minorHAnsi" w:hAnsi="Calibri Light" w:cs="Trebuchet MS"/>
                <w:sz w:val="22"/>
                <w:szCs w:val="28"/>
              </w:rPr>
              <w:t xml:space="preserve"> Clinic</w:t>
            </w:r>
          </w:p>
          <w:p w14:paraId="060FE6CB" w14:textId="3F8E2328" w:rsidR="00BE3C53" w:rsidRPr="00BE3C53" w:rsidRDefault="00BE3C53" w:rsidP="00BE3C53">
            <w:pPr>
              <w:widowControl w:val="0"/>
              <w:numPr>
                <w:ilvl w:val="0"/>
                <w:numId w:val="6"/>
              </w:numPr>
              <w:tabs>
                <w:tab w:val="left" w:pos="220"/>
                <w:tab w:val="left" w:pos="720"/>
              </w:tabs>
              <w:autoSpaceDE w:val="0"/>
              <w:autoSpaceDN w:val="0"/>
              <w:adjustRightInd w:val="0"/>
              <w:ind w:hanging="720"/>
              <w:rPr>
                <w:rFonts w:ascii="Calibri Light" w:eastAsiaTheme="minorHAnsi" w:hAnsi="Calibri Light" w:cs="Calibri"/>
                <w:szCs w:val="32"/>
              </w:rPr>
            </w:pPr>
            <w:r>
              <w:rPr>
                <w:rFonts w:ascii="Calibri Light" w:eastAsiaTheme="minorHAnsi" w:hAnsi="Calibri Light" w:cs="Trebuchet MS"/>
                <w:sz w:val="22"/>
                <w:szCs w:val="28"/>
              </w:rPr>
              <w:t>Vanderbilt</w:t>
            </w:r>
          </w:p>
          <w:p w14:paraId="31E5203A" w14:textId="77777777" w:rsidR="00BE3C53" w:rsidRPr="00BE3C53" w:rsidRDefault="00BE3C53" w:rsidP="00BE3C53">
            <w:pPr>
              <w:widowControl w:val="0"/>
              <w:numPr>
                <w:ilvl w:val="0"/>
                <w:numId w:val="6"/>
              </w:numPr>
              <w:tabs>
                <w:tab w:val="left" w:pos="220"/>
                <w:tab w:val="left" w:pos="720"/>
              </w:tabs>
              <w:autoSpaceDE w:val="0"/>
              <w:autoSpaceDN w:val="0"/>
              <w:adjustRightInd w:val="0"/>
              <w:ind w:hanging="720"/>
              <w:rPr>
                <w:rFonts w:ascii="Calibri Light" w:eastAsiaTheme="minorHAnsi" w:hAnsi="Calibri Light" w:cs="Calibri"/>
                <w:szCs w:val="32"/>
              </w:rPr>
            </w:pPr>
            <w:r w:rsidRPr="00BE3C53">
              <w:rPr>
                <w:rFonts w:ascii="Calibri Light" w:eastAsiaTheme="minorHAnsi" w:hAnsi="Calibri Light" w:cs="Trebuchet MS"/>
                <w:sz w:val="22"/>
                <w:szCs w:val="28"/>
              </w:rPr>
              <w:t>Meharry</w:t>
            </w:r>
          </w:p>
          <w:p w14:paraId="07C5FDB2" w14:textId="5CCEE407" w:rsidR="00BE3C53" w:rsidRPr="00D773F7" w:rsidRDefault="00BE3C53" w:rsidP="00BE3C53">
            <w:pPr>
              <w:widowControl w:val="0"/>
              <w:numPr>
                <w:ilvl w:val="0"/>
                <w:numId w:val="6"/>
              </w:numPr>
              <w:tabs>
                <w:tab w:val="left" w:pos="220"/>
                <w:tab w:val="left" w:pos="720"/>
              </w:tabs>
              <w:autoSpaceDE w:val="0"/>
              <w:autoSpaceDN w:val="0"/>
              <w:adjustRightInd w:val="0"/>
              <w:ind w:hanging="720"/>
              <w:rPr>
                <w:rFonts w:ascii="Calibri Light" w:eastAsiaTheme="minorHAnsi" w:hAnsi="Calibri Light" w:cs="Calibri"/>
                <w:szCs w:val="32"/>
              </w:rPr>
            </w:pPr>
            <w:r>
              <w:rPr>
                <w:rFonts w:ascii="Calibri Light" w:eastAsiaTheme="minorHAnsi" w:hAnsi="Calibri Light" w:cs="Trebuchet MS"/>
                <w:sz w:val="22"/>
                <w:szCs w:val="28"/>
              </w:rPr>
              <w:t>Northwestern</w:t>
            </w: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2B15A654" w:rsidR="0093273D" w:rsidRPr="0074111E" w:rsidRDefault="0093273D" w:rsidP="00AE51F8">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CD7DE62" w14:textId="4398457C" w:rsidR="0093273D" w:rsidRPr="008673B8" w:rsidRDefault="00AE51F8" w:rsidP="00AE51F8">
            <w:pPr>
              <w:rPr>
                <w:rFonts w:asciiTheme="majorHAnsi" w:hAnsiTheme="majorHAnsi" w:cstheme="majorHAnsi"/>
                <w:color w:val="000000"/>
                <w:sz w:val="22"/>
                <w:szCs w:val="22"/>
              </w:rPr>
            </w:pPr>
            <w:r>
              <w:rPr>
                <w:rFonts w:asciiTheme="majorHAnsi" w:hAnsiTheme="majorHAnsi" w:cstheme="majorHAnsi"/>
                <w:color w:val="000000"/>
                <w:sz w:val="22"/>
                <w:szCs w:val="22"/>
              </w:rPr>
              <w:t xml:space="preserve">Although the Outcomes Workgroup and each of the eMERGE sites have invested considerable energy into assessing best practices for reporting clinically actionable test results, less attention has been given to the methods that support patient understanding of a negative genomic test report. This study will draw on experiences across the eMERGE network, with the goal of creating a “lessons learned” paper that </w:t>
            </w:r>
            <w:r w:rsidR="00BE26EC">
              <w:rPr>
                <w:rFonts w:asciiTheme="majorHAnsi" w:hAnsiTheme="majorHAnsi" w:cstheme="majorHAnsi"/>
                <w:color w:val="000000"/>
                <w:sz w:val="22"/>
                <w:szCs w:val="22"/>
              </w:rPr>
              <w:t>highlights the array of reporting methods employed, the challenges encountered in the reporting of negative test results, and makes recommendations for future research in this area.</w:t>
            </w: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AE51F8">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9BD5FD2" w14:textId="77777777" w:rsidR="0093273D" w:rsidRDefault="00BE26EC" w:rsidP="00AE51F8">
            <w:pPr>
              <w:rPr>
                <w:rFonts w:asciiTheme="majorHAnsi" w:hAnsiTheme="majorHAnsi" w:cstheme="majorHAnsi"/>
                <w:sz w:val="22"/>
                <w:szCs w:val="22"/>
              </w:rPr>
            </w:pPr>
            <w:r>
              <w:rPr>
                <w:rFonts w:asciiTheme="majorHAnsi" w:hAnsiTheme="majorHAnsi" w:cstheme="majorHAnsi"/>
                <w:sz w:val="22"/>
                <w:szCs w:val="22"/>
              </w:rPr>
              <w:t>1. Establish a workgroup comprised of representatives from each eMERGE site that is reporting negative genomic test results.</w:t>
            </w:r>
          </w:p>
          <w:p w14:paraId="43AE8402" w14:textId="0C0A0FB4" w:rsidR="00BE26EC" w:rsidRDefault="00BE26EC" w:rsidP="00AE51F8">
            <w:pPr>
              <w:rPr>
                <w:rFonts w:asciiTheme="majorHAnsi" w:hAnsiTheme="majorHAnsi" w:cstheme="majorHAnsi"/>
                <w:sz w:val="22"/>
                <w:szCs w:val="22"/>
              </w:rPr>
            </w:pPr>
            <w:r>
              <w:rPr>
                <w:rFonts w:asciiTheme="majorHAnsi" w:hAnsiTheme="majorHAnsi" w:cstheme="majorHAnsi"/>
                <w:sz w:val="22"/>
                <w:szCs w:val="22"/>
              </w:rPr>
              <w:t>2. Gather materials related to the reporting of negative test results, including letters sent to participants, FAQ documents, and other educational support tools.</w:t>
            </w:r>
          </w:p>
          <w:p w14:paraId="790922B6" w14:textId="2C6DA1EF" w:rsidR="00BE26EC" w:rsidRDefault="00BE26EC" w:rsidP="00AE51F8">
            <w:pPr>
              <w:rPr>
                <w:rFonts w:asciiTheme="majorHAnsi" w:hAnsiTheme="majorHAnsi" w:cstheme="majorHAnsi"/>
                <w:sz w:val="22"/>
                <w:szCs w:val="22"/>
              </w:rPr>
            </w:pPr>
            <w:r>
              <w:rPr>
                <w:rFonts w:asciiTheme="majorHAnsi" w:hAnsiTheme="majorHAnsi" w:cstheme="majorHAnsi"/>
                <w:sz w:val="22"/>
                <w:szCs w:val="22"/>
              </w:rPr>
              <w:t>3. Gather additional information re the process adopted at each site, focusing on challenges encountered, questions received from participants and clinical colleagues, strategies that might be improved in future initiatives, and self-assessments of the process used at each site.</w:t>
            </w:r>
          </w:p>
          <w:p w14:paraId="40CD948F" w14:textId="77777777" w:rsidR="000A12A3" w:rsidRDefault="00BE26EC" w:rsidP="00AE51F8">
            <w:pPr>
              <w:rPr>
                <w:rFonts w:asciiTheme="majorHAnsi" w:hAnsiTheme="majorHAnsi" w:cstheme="majorHAnsi"/>
                <w:sz w:val="22"/>
                <w:szCs w:val="22"/>
              </w:rPr>
            </w:pPr>
            <w:r>
              <w:rPr>
                <w:rFonts w:asciiTheme="majorHAnsi" w:hAnsiTheme="majorHAnsi" w:cstheme="majorHAnsi"/>
                <w:sz w:val="22"/>
                <w:szCs w:val="22"/>
              </w:rPr>
              <w:t>4. Convene regular conference calls to synthesize these data into a network-wide statement on lessons learned regarding the reporting of negative test results.</w:t>
            </w:r>
          </w:p>
          <w:p w14:paraId="40461DB7" w14:textId="2C807B8C" w:rsidR="001069B3" w:rsidRPr="008673B8" w:rsidRDefault="001069B3" w:rsidP="001069B3">
            <w:pPr>
              <w:rPr>
                <w:rFonts w:asciiTheme="majorHAnsi" w:hAnsiTheme="majorHAnsi" w:cstheme="majorHAnsi"/>
                <w:sz w:val="22"/>
                <w:szCs w:val="22"/>
              </w:rPr>
            </w:pPr>
            <w:r>
              <w:rPr>
                <w:rFonts w:asciiTheme="majorHAnsi" w:hAnsiTheme="majorHAnsi" w:cstheme="majorHAnsi"/>
                <w:sz w:val="22"/>
                <w:szCs w:val="22"/>
              </w:rPr>
              <w:t>5. Additional efforts may focus on the assessment of provider experiences counseling patients about negative test results, in partnership with ongoing studies of provider views regarding the impact of genomic test results (Holm R01 grant).</w:t>
            </w: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6E859467" w:rsidR="00C367EC" w:rsidRPr="0074111E" w:rsidRDefault="00C367EC" w:rsidP="00AE51F8">
            <w:pPr>
              <w:rPr>
                <w:rFonts w:ascii="Calibri Light" w:hAnsi="Calibri Light"/>
                <w:b/>
                <w:sz w:val="22"/>
              </w:rPr>
            </w:pPr>
            <w:r w:rsidRPr="0074111E">
              <w:rPr>
                <w:rFonts w:ascii="Calibri Light" w:hAnsi="Calibri Light"/>
                <w:b/>
                <w:sz w:val="22"/>
              </w:rPr>
              <w:lastRenderedPageBreak/>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AE51F8">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6114A64E" w:rsidR="00C367EC" w:rsidRPr="00700246" w:rsidRDefault="00F7328D" w:rsidP="007002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0"/>
                  <w14:checkedState w14:val="2612" w14:font="MS Gothic"/>
                  <w14:uncheckedState w14:val="2610" w14:font="MS Gothic"/>
                </w14:checkbox>
              </w:sdtPr>
              <w:sdtEndPr/>
              <w:sdtContent>
                <w:r w:rsidR="00954A77" w:rsidRPr="00700246">
                  <w:rPr>
                    <w:rFonts w:ascii="MS Gothic" w:eastAsia="MS Gothic" w:hAnsi="MS Gothic" w:cstheme="majorHAnsi"/>
                    <w:sz w:val="22"/>
                    <w:szCs w:val="22"/>
                  </w:rPr>
                  <w:t>☐</w:t>
                </w:r>
              </w:sdtContent>
            </w:sdt>
            <w:r w:rsidR="00C367EC" w:rsidRPr="00700246">
              <w:rPr>
                <w:rFonts w:asciiTheme="majorHAnsi" w:hAnsiTheme="majorHAnsi" w:cstheme="majorHAnsi"/>
                <w:sz w:val="22"/>
                <w:szCs w:val="22"/>
              </w:rPr>
              <w:t xml:space="preserve">Demographics                               </w:t>
            </w:r>
          </w:p>
          <w:p w14:paraId="1611A790" w14:textId="64D879F4" w:rsidR="00C367EC" w:rsidRPr="00700246" w:rsidRDefault="00F7328D" w:rsidP="007002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ICD</w:t>
            </w:r>
            <w:r w:rsidR="001F3540" w:rsidRPr="00700246">
              <w:rPr>
                <w:rFonts w:asciiTheme="majorHAnsi" w:hAnsiTheme="majorHAnsi" w:cstheme="majorHAnsi"/>
                <w:sz w:val="22"/>
                <w:szCs w:val="22"/>
              </w:rPr>
              <w:t>9/10</w:t>
            </w:r>
            <w:r w:rsidR="00C367EC" w:rsidRPr="00700246">
              <w:rPr>
                <w:rFonts w:asciiTheme="majorHAnsi" w:hAnsiTheme="majorHAnsi" w:cstheme="majorHAnsi"/>
                <w:sz w:val="22"/>
                <w:szCs w:val="22"/>
              </w:rPr>
              <w:t xml:space="preserve"> codes</w:t>
            </w:r>
          </w:p>
          <w:p w14:paraId="3E560944" w14:textId="35AA1B95" w:rsidR="00C367EC" w:rsidRPr="00700246" w:rsidRDefault="00F7328D" w:rsidP="007002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CPT codes</w:t>
            </w:r>
          </w:p>
          <w:p w14:paraId="05AE5A43" w14:textId="0D9AF29A" w:rsidR="00C367EC" w:rsidRPr="00700246" w:rsidRDefault="00F7328D" w:rsidP="007002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proofErr w:type="spellStart"/>
            <w:r w:rsidR="00C367EC" w:rsidRPr="00700246">
              <w:rPr>
                <w:rFonts w:asciiTheme="majorHAnsi" w:hAnsiTheme="majorHAnsi" w:cstheme="majorHAnsi"/>
                <w:sz w:val="22"/>
                <w:szCs w:val="22"/>
              </w:rPr>
              <w:t>Phecodes</w:t>
            </w:r>
            <w:proofErr w:type="spellEnd"/>
          </w:p>
          <w:p w14:paraId="3A9ACBE3" w14:textId="009878D2" w:rsidR="00B845FF" w:rsidRPr="00700246" w:rsidRDefault="00F7328D" w:rsidP="007002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BMI</w:t>
            </w:r>
          </w:p>
        </w:tc>
        <w:tc>
          <w:tcPr>
            <w:tcW w:w="4132" w:type="dxa"/>
          </w:tcPr>
          <w:p w14:paraId="2574C661" w14:textId="48C71127" w:rsidR="00C367EC" w:rsidRPr="00700246" w:rsidRDefault="00F7328D" w:rsidP="007002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8B0CE2" w:rsidRPr="00700246">
              <w:rPr>
                <w:rFonts w:asciiTheme="majorHAnsi" w:hAnsiTheme="majorHAnsi" w:cstheme="majorHAnsi"/>
                <w:sz w:val="22"/>
                <w:szCs w:val="22"/>
              </w:rPr>
              <w:t>Common Variable</w:t>
            </w:r>
            <w:r w:rsidR="00702039" w:rsidRPr="00700246">
              <w:rPr>
                <w:rFonts w:asciiTheme="majorHAnsi" w:hAnsiTheme="majorHAnsi" w:cstheme="majorHAnsi"/>
                <w:sz w:val="22"/>
                <w:szCs w:val="22"/>
              </w:rPr>
              <w:t xml:space="preserve"> </w:t>
            </w:r>
            <w:r w:rsidR="00C367EC" w:rsidRPr="00700246">
              <w:rPr>
                <w:rFonts w:asciiTheme="majorHAnsi" w:hAnsiTheme="majorHAnsi" w:cstheme="majorHAnsi"/>
                <w:sz w:val="22"/>
                <w:szCs w:val="22"/>
              </w:rPr>
              <w:t>Labs</w:t>
            </w:r>
          </w:p>
          <w:p w14:paraId="0BEB2E50" w14:textId="2889A1A4" w:rsidR="00C367EC" w:rsidRPr="00700246" w:rsidRDefault="00F7328D" w:rsidP="007002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702039" w:rsidRPr="00700246">
              <w:rPr>
                <w:rFonts w:asciiTheme="majorHAnsi" w:hAnsiTheme="majorHAnsi" w:cstheme="majorHAnsi"/>
                <w:sz w:val="22"/>
                <w:szCs w:val="22"/>
              </w:rPr>
              <w:t>Common Variable Meds</w:t>
            </w:r>
          </w:p>
          <w:p w14:paraId="585C79F2" w14:textId="37C65CE3" w:rsidR="00C367EC" w:rsidRPr="00700246" w:rsidRDefault="00F7328D" w:rsidP="00700246">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B845FF" w:rsidRPr="00700246">
              <w:rPr>
                <w:rFonts w:asciiTheme="majorHAnsi" w:hAnsiTheme="majorHAnsi" w:cstheme="majorHAnsi"/>
                <w:sz w:val="22"/>
                <w:szCs w:val="22"/>
              </w:rPr>
              <w:t xml:space="preserve">Other: </w:t>
            </w:r>
            <w:r w:rsidR="00C367EC" w:rsidRPr="00700246">
              <w:rPr>
                <w:rFonts w:asciiTheme="majorHAnsi" w:hAnsiTheme="majorHAnsi" w:cstheme="majorHAnsi"/>
                <w:sz w:val="22"/>
                <w:szCs w:val="22"/>
              </w:rPr>
              <w:t>Case/Control status on Phase I and Phase II phenotypes</w:t>
            </w:r>
          </w:p>
          <w:p w14:paraId="6EBF0C4F" w14:textId="49342840" w:rsidR="00C367EC" w:rsidRPr="00376326" w:rsidRDefault="00C367EC" w:rsidP="00B845FF">
            <w:pPr>
              <w:pStyle w:val="ListParagraph"/>
              <w:rPr>
                <w:rFonts w:asciiTheme="majorHAnsi" w:hAnsiTheme="majorHAnsi" w:cstheme="majorHAnsi"/>
                <w:sz w:val="22"/>
                <w:szCs w:val="22"/>
              </w:rPr>
            </w:pPr>
          </w:p>
        </w:tc>
      </w:tr>
      <w:tr w:rsidR="0025109A" w:rsidRPr="005F7C97" w14:paraId="12AAA7B2" w14:textId="77777777" w:rsidTr="00AE51F8">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AE51F8">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36EDD4E" w14:textId="77777777" w:rsidR="0025109A" w:rsidRDefault="0025109A" w:rsidP="000B7654">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sidR="00D93D28">
              <w:rPr>
                <w:rFonts w:asciiTheme="majorHAnsi" w:hAnsiTheme="majorHAnsi" w:cstheme="majorHAnsi"/>
                <w:i/>
                <w:sz w:val="22"/>
                <w:szCs w:val="22"/>
              </w:rPr>
              <w:t>data elements</w:t>
            </w:r>
            <w:r w:rsidR="00D93D28" w:rsidRPr="000B7654">
              <w:rPr>
                <w:rFonts w:asciiTheme="majorHAnsi" w:hAnsiTheme="majorHAnsi" w:cstheme="majorHAnsi"/>
                <w:i/>
                <w:sz w:val="22"/>
                <w:szCs w:val="22"/>
              </w:rPr>
              <w:t xml:space="preserve"> </w:t>
            </w:r>
            <w:r w:rsidRPr="000B7654">
              <w:rPr>
                <w:rFonts w:asciiTheme="majorHAnsi" w:hAnsiTheme="majorHAnsi" w:cstheme="majorHAnsi"/>
                <w:i/>
                <w:sz w:val="22"/>
                <w:szCs w:val="22"/>
              </w:rPr>
              <w:t xml:space="preserve">that </w:t>
            </w:r>
            <w:r w:rsidR="00D93D28">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p w14:paraId="7F2CFA5C" w14:textId="77777777" w:rsidR="00BE26EC" w:rsidRDefault="00BE26EC" w:rsidP="000B7654">
            <w:pPr>
              <w:rPr>
                <w:rFonts w:asciiTheme="majorHAnsi" w:hAnsiTheme="majorHAnsi" w:cstheme="majorHAnsi"/>
                <w:i/>
                <w:sz w:val="22"/>
                <w:szCs w:val="22"/>
              </w:rPr>
            </w:pPr>
          </w:p>
          <w:p w14:paraId="01DCE786" w14:textId="7B8D9387" w:rsidR="00BE26EC" w:rsidRPr="00BE26EC" w:rsidRDefault="00BE26EC" w:rsidP="000B7654">
            <w:pPr>
              <w:rPr>
                <w:rFonts w:asciiTheme="majorHAnsi" w:hAnsiTheme="majorHAnsi" w:cstheme="majorHAnsi"/>
                <w:sz w:val="22"/>
                <w:szCs w:val="22"/>
              </w:rPr>
            </w:pPr>
            <w:r w:rsidRPr="00BE26EC">
              <w:rPr>
                <w:rFonts w:asciiTheme="majorHAnsi" w:hAnsiTheme="majorHAnsi" w:cstheme="majorHAnsi"/>
                <w:sz w:val="22"/>
                <w:szCs w:val="22"/>
              </w:rPr>
              <w:t>None</w:t>
            </w: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6B8812D7" w:rsidR="0093273D" w:rsidRPr="00700246" w:rsidRDefault="00F7328D" w:rsidP="007002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I-III Merged set (HRC imputed, GWAS)</w:t>
            </w:r>
          </w:p>
          <w:p w14:paraId="0175EB89" w14:textId="3D922147" w:rsidR="00376326" w:rsidRPr="00700246" w:rsidRDefault="00F7328D" w:rsidP="007002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proofErr w:type="spellStart"/>
            <w:r w:rsidR="00A14096" w:rsidRPr="00700246">
              <w:rPr>
                <w:rFonts w:asciiTheme="majorHAnsi" w:hAnsiTheme="majorHAnsi" w:cstheme="majorHAnsi"/>
                <w:sz w:val="22"/>
                <w:szCs w:val="22"/>
              </w:rPr>
              <w:t>eMERGE</w:t>
            </w:r>
            <w:proofErr w:type="spellEnd"/>
            <w:r w:rsidR="00A14096" w:rsidRPr="00700246">
              <w:rPr>
                <w:rFonts w:asciiTheme="majorHAnsi" w:hAnsiTheme="majorHAnsi" w:cstheme="majorHAnsi"/>
                <w:sz w:val="22"/>
                <w:szCs w:val="22"/>
              </w:rPr>
              <w:t xml:space="preserve"> </w:t>
            </w:r>
            <w:proofErr w:type="spellStart"/>
            <w:r w:rsidR="00A14096" w:rsidRPr="00700246">
              <w:rPr>
                <w:rFonts w:asciiTheme="majorHAnsi" w:hAnsiTheme="majorHAnsi" w:cstheme="majorHAnsi"/>
                <w:sz w:val="22"/>
                <w:szCs w:val="22"/>
              </w:rPr>
              <w:t>PGx</w:t>
            </w:r>
            <w:proofErr w:type="spellEnd"/>
            <w:r w:rsidR="00A14096" w:rsidRPr="00700246">
              <w:rPr>
                <w:rFonts w:asciiTheme="majorHAnsi" w:hAnsiTheme="majorHAnsi" w:cstheme="majorHAnsi"/>
                <w:sz w:val="22"/>
                <w:szCs w:val="22"/>
              </w:rPr>
              <w:t>/</w:t>
            </w:r>
            <w:proofErr w:type="spellStart"/>
            <w:r w:rsidR="00A14096" w:rsidRPr="00700246">
              <w:rPr>
                <w:rFonts w:asciiTheme="majorHAnsi" w:hAnsiTheme="majorHAnsi" w:cstheme="majorHAnsi"/>
                <w:sz w:val="22"/>
                <w:szCs w:val="22"/>
              </w:rPr>
              <w:t>PGRNseq</w:t>
            </w:r>
            <w:proofErr w:type="spellEnd"/>
            <w:r w:rsidR="00A14096" w:rsidRPr="00700246">
              <w:rPr>
                <w:rFonts w:asciiTheme="majorHAnsi" w:hAnsiTheme="majorHAnsi" w:cstheme="majorHAnsi"/>
                <w:sz w:val="22"/>
                <w:szCs w:val="22"/>
              </w:rPr>
              <w:t xml:space="preserve"> data set </w:t>
            </w:r>
          </w:p>
          <w:p w14:paraId="23D993BB" w14:textId="304F4EDC" w:rsidR="00376326" w:rsidRPr="00700246" w:rsidRDefault="00F7328D" w:rsidP="007002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proofErr w:type="spellStart"/>
            <w:r w:rsidR="00376326" w:rsidRPr="00700246">
              <w:rPr>
                <w:rFonts w:asciiTheme="majorHAnsi" w:hAnsiTheme="majorHAnsi" w:cstheme="majorHAnsi"/>
                <w:sz w:val="22"/>
                <w:szCs w:val="22"/>
              </w:rPr>
              <w:t>eMERGEseq</w:t>
            </w:r>
            <w:proofErr w:type="spellEnd"/>
            <w:r w:rsidR="00376326" w:rsidRPr="00700246">
              <w:rPr>
                <w:rFonts w:asciiTheme="majorHAnsi" w:hAnsiTheme="majorHAnsi" w:cstheme="majorHAnsi"/>
                <w:sz w:val="22"/>
                <w:szCs w:val="22"/>
              </w:rPr>
              <w:t xml:space="preserve"> data set (Phase III)</w:t>
            </w:r>
          </w:p>
          <w:p w14:paraId="6D051FCF" w14:textId="5B52B32F" w:rsidR="00376326" w:rsidRPr="00700246" w:rsidRDefault="00F7328D" w:rsidP="007002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w:t>
            </w:r>
            <w:r w:rsidR="0025109A" w:rsidRPr="00700246">
              <w:rPr>
                <w:rFonts w:asciiTheme="majorHAnsi" w:hAnsiTheme="majorHAnsi" w:cstheme="majorHAnsi"/>
                <w:sz w:val="22"/>
                <w:szCs w:val="22"/>
              </w:rPr>
              <w:t>o</w:t>
            </w:r>
            <w:r w:rsidR="00376326" w:rsidRPr="00700246">
              <w:rPr>
                <w:rFonts w:asciiTheme="majorHAnsi" w:hAnsiTheme="majorHAnsi" w:cstheme="majorHAnsi"/>
                <w:sz w:val="22"/>
                <w:szCs w:val="22"/>
              </w:rPr>
              <w:t>le Genome sequencing data set</w:t>
            </w:r>
          </w:p>
          <w:p w14:paraId="78A23A59" w14:textId="2BEA73FA" w:rsidR="00376326" w:rsidRPr="00700246" w:rsidRDefault="00F7328D" w:rsidP="007002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Exome chip data set</w:t>
            </w:r>
          </w:p>
          <w:p w14:paraId="4C7B91CA" w14:textId="066F231B" w:rsidR="00376326" w:rsidRPr="00700246" w:rsidRDefault="00F7328D" w:rsidP="007002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Whole Exome sequencing data set</w:t>
            </w:r>
          </w:p>
          <w:p w14:paraId="67DEFDB2" w14:textId="77777777" w:rsidR="00571D40" w:rsidRDefault="00F7328D" w:rsidP="007002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571D40" w:rsidRPr="00700246">
              <w:rPr>
                <w:rFonts w:asciiTheme="majorHAnsi" w:hAnsiTheme="majorHAnsi" w:cstheme="majorHAnsi"/>
                <w:sz w:val="22"/>
                <w:szCs w:val="22"/>
              </w:rPr>
              <w:t>Other (not listed above):</w:t>
            </w:r>
          </w:p>
          <w:p w14:paraId="02A57161" w14:textId="6B9C31BE" w:rsidR="00F7328D" w:rsidRPr="00700246" w:rsidRDefault="00F7328D" w:rsidP="00700246">
            <w:pPr>
              <w:rPr>
                <w:rFonts w:asciiTheme="majorHAnsi" w:hAnsiTheme="majorHAnsi" w:cstheme="majorHAnsi"/>
                <w:sz w:val="22"/>
                <w:szCs w:val="22"/>
              </w:rPr>
            </w:pPr>
            <w:r>
              <w:rPr>
                <w:rFonts w:asciiTheme="majorHAnsi" w:hAnsiTheme="majorHAnsi" w:cstheme="majorHAnsi"/>
                <w:sz w:val="22"/>
                <w:szCs w:val="22"/>
              </w:rPr>
              <w:t>NONE</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AE51F8">
            <w:pPr>
              <w:rPr>
                <w:rFonts w:ascii="Calibri Light" w:hAnsi="Calibri Light"/>
                <w:b/>
                <w:sz w:val="22"/>
              </w:rPr>
            </w:pPr>
            <w:r>
              <w:rPr>
                <w:rFonts w:ascii="Calibri Light" w:hAnsi="Calibri Light"/>
                <w:b/>
                <w:sz w:val="22"/>
              </w:rPr>
              <w:t>Does project pertain to an existing eMERGE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4382899F" w:rsidR="0063131E" w:rsidRPr="00700246" w:rsidRDefault="00F7328D" w:rsidP="007002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 xml:space="preserve">Yes, if so please list                               </w:t>
            </w:r>
          </w:p>
          <w:p w14:paraId="2C71B567" w14:textId="6245A610" w:rsidR="0063131E" w:rsidRPr="00700246" w:rsidRDefault="00BE26EC" w:rsidP="00700246">
            <w:pPr>
              <w:rPr>
                <w:rFonts w:asciiTheme="majorHAnsi" w:hAnsiTheme="majorHAnsi" w:cstheme="majorHAnsi"/>
                <w:sz w:val="22"/>
                <w:szCs w:val="22"/>
              </w:rPr>
            </w:pPr>
            <w:r>
              <w:rPr>
                <w:rFonts w:asciiTheme="majorHAnsi" w:hAnsiTheme="majorHAnsi" w:cstheme="majorHAnsi"/>
                <w:sz w:val="22"/>
                <w:szCs w:val="22"/>
              </w:rPr>
              <w:t xml:space="preserve">X  </w:t>
            </w:r>
            <w:r w:rsidR="0063131E" w:rsidRPr="00700246">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AE51F8">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2500B1F5" w:rsidR="0093273D" w:rsidRPr="008673B8" w:rsidRDefault="00BE26EC" w:rsidP="00AE51F8">
            <w:pPr>
              <w:rPr>
                <w:rFonts w:asciiTheme="majorHAnsi" w:hAnsiTheme="majorHAnsi" w:cstheme="majorHAnsi"/>
                <w:sz w:val="22"/>
                <w:szCs w:val="22"/>
              </w:rPr>
            </w:pPr>
            <w:r>
              <w:rPr>
                <w:rFonts w:asciiTheme="majorHAnsi" w:hAnsiTheme="majorHAnsi" w:cstheme="majorHAnsi"/>
                <w:sz w:val="22"/>
                <w:szCs w:val="22"/>
              </w:rPr>
              <w:t>None, the project will be descriptive of practices across eMERGE sites.</w:t>
            </w:r>
          </w:p>
          <w:p w14:paraId="18EFD397" w14:textId="3C70010D" w:rsidR="0093273D" w:rsidRDefault="0093273D" w:rsidP="00AE51F8">
            <w:pPr>
              <w:rPr>
                <w:rFonts w:asciiTheme="majorHAnsi" w:hAnsiTheme="majorHAnsi" w:cstheme="majorHAnsi"/>
                <w:sz w:val="22"/>
                <w:szCs w:val="22"/>
              </w:rPr>
            </w:pPr>
          </w:p>
          <w:p w14:paraId="13608534" w14:textId="77777777" w:rsidR="000A12A3" w:rsidRPr="008673B8" w:rsidRDefault="000A12A3" w:rsidP="00AE51F8">
            <w:pPr>
              <w:rPr>
                <w:rFonts w:asciiTheme="majorHAnsi" w:hAnsiTheme="majorHAnsi" w:cstheme="majorHAnsi"/>
                <w:sz w:val="22"/>
                <w:szCs w:val="22"/>
              </w:rPr>
            </w:pPr>
          </w:p>
          <w:p w14:paraId="43950299" w14:textId="77777777" w:rsidR="0093273D" w:rsidRPr="008673B8" w:rsidRDefault="0093273D" w:rsidP="00AE51F8">
            <w:pPr>
              <w:rPr>
                <w:rFonts w:asciiTheme="majorHAnsi" w:hAnsiTheme="majorHAnsi" w:cstheme="majorHAnsi"/>
                <w:sz w:val="22"/>
                <w:szCs w:val="22"/>
              </w:rPr>
            </w:pP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26B7C2A5" w:rsidR="0093273D" w:rsidRPr="008673B8" w:rsidRDefault="00BE26EC" w:rsidP="00AE51F8">
            <w:pPr>
              <w:rPr>
                <w:rFonts w:asciiTheme="majorHAnsi" w:hAnsiTheme="majorHAnsi" w:cstheme="majorHAnsi"/>
                <w:sz w:val="22"/>
                <w:szCs w:val="22"/>
              </w:rPr>
            </w:pPr>
            <w:r>
              <w:rPr>
                <w:rFonts w:asciiTheme="majorHAnsi" w:hAnsiTheme="majorHAnsi" w:cstheme="majorHAnsi"/>
                <w:sz w:val="22"/>
                <w:szCs w:val="22"/>
              </w:rPr>
              <w:t>None</w:t>
            </w:r>
          </w:p>
          <w:p w14:paraId="4E264CE2" w14:textId="77777777" w:rsidR="0093273D" w:rsidRPr="008673B8" w:rsidRDefault="0093273D" w:rsidP="00AE51F8">
            <w:pPr>
              <w:rPr>
                <w:rFonts w:asciiTheme="majorHAnsi" w:hAnsiTheme="majorHAnsi" w:cstheme="majorHAnsi"/>
                <w:sz w:val="22"/>
                <w:szCs w:val="22"/>
              </w:rPr>
            </w:pP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AE51F8">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72B30815" w:rsidR="000A12A3" w:rsidRPr="008673B8" w:rsidRDefault="00BE26EC" w:rsidP="00AE51F8">
            <w:pPr>
              <w:rPr>
                <w:rFonts w:asciiTheme="majorHAnsi" w:hAnsiTheme="majorHAnsi" w:cstheme="majorHAnsi"/>
                <w:sz w:val="22"/>
                <w:szCs w:val="22"/>
              </w:rPr>
            </w:pPr>
            <w:r>
              <w:rPr>
                <w:rFonts w:asciiTheme="majorHAnsi" w:hAnsiTheme="majorHAnsi" w:cstheme="majorHAnsi"/>
                <w:sz w:val="22"/>
                <w:szCs w:val="22"/>
              </w:rPr>
              <w:t>Genetics in Medicine; Journal of Medical Genetics; or similar.</w:t>
            </w: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AE51F8">
            <w:pPr>
              <w:rPr>
                <w:rFonts w:ascii="Calibri Light" w:hAnsi="Calibri Light"/>
                <w:b/>
                <w:sz w:val="22"/>
              </w:rPr>
            </w:pPr>
          </w:p>
          <w:p w14:paraId="5203358F" w14:textId="77777777" w:rsidR="0093273D" w:rsidRDefault="00376326" w:rsidP="00AE51F8">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AE51F8">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94A0D28" w14:textId="77777777" w:rsidR="0093273D" w:rsidRDefault="0093273D" w:rsidP="00AE51F8">
            <w:pPr>
              <w:rPr>
                <w:rFonts w:asciiTheme="majorHAnsi" w:hAnsiTheme="majorHAnsi" w:cstheme="majorHAnsi"/>
                <w:sz w:val="22"/>
                <w:szCs w:val="22"/>
              </w:rPr>
            </w:pPr>
          </w:p>
          <w:p w14:paraId="616476E1" w14:textId="77777777" w:rsidR="00BE26EC" w:rsidRDefault="00BE26EC" w:rsidP="00AE51F8">
            <w:pPr>
              <w:rPr>
                <w:rFonts w:asciiTheme="majorHAnsi" w:hAnsiTheme="majorHAnsi" w:cstheme="majorHAnsi"/>
                <w:sz w:val="22"/>
                <w:szCs w:val="22"/>
              </w:rPr>
            </w:pPr>
            <w:r>
              <w:rPr>
                <w:rFonts w:asciiTheme="majorHAnsi" w:hAnsiTheme="majorHAnsi" w:cstheme="majorHAnsi"/>
                <w:sz w:val="22"/>
                <w:szCs w:val="22"/>
              </w:rPr>
              <w:t>Data collection phases of the project to be completed by April 30.</w:t>
            </w:r>
          </w:p>
          <w:p w14:paraId="4089201E" w14:textId="72F25C76" w:rsidR="00BE26EC" w:rsidRPr="008673B8" w:rsidRDefault="00BE26EC" w:rsidP="00BE26EC">
            <w:pPr>
              <w:rPr>
                <w:rFonts w:asciiTheme="majorHAnsi" w:hAnsiTheme="majorHAnsi" w:cstheme="majorHAnsi"/>
                <w:sz w:val="22"/>
                <w:szCs w:val="22"/>
              </w:rPr>
            </w:pPr>
            <w:r>
              <w:rPr>
                <w:rFonts w:asciiTheme="majorHAnsi" w:hAnsiTheme="majorHAnsi" w:cstheme="majorHAnsi"/>
                <w:sz w:val="22"/>
                <w:szCs w:val="22"/>
              </w:rPr>
              <w:t>Manuscript submission to be completed by June 30, 2019.</w:t>
            </w:r>
          </w:p>
        </w:tc>
      </w:tr>
    </w:tbl>
    <w:p w14:paraId="4BF2BAC8" w14:textId="6631750C" w:rsidR="00AE51F8" w:rsidRDefault="00AE51F8"/>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xml:space="preserve">: (repeated values &amp; age at event): ICD, CPT, </w:t>
      </w:r>
      <w:proofErr w:type="spellStart"/>
      <w:r>
        <w:rPr>
          <w:rFonts w:ascii="Calibri" w:hAnsi="Calibri" w:cs="Calibri"/>
          <w:sz w:val="22"/>
          <w:szCs w:val="22"/>
        </w:rPr>
        <w:t>Phecodes</w:t>
      </w:r>
      <w:proofErr w:type="spellEnd"/>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 xml:space="preserve">Cerivastatin sodium, Rosuvastatin, Simvastatin, Fluvastatin, Pravastatin, Lovastatin, Atorvastatin, &amp; </w:t>
      </w:r>
      <w:proofErr w:type="spellStart"/>
      <w:r w:rsidRPr="00B845FF">
        <w:rPr>
          <w:rFonts w:asciiTheme="majorHAnsi" w:hAnsiTheme="majorHAnsi" w:cstheme="majorHAnsi"/>
          <w:sz w:val="22"/>
          <w:szCs w:val="22"/>
        </w:rPr>
        <w:t>Pitavastatin</w:t>
      </w:r>
      <w:proofErr w:type="spellEnd"/>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D0CE0" w14:textId="77777777" w:rsidR="003A6117" w:rsidRDefault="003A6117" w:rsidP="0093273D">
      <w:r>
        <w:separator/>
      </w:r>
    </w:p>
  </w:endnote>
  <w:endnote w:type="continuationSeparator" w:id="0">
    <w:p w14:paraId="0A39A43A" w14:textId="77777777" w:rsidR="003A6117" w:rsidRDefault="003A6117"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3A5FD304" w:rsidR="00AE51F8" w:rsidRPr="0093273D" w:rsidRDefault="00AE51F8">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642D01">
          <w:rPr>
            <w:rFonts w:asciiTheme="majorHAnsi" w:hAnsiTheme="majorHAnsi"/>
            <w:noProof/>
            <w:sz w:val="22"/>
          </w:rPr>
          <w:t>1</w:t>
        </w:r>
        <w:r w:rsidRPr="0093273D">
          <w:rPr>
            <w:rFonts w:asciiTheme="majorHAnsi" w:hAnsiTheme="majorHAnsi"/>
            <w:noProof/>
            <w:sz w:val="22"/>
          </w:rPr>
          <w:fldChar w:fldCharType="end"/>
        </w:r>
      </w:p>
    </w:sdtContent>
  </w:sdt>
  <w:p w14:paraId="6C1BB607" w14:textId="77777777" w:rsidR="00AE51F8" w:rsidRDefault="00AE5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37830" w14:textId="77777777" w:rsidR="003A6117" w:rsidRDefault="003A6117" w:rsidP="0093273D">
      <w:r>
        <w:separator/>
      </w:r>
    </w:p>
  </w:footnote>
  <w:footnote w:type="continuationSeparator" w:id="0">
    <w:p w14:paraId="1BF0B4F3" w14:textId="77777777" w:rsidR="003A6117" w:rsidRDefault="003A6117"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8B53" w14:textId="77777777" w:rsidR="00AE51F8" w:rsidRDefault="00AE51F8">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3D"/>
    <w:rsid w:val="000A12A3"/>
    <w:rsid w:val="000B7654"/>
    <w:rsid w:val="001069B3"/>
    <w:rsid w:val="00117500"/>
    <w:rsid w:val="001F3540"/>
    <w:rsid w:val="0025109A"/>
    <w:rsid w:val="002F1BD6"/>
    <w:rsid w:val="00376326"/>
    <w:rsid w:val="003A6117"/>
    <w:rsid w:val="003F367E"/>
    <w:rsid w:val="004D7F55"/>
    <w:rsid w:val="00571D40"/>
    <w:rsid w:val="00594CF3"/>
    <w:rsid w:val="00595E27"/>
    <w:rsid w:val="00614403"/>
    <w:rsid w:val="006166BF"/>
    <w:rsid w:val="00625689"/>
    <w:rsid w:val="0063131E"/>
    <w:rsid w:val="00642D01"/>
    <w:rsid w:val="006A0EA5"/>
    <w:rsid w:val="00700246"/>
    <w:rsid w:val="00702039"/>
    <w:rsid w:val="007F3F81"/>
    <w:rsid w:val="008673B8"/>
    <w:rsid w:val="008B0CE2"/>
    <w:rsid w:val="00900D3C"/>
    <w:rsid w:val="0093273D"/>
    <w:rsid w:val="00954A77"/>
    <w:rsid w:val="00A14096"/>
    <w:rsid w:val="00A43734"/>
    <w:rsid w:val="00A674F0"/>
    <w:rsid w:val="00A726E3"/>
    <w:rsid w:val="00AE51F8"/>
    <w:rsid w:val="00AF586E"/>
    <w:rsid w:val="00B67A4E"/>
    <w:rsid w:val="00B845FF"/>
    <w:rsid w:val="00BD1431"/>
    <w:rsid w:val="00BE26EC"/>
    <w:rsid w:val="00BE3C53"/>
    <w:rsid w:val="00BF373C"/>
    <w:rsid w:val="00C367EC"/>
    <w:rsid w:val="00D773F7"/>
    <w:rsid w:val="00D93D28"/>
    <w:rsid w:val="00E7007E"/>
    <w:rsid w:val="00F7328D"/>
    <w:rsid w:val="00FD4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F1748B2"/>
  <w15:docId w15:val="{4B899FB8-1177-6C46-A652-95410E89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0B662-26ED-40DF-B740-57C79B962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667</Words>
  <Characters>3808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City, Brittany</cp:lastModifiedBy>
  <cp:revision>2</cp:revision>
  <dcterms:created xsi:type="dcterms:W3CDTF">2019-02-27T15:16:00Z</dcterms:created>
  <dcterms:modified xsi:type="dcterms:W3CDTF">2019-02-27T15:16:00Z</dcterms:modified>
</cp:coreProperties>
</file>