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07380F2C" w:rsidR="0093273D" w:rsidRPr="008673B8" w:rsidRDefault="0057185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NT335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90609E5" w:rsidR="0093273D" w:rsidRPr="008673B8" w:rsidRDefault="0038004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March 7, 2019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5CFC235E" w:rsidR="0093273D" w:rsidRPr="008673B8" w:rsidRDefault="008C5E9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Eva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2"/>
                <w:szCs w:val="22"/>
              </w:rPr>
              <w:t>luating the</w:t>
            </w:r>
            <w:r w:rsidR="00E53F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E5C5B">
              <w:rPr>
                <w:rFonts w:asciiTheme="majorHAnsi" w:hAnsiTheme="majorHAnsi" w:cstheme="majorHAnsi"/>
                <w:sz w:val="22"/>
                <w:szCs w:val="22"/>
              </w:rPr>
              <w:t xml:space="preserve">‘Star Allele’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PGx </w:t>
            </w:r>
            <w:r w:rsidR="007E5C5B">
              <w:rPr>
                <w:rFonts w:asciiTheme="majorHAnsi" w:hAnsiTheme="majorHAnsi" w:cstheme="majorHAnsi"/>
                <w:sz w:val="22"/>
                <w:szCs w:val="22"/>
              </w:rPr>
              <w:t>nomenclature stan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dard in the context of automated interpretation of panel, exome, and genome sequencing results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6A7D210C" w:rsidR="0093273D" w:rsidRPr="008673B8" w:rsidRDefault="00E53F6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Adam Gordon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7912772" w:rsidR="0093273D" w:rsidRPr="008673B8" w:rsidRDefault="00E53F6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Bob Freimuth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91A6A9" w14:textId="3D745CAF" w:rsidR="0093273D" w:rsidRPr="008673B8" w:rsidRDefault="0057185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Any interested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members</w:t>
            </w:r>
          </w:p>
          <w:p w14:paraId="6DB36893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4CE5AB73" w:rsidR="0093273D" w:rsidRPr="008673B8" w:rsidRDefault="00E53F6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</w:t>
            </w:r>
            <w:r w:rsidR="005718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71859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571859">
              <w:rPr>
                <w:rFonts w:asciiTheme="majorHAnsi" w:hAnsiTheme="majorHAnsi" w:cstheme="majorHAnsi"/>
                <w:sz w:val="22"/>
                <w:szCs w:val="22"/>
              </w:rPr>
              <w:t xml:space="preserve"> sites</w:t>
            </w:r>
          </w:p>
          <w:p w14:paraId="07C5FDB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B9B8CB2" w14:textId="49753848" w:rsidR="007E5C5B" w:rsidRDefault="007E5C5B" w:rsidP="003A14B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     </w:t>
            </w:r>
            <w:r w:rsidR="00E53F6D" w:rsidRP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 process of translating an individual’s genotype data, NGS-derived or otherwise, into a specific combination of star alleles for interpretation relies heavily on a curated set of allele definition tables.</w:t>
            </w:r>
            <w:r w:rsid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Despite their widespread use, star alleles </w:t>
            </w:r>
            <w:r w:rsidR="00E53F6D" w:rsidRP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 not inherently convey how each named allele differs from the human reference: a ‘*4’ allele could mean a single missense mutation, a haplotype of several variants, a whole gene duplication, or even no difference from the reference at all. This means that reporting a star allele may erroneously imply that genotype is known at sites that weren’t tested, particularly for star alleles defined by a single SNV</w:t>
            </w:r>
            <w:r w:rsid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0B4AED0C" w14:textId="77777777" w:rsidR="00510ADC" w:rsidRDefault="007E5C5B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      </w:t>
            </w:r>
            <w:r w:rsidR="00E53F6D" w:rsidRP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Although careful curation and communication of allele definition tables could mitigate some of these issues, the </w:t>
            </w:r>
            <w:r w:rsid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influx</w:t>
            </w:r>
            <w:r w:rsidR="00E53F6D" w:rsidRP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of new variants</w:t>
            </w:r>
            <w:r w:rsidR="006B7C4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</w:t>
            </w:r>
            <w:r w:rsidR="003A14B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alleles</w:t>
            </w:r>
            <w:r w:rsidR="00E53F6D" w:rsidRP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requiring </w:t>
            </w:r>
            <w:r w:rsid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committee naming and </w:t>
            </w:r>
            <w:r w:rsidR="00E53F6D" w:rsidRP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curation will quickly become unmanageable as we continue to sequence thousands of individuals from diverse populations, many of which were not well represented in early research efforts from which the</w:t>
            </w:r>
            <w:r w:rsid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 tables derive</w:t>
            </w:r>
            <w:r w:rsidR="00E53F6D" w:rsidRPr="00E53F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DD1F0B" w:rsidRPr="00DD1F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Despite these inherent structural issues, the star allele system continues to pervade clinical pharmacogenetics, primarily via translation of individual genotypes in standardized genotyping or NGS reports into</w:t>
            </w:r>
            <w:r w:rsidR="00DD1F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the historical star system</w:t>
            </w:r>
            <w:r w:rsidR="00DD1F0B" w:rsidRPr="00DD1F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 Though this translation step is becoming increasingly common, and increasingly automated, errors introduced by this proces</w:t>
            </w:r>
            <w:r w:rsidR="00313C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 have never been quantified, </w:t>
            </w:r>
            <w:r w:rsidR="00DD1F0B" w:rsidRPr="00DD1F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described</w:t>
            </w:r>
            <w:r w:rsidR="00313C2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and contrasted across sequencing platforms.</w:t>
            </w:r>
            <w:r w:rsidR="00DE087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Thus, u</w:t>
            </w:r>
            <w:r w:rsidR="00DE087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nderstanding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</w:t>
            </w:r>
            <w:r w:rsidR="00DE087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sources of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error</w:t>
            </w:r>
            <w:r w:rsidR="00DE087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uncertainty introduced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by attempts to harmonize contemporary genomic standards with</w:t>
            </w:r>
            <w:r w:rsidR="00DE087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the historical standard of the star system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is critical as the field continues to move rapidly towards broad, algorithmic, CDS-linked implementation of pharmacogenetic results.</w:t>
            </w:r>
            <w:r w:rsidR="008C5E9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3CD7DE62" w14:textId="76657736" w:rsidR="0093273D" w:rsidRPr="008673B8" w:rsidRDefault="00510ADC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      </w:t>
            </w:r>
            <w:r w:rsidR="009F64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As a proof-of-concept, </w:t>
            </w:r>
            <w:r w:rsidR="009F6478">
              <w:rPr>
                <w:rFonts w:asciiTheme="majorHAnsi" w:hAnsiTheme="majorHAnsi" w:cstheme="majorHAnsi"/>
                <w:sz w:val="22"/>
                <w:szCs w:val="22"/>
              </w:rPr>
              <w:t xml:space="preserve">we previously developed the algorithm to assign star alleles from phased NGS </w:t>
            </w:r>
            <w:proofErr w:type="gramStart"/>
            <w:r w:rsidR="009F6478">
              <w:rPr>
                <w:rFonts w:asciiTheme="majorHAnsi" w:hAnsiTheme="majorHAnsi" w:cstheme="majorHAnsi"/>
                <w:sz w:val="22"/>
                <w:szCs w:val="22"/>
              </w:rPr>
              <w:t>data, and</w:t>
            </w:r>
            <w:proofErr w:type="gramEnd"/>
            <w:r w:rsidR="009F6478">
              <w:rPr>
                <w:rFonts w:asciiTheme="majorHAnsi" w:hAnsiTheme="majorHAnsi" w:cstheme="majorHAnsi"/>
                <w:sz w:val="22"/>
                <w:szCs w:val="22"/>
              </w:rPr>
              <w:t xml:space="preserve"> applied it to whole-exome sequencing data from NHLBI-ESP as a roadmap. </w:t>
            </w:r>
            <w:r w:rsidR="00B51BE6">
              <w:rPr>
                <w:rFonts w:asciiTheme="majorHAnsi" w:hAnsiTheme="majorHAnsi" w:cstheme="majorHAnsi"/>
                <w:sz w:val="22"/>
                <w:szCs w:val="22"/>
              </w:rPr>
              <w:t xml:space="preserve">These analyses </w:t>
            </w:r>
            <w:r w:rsidR="00981F81">
              <w:rPr>
                <w:rFonts w:asciiTheme="majorHAnsi" w:hAnsiTheme="majorHAnsi" w:cstheme="majorHAnsi"/>
                <w:sz w:val="22"/>
                <w:szCs w:val="22"/>
              </w:rPr>
              <w:t>uncovered</w:t>
            </w:r>
            <w:r w:rsidR="00B51BE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81F81">
              <w:rPr>
                <w:rFonts w:asciiTheme="majorHAnsi" w:hAnsiTheme="majorHAnsi" w:cstheme="majorHAnsi"/>
                <w:sz w:val="22"/>
                <w:szCs w:val="22"/>
              </w:rPr>
              <w:t>a considerable</w:t>
            </w:r>
            <w:r w:rsidR="00B51BE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81F81">
              <w:rPr>
                <w:rFonts w:asciiTheme="majorHAnsi" w:hAnsiTheme="majorHAnsi" w:cstheme="majorHAnsi"/>
                <w:sz w:val="22"/>
                <w:szCs w:val="22"/>
              </w:rPr>
              <w:t xml:space="preserve">amount of </w:t>
            </w:r>
            <w:r w:rsidR="006B7C40">
              <w:rPr>
                <w:rFonts w:asciiTheme="majorHAnsi" w:hAnsiTheme="majorHAnsi" w:cstheme="majorHAnsi"/>
                <w:sz w:val="22"/>
                <w:szCs w:val="22"/>
              </w:rPr>
              <w:t xml:space="preserve">haplotype </w:t>
            </w:r>
            <w:r w:rsidR="00981F81">
              <w:rPr>
                <w:rFonts w:asciiTheme="majorHAnsi" w:hAnsiTheme="majorHAnsi" w:cstheme="majorHAnsi"/>
                <w:sz w:val="22"/>
                <w:szCs w:val="22"/>
              </w:rPr>
              <w:t xml:space="preserve">translation </w:t>
            </w:r>
            <w:r w:rsidR="006B7C40">
              <w:rPr>
                <w:rFonts w:asciiTheme="majorHAnsi" w:hAnsiTheme="majorHAnsi" w:cstheme="majorHAnsi"/>
                <w:sz w:val="22"/>
                <w:szCs w:val="22"/>
              </w:rPr>
              <w:t>&amp; match errors</w:t>
            </w:r>
            <w:r w:rsidR="00981F8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73566">
              <w:rPr>
                <w:rFonts w:asciiTheme="majorHAnsi" w:hAnsiTheme="majorHAnsi" w:cstheme="majorHAnsi"/>
                <w:sz w:val="22"/>
                <w:szCs w:val="22"/>
              </w:rPr>
              <w:t>among</w:t>
            </w:r>
            <w:r w:rsidR="00981F81">
              <w:rPr>
                <w:rFonts w:asciiTheme="majorHAnsi" w:hAnsiTheme="majorHAnsi" w:cstheme="majorHAnsi"/>
                <w:sz w:val="22"/>
                <w:szCs w:val="22"/>
              </w:rPr>
              <w:t xml:space="preserve"> 5 key </w:t>
            </w:r>
            <w:proofErr w:type="spellStart"/>
            <w:r w:rsidR="00981F81">
              <w:rPr>
                <w:rFonts w:asciiTheme="majorHAnsi" w:hAnsiTheme="majorHAnsi" w:cstheme="majorHAnsi"/>
                <w:sz w:val="22"/>
                <w:szCs w:val="22"/>
              </w:rPr>
              <w:t>pharmacogenes</w:t>
            </w:r>
            <w:proofErr w:type="spellEnd"/>
            <w:r w:rsidR="00981F8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51BE6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B51BE6" w:rsidRPr="00FF21CA">
              <w:rPr>
                <w:rFonts w:asciiTheme="majorHAnsi" w:hAnsiTheme="majorHAnsi" w:cstheme="majorHAnsi"/>
                <w:i/>
                <w:sz w:val="22"/>
                <w:szCs w:val="22"/>
              </w:rPr>
              <w:t>TPMT</w:t>
            </w:r>
            <w:r w:rsidR="00B51BE6" w:rsidRPr="00FF21C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B51BE6" w:rsidRPr="00FF21CA">
              <w:rPr>
                <w:rFonts w:asciiTheme="majorHAnsi" w:hAnsiTheme="majorHAnsi" w:cstheme="majorHAnsi"/>
                <w:i/>
                <w:sz w:val="22"/>
                <w:szCs w:val="22"/>
              </w:rPr>
              <w:t>CYP2C9</w:t>
            </w:r>
            <w:r w:rsidR="00B51BE6" w:rsidRPr="00FF21C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B51BE6" w:rsidRPr="00FF21CA">
              <w:rPr>
                <w:rFonts w:asciiTheme="majorHAnsi" w:hAnsiTheme="majorHAnsi" w:cstheme="majorHAnsi"/>
                <w:i/>
                <w:sz w:val="22"/>
                <w:szCs w:val="22"/>
              </w:rPr>
              <w:t>CYP2C19</w:t>
            </w:r>
            <w:r w:rsidR="00B51BE6" w:rsidRPr="00FF21C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B51BE6" w:rsidRPr="00FF21CA">
              <w:rPr>
                <w:rFonts w:asciiTheme="majorHAnsi" w:hAnsiTheme="majorHAnsi" w:cstheme="majorHAnsi"/>
                <w:i/>
                <w:sz w:val="22"/>
                <w:szCs w:val="22"/>
              </w:rPr>
              <w:t>CYP3A5</w:t>
            </w:r>
            <w:r w:rsidR="00B51BE6" w:rsidRPr="00FF21CA">
              <w:rPr>
                <w:rFonts w:asciiTheme="majorHAnsi" w:hAnsiTheme="majorHAnsi" w:cstheme="majorHAnsi"/>
                <w:sz w:val="22"/>
                <w:szCs w:val="22"/>
              </w:rPr>
              <w:t xml:space="preserve">, and </w:t>
            </w:r>
            <w:r w:rsidR="00B51BE6" w:rsidRPr="00FF21CA">
              <w:rPr>
                <w:rFonts w:asciiTheme="majorHAnsi" w:hAnsiTheme="majorHAnsi" w:cstheme="majorHAnsi"/>
                <w:i/>
                <w:sz w:val="22"/>
                <w:szCs w:val="22"/>
              </w:rPr>
              <w:t>SLCO1B1</w:t>
            </w:r>
            <w:r w:rsidR="00B51BE6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6B7C40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7530E8">
              <w:rPr>
                <w:rFonts w:asciiTheme="majorHAnsi" w:hAnsiTheme="majorHAnsi" w:cstheme="majorHAnsi"/>
                <w:sz w:val="22"/>
                <w:szCs w:val="22"/>
              </w:rPr>
              <w:t>and</w:t>
            </w:r>
            <w:r w:rsidR="006B7C40">
              <w:rPr>
                <w:rFonts w:asciiTheme="majorHAnsi" w:hAnsiTheme="majorHAnsi" w:cstheme="majorHAnsi"/>
                <w:sz w:val="22"/>
                <w:szCs w:val="22"/>
              </w:rPr>
              <w:t>, notably,</w:t>
            </w:r>
            <w:r w:rsidR="007530E8">
              <w:rPr>
                <w:rFonts w:asciiTheme="majorHAnsi" w:hAnsiTheme="majorHAnsi" w:cstheme="majorHAnsi"/>
                <w:sz w:val="22"/>
                <w:szCs w:val="22"/>
              </w:rPr>
              <w:t xml:space="preserve"> that</w:t>
            </w:r>
            <w:r w:rsidR="00D73566">
              <w:rPr>
                <w:rFonts w:asciiTheme="majorHAnsi" w:hAnsiTheme="majorHAnsi" w:cstheme="majorHAnsi"/>
                <w:sz w:val="22"/>
                <w:szCs w:val="22"/>
              </w:rPr>
              <w:t xml:space="preserve"> the distribution of these errors differs considerably across genes</w:t>
            </w:r>
            <w:r w:rsidR="007530E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73566">
              <w:rPr>
                <w:rFonts w:asciiTheme="majorHAnsi" w:hAnsiTheme="majorHAnsi" w:cstheme="majorHAnsi"/>
                <w:sz w:val="22"/>
                <w:szCs w:val="22"/>
              </w:rPr>
              <w:t xml:space="preserve">when </w:t>
            </w:r>
            <w:r w:rsidR="006B7C40">
              <w:rPr>
                <w:rFonts w:asciiTheme="majorHAnsi" w:hAnsiTheme="majorHAnsi" w:cstheme="majorHAnsi"/>
                <w:sz w:val="22"/>
                <w:szCs w:val="22"/>
              </w:rPr>
              <w:t xml:space="preserve">stratifying by patient ancestry </w:t>
            </w:r>
            <w:r w:rsidR="007530E8">
              <w:rPr>
                <w:rFonts w:asciiTheme="majorHAnsi" w:hAnsiTheme="majorHAnsi" w:cstheme="majorHAnsi"/>
                <w:sz w:val="22"/>
                <w:szCs w:val="22"/>
              </w:rPr>
              <w:t>and</w:t>
            </w:r>
            <w:r w:rsidR="006B7C40">
              <w:rPr>
                <w:rFonts w:asciiTheme="majorHAnsi" w:hAnsiTheme="majorHAnsi" w:cstheme="majorHAnsi"/>
                <w:sz w:val="22"/>
                <w:szCs w:val="22"/>
              </w:rPr>
              <w:t xml:space="preserve"> type of erro</w:t>
            </w:r>
            <w:r w:rsidR="007530E8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6B7C40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9F6478">
              <w:rPr>
                <w:rFonts w:asciiTheme="majorHAnsi" w:hAnsiTheme="majorHAnsi" w:cstheme="majorHAnsi"/>
                <w:sz w:val="22"/>
                <w:szCs w:val="22"/>
              </w:rPr>
              <w:t xml:space="preserve">From our preliminary experiences with this dataset, we believe </w:t>
            </w:r>
            <w:r w:rsidR="009F64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eMERGE is particularly well-positioned to further explore these questions due to the wealth of sequencing data across multiple platforms </w:t>
            </w:r>
            <w:r w:rsidR="009F64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(each with differing subsets of PGx loci) and the active efforts at multiple sites to return pharmacogenetic results to participants.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4FD34C8" w14:textId="77777777" w:rsidR="009F6478" w:rsidRDefault="009F6478" w:rsidP="009F6478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BD5FD2" w14:textId="4085271F" w:rsidR="0093273D" w:rsidRDefault="00B51BE6" w:rsidP="002B0EE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Obtain and encode</w:t>
            </w:r>
            <w:r w:rsidR="00AD115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B0EED">
              <w:rPr>
                <w:rFonts w:asciiTheme="majorHAnsi" w:hAnsiTheme="majorHAnsi" w:cstheme="majorHAnsi"/>
                <w:sz w:val="22"/>
                <w:szCs w:val="22"/>
              </w:rPr>
              <w:t>allele definition tables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PharmVar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hosted)</w:t>
            </w:r>
            <w:r w:rsidR="002B0E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F21CA">
              <w:rPr>
                <w:rFonts w:asciiTheme="majorHAnsi" w:hAnsiTheme="majorHAnsi" w:cstheme="majorHAnsi"/>
                <w:sz w:val="22"/>
                <w:szCs w:val="22"/>
              </w:rPr>
              <w:t>for 5 critical PGx genes (</w:t>
            </w:r>
            <w:r w:rsidR="00FF21CA" w:rsidRPr="00FF21CA">
              <w:rPr>
                <w:rFonts w:asciiTheme="majorHAnsi" w:hAnsiTheme="majorHAnsi" w:cstheme="majorHAnsi"/>
                <w:i/>
                <w:sz w:val="22"/>
                <w:szCs w:val="22"/>
              </w:rPr>
              <w:t>TPMT</w:t>
            </w:r>
            <w:r w:rsidR="00FF21CA" w:rsidRPr="00FF21C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FF21CA" w:rsidRPr="00FF21CA">
              <w:rPr>
                <w:rFonts w:asciiTheme="majorHAnsi" w:hAnsiTheme="majorHAnsi" w:cstheme="majorHAnsi"/>
                <w:i/>
                <w:sz w:val="22"/>
                <w:szCs w:val="22"/>
              </w:rPr>
              <w:t>CYP2C9</w:t>
            </w:r>
            <w:r w:rsidR="00FF21CA" w:rsidRPr="00FF21C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FF21CA" w:rsidRPr="00FF21CA">
              <w:rPr>
                <w:rFonts w:asciiTheme="majorHAnsi" w:hAnsiTheme="majorHAnsi" w:cstheme="majorHAnsi"/>
                <w:i/>
                <w:sz w:val="22"/>
                <w:szCs w:val="22"/>
              </w:rPr>
              <w:t>CYP2C19</w:t>
            </w:r>
            <w:r w:rsidR="00FF21CA" w:rsidRPr="00FF21C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FF21CA" w:rsidRPr="00FF21CA">
              <w:rPr>
                <w:rFonts w:asciiTheme="majorHAnsi" w:hAnsiTheme="majorHAnsi" w:cstheme="majorHAnsi"/>
                <w:i/>
                <w:sz w:val="22"/>
                <w:szCs w:val="22"/>
              </w:rPr>
              <w:t>CYP3A5</w:t>
            </w:r>
            <w:r w:rsidR="00FF21CA" w:rsidRPr="00FF21CA">
              <w:rPr>
                <w:rFonts w:asciiTheme="majorHAnsi" w:hAnsiTheme="majorHAnsi" w:cstheme="majorHAnsi"/>
                <w:sz w:val="22"/>
                <w:szCs w:val="22"/>
              </w:rPr>
              <w:t xml:space="preserve">, and </w:t>
            </w:r>
            <w:r w:rsidR="00FF21CA" w:rsidRPr="00FF21CA">
              <w:rPr>
                <w:rFonts w:asciiTheme="majorHAnsi" w:hAnsiTheme="majorHAnsi" w:cstheme="majorHAnsi"/>
                <w:i/>
                <w:sz w:val="22"/>
                <w:szCs w:val="22"/>
              </w:rPr>
              <w:t>SLCO1B1</w:t>
            </w:r>
            <w:r w:rsidR="00FF21CA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673132DE" w14:textId="77777777" w:rsidR="00290E18" w:rsidRDefault="00AD1152" w:rsidP="002B0EE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Extract and phase genotypes for these 5 genes </w:t>
            </w:r>
            <w:r w:rsidR="00FB1303">
              <w:rPr>
                <w:rFonts w:asciiTheme="majorHAnsi" w:hAnsiTheme="majorHAnsi" w:cstheme="majorHAnsi"/>
                <w:sz w:val="22"/>
                <w:szCs w:val="22"/>
              </w:rPr>
              <w:t>across 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datasets representing common PGx use cases: </w:t>
            </w:r>
          </w:p>
          <w:p w14:paraId="7A68835C" w14:textId="2E3C8F68" w:rsidR="00290E18" w:rsidRDefault="00FB1303" w:rsidP="00290E18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panel sequencing, both full gene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290E18">
              <w:rPr>
                <w:rFonts w:asciiTheme="majorHAnsi" w:hAnsiTheme="majorHAnsi" w:cstheme="majorHAnsi"/>
                <w:sz w:val="22"/>
                <w:szCs w:val="22"/>
              </w:rPr>
              <w:t xml:space="preserve"> 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=9010</w:t>
            </w:r>
            <w:r w:rsidR="00AD1152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290E18">
              <w:rPr>
                <w:rFonts w:asciiTheme="majorHAnsi" w:hAnsiTheme="majorHAnsi" w:cstheme="majorHAnsi"/>
                <w:sz w:val="22"/>
                <w:szCs w:val="22"/>
              </w:rPr>
              <w:t xml:space="preserve"> and selected loci (</w:t>
            </w:r>
            <w:proofErr w:type="spellStart"/>
            <w:r w:rsidR="00290E18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290E18">
              <w:rPr>
                <w:rFonts w:asciiTheme="majorHAnsi" w:hAnsiTheme="majorHAnsi" w:cstheme="majorHAnsi"/>
                <w:sz w:val="22"/>
                <w:szCs w:val="22"/>
              </w:rPr>
              <w:t>, 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=25,000)</w:t>
            </w:r>
          </w:p>
          <w:p w14:paraId="710B39F8" w14:textId="1D78D16A" w:rsidR="00290E18" w:rsidRDefault="00FB1303" w:rsidP="00290E18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exome sequencing (NHLBI-ESP, </w:t>
            </w:r>
            <w:r w:rsidR="00290E18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=6503, already obtained from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dbGaP</w:t>
            </w:r>
            <w:proofErr w:type="spellEnd"/>
            <w:r w:rsidR="00290E1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37755226" w14:textId="5C49B97F" w:rsidR="00AD1152" w:rsidRDefault="00FB1303" w:rsidP="00290E18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genome sequencing (</w:t>
            </w:r>
            <w:r w:rsidR="00290E18">
              <w:rPr>
                <w:rFonts w:asciiTheme="majorHAnsi" w:hAnsiTheme="majorHAnsi" w:cstheme="majorHAnsi"/>
                <w:sz w:val="22"/>
                <w:szCs w:val="22"/>
              </w:rPr>
              <w:t>eMERGE, 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=900)</w:t>
            </w:r>
          </w:p>
          <w:p w14:paraId="55AFBC50" w14:textId="7C5C6EC0" w:rsidR="00FB1303" w:rsidRDefault="006E619B" w:rsidP="002B0EE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Algorithmically assign star allele diplotypes to each sample for all 5 genes by matching phased data with allele definitions </w:t>
            </w:r>
          </w:p>
          <w:p w14:paraId="0111C88B" w14:textId="5CB5E794" w:rsidR="006E619B" w:rsidRPr="002B0EED" w:rsidRDefault="005C1922" w:rsidP="002B0EE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Analysis of </w:t>
            </w:r>
            <w:r w:rsidR="005A742D">
              <w:rPr>
                <w:rFonts w:asciiTheme="majorHAnsi" w:hAnsiTheme="majorHAnsi" w:cstheme="majorHAnsi"/>
                <w:sz w:val="22"/>
                <w:szCs w:val="22"/>
              </w:rPr>
              <w:t>assigned diplotypes: frequency and type of haplotypes, comparison across datasets, known vs unknown haplotypes, modelling phase errors</w:t>
            </w:r>
          </w:p>
          <w:p w14:paraId="51FA79D4" w14:textId="77777777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6114A64E" w:rsidR="00C367EC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700246">
                  <w:rPr>
                    <w:rFonts w:ascii="MS Gothic" w:eastAsia="MS Gothic" w:hAnsi="MS Gothic" w:cstheme="majorHAnsi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64D879F4" w:rsidR="00C367EC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35AA1B95" w:rsidR="00C367EC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0D9AF29A" w:rsidR="00C367EC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009878D2" w:rsidR="00B845FF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C367EC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2889A1A4" w:rsidR="00C367EC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628D3450" w:rsidR="00C367EC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A33C99D" w14:textId="77777777" w:rsidR="005A742D" w:rsidRDefault="005A742D" w:rsidP="000B765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DCE786" w14:textId="2BA4BEAD" w:rsidR="0025109A" w:rsidRPr="005A742D" w:rsidRDefault="005A742D" w:rsidP="000B76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A742D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B8812D7" w:rsidR="0093273D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74CB5B28" w:rsidR="00376326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E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7A8EDA38" w:rsidR="00376326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E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72569328" w:rsidR="00376326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E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EAD7C79" w:rsidR="00376326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1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571D40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4382899F" w:rsidR="0063131E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3905B94A" w:rsidR="0063131E" w:rsidRPr="00700246" w:rsidRDefault="00571859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E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820317" w14:textId="1045DAB5" w:rsidR="005A742D" w:rsidRDefault="009F6478" w:rsidP="009F647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F6478">
              <w:rPr>
                <w:rFonts w:asciiTheme="majorHAnsi" w:hAnsiTheme="majorHAnsi" w:cstheme="majorHAnsi"/>
                <w:sz w:val="22"/>
                <w:szCs w:val="22"/>
              </w:rPr>
              <w:t>Comparison of haplotype frequency spectra across genes &amp; datasets</w:t>
            </w:r>
          </w:p>
          <w:p w14:paraId="27CD519D" w14:textId="1FEF0FD6" w:rsidR="009F6478" w:rsidRDefault="009F6478" w:rsidP="009F647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Contrast measured diplotype frequencies with reported population frequencies</w:t>
            </w:r>
          </w:p>
          <w:p w14:paraId="13608534" w14:textId="6E484147" w:rsidR="000A12A3" w:rsidRPr="009F6478" w:rsidRDefault="009F6478" w:rsidP="00CF0D0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Modeling phase errors (bootstrap phase of single/doubleton variants)</w:t>
            </w: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D23A2AD" w:rsidR="0093273D" w:rsidRPr="008673B8" w:rsidRDefault="005A742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  <w:p w14:paraId="4E264CE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77F17D06" w:rsidR="000A12A3" w:rsidRPr="008673B8" w:rsidRDefault="00D7356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Science Translational Med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lastRenderedPageBreak/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49D7166C" w:rsidR="0093273D" w:rsidRDefault="003F511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Approval: </w:t>
            </w:r>
            <w:r w:rsidR="00D73566">
              <w:rPr>
                <w:rFonts w:asciiTheme="majorHAnsi" w:hAnsiTheme="majorHAnsi" w:cstheme="majorHAnsi"/>
                <w:sz w:val="22"/>
                <w:szCs w:val="22"/>
              </w:rPr>
              <w:t xml:space="preserve">March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‘1</w:t>
            </w:r>
            <w:r w:rsidR="00D73566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  <w:p w14:paraId="3388C0DC" w14:textId="5B8401D4" w:rsidR="003F511E" w:rsidRDefault="003F511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Data extraction and phasing: </w:t>
            </w:r>
            <w:r w:rsidR="00D73566">
              <w:rPr>
                <w:rFonts w:asciiTheme="majorHAnsi" w:hAnsiTheme="majorHAnsi" w:cstheme="majorHAnsi"/>
                <w:sz w:val="22"/>
                <w:szCs w:val="22"/>
              </w:rPr>
              <w:t xml:space="preserve">April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‘19</w:t>
            </w:r>
          </w:p>
          <w:p w14:paraId="39490400" w14:textId="7246FEA0" w:rsidR="003F511E" w:rsidRDefault="003F511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Generate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diplotypes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11716A">
              <w:rPr>
                <w:rFonts w:asciiTheme="majorHAnsi" w:hAnsiTheme="majorHAnsi" w:cstheme="majorHAnsi"/>
                <w:sz w:val="22"/>
                <w:szCs w:val="22"/>
              </w:rPr>
              <w:t xml:space="preserve">May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‘19</w:t>
            </w:r>
          </w:p>
          <w:p w14:paraId="1BC0742A" w14:textId="28A32D72" w:rsidR="003F511E" w:rsidRDefault="003F511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Data analysis / manuscript draft: </w:t>
            </w:r>
            <w:r w:rsidR="0011716A">
              <w:rPr>
                <w:rFonts w:asciiTheme="majorHAnsi" w:hAnsiTheme="majorHAnsi" w:cstheme="majorHAnsi"/>
                <w:sz w:val="22"/>
                <w:szCs w:val="22"/>
              </w:rPr>
              <w:t>May/June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‘19</w:t>
            </w:r>
          </w:p>
          <w:p w14:paraId="36F5B405" w14:textId="171348DB" w:rsidR="003F511E" w:rsidRDefault="003F511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Manuscript submission: </w:t>
            </w:r>
            <w:r w:rsidR="0011716A">
              <w:rPr>
                <w:rFonts w:asciiTheme="majorHAnsi" w:hAnsiTheme="majorHAnsi" w:cstheme="majorHAnsi"/>
                <w:sz w:val="22"/>
                <w:szCs w:val="22"/>
              </w:rPr>
              <w:t>July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‘19</w:t>
            </w:r>
          </w:p>
          <w:p w14:paraId="2DC1C0A3" w14:textId="77777777" w:rsidR="003F511E" w:rsidRPr="008673B8" w:rsidRDefault="003F511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89201E" w14:textId="698DDE30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F2BAC8" w14:textId="77777777" w:rsidR="002142B6" w:rsidRDefault="00571859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2D75B" w14:textId="77777777" w:rsidR="00D83853" w:rsidRDefault="00D83853" w:rsidP="0093273D">
      <w:r>
        <w:separator/>
      </w:r>
    </w:p>
  </w:endnote>
  <w:endnote w:type="continuationSeparator" w:id="0">
    <w:p w14:paraId="60D0CA1A" w14:textId="77777777" w:rsidR="00D83853" w:rsidRDefault="00D83853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65337AC8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2A77ED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15207" w14:textId="77777777" w:rsidR="00D83853" w:rsidRDefault="00D83853" w:rsidP="0093273D">
      <w:r>
        <w:separator/>
      </w:r>
    </w:p>
  </w:footnote>
  <w:footnote w:type="continuationSeparator" w:id="0">
    <w:p w14:paraId="373CDE05" w14:textId="77777777" w:rsidR="00D83853" w:rsidRDefault="00D83853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  <w:lang w:bidi="he-IL"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0665B"/>
    <w:multiLevelType w:val="hybridMultilevel"/>
    <w:tmpl w:val="E506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3642C"/>
    <w:multiLevelType w:val="hybridMultilevel"/>
    <w:tmpl w:val="69AA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3D"/>
    <w:rsid w:val="000A12A3"/>
    <w:rsid w:val="000B7654"/>
    <w:rsid w:val="0011716A"/>
    <w:rsid w:val="00117500"/>
    <w:rsid w:val="001423CA"/>
    <w:rsid w:val="001F3540"/>
    <w:rsid w:val="0025109A"/>
    <w:rsid w:val="00290E18"/>
    <w:rsid w:val="002A77ED"/>
    <w:rsid w:val="002B0EED"/>
    <w:rsid w:val="00313C2C"/>
    <w:rsid w:val="0034143A"/>
    <w:rsid w:val="00376326"/>
    <w:rsid w:val="00380042"/>
    <w:rsid w:val="003A14BA"/>
    <w:rsid w:val="003F367E"/>
    <w:rsid w:val="003F511E"/>
    <w:rsid w:val="004D7F55"/>
    <w:rsid w:val="004E71DC"/>
    <w:rsid w:val="00510ADC"/>
    <w:rsid w:val="00571859"/>
    <w:rsid w:val="00571D40"/>
    <w:rsid w:val="00594CF3"/>
    <w:rsid w:val="00595E27"/>
    <w:rsid w:val="005A742D"/>
    <w:rsid w:val="005C0056"/>
    <w:rsid w:val="005C1922"/>
    <w:rsid w:val="00614403"/>
    <w:rsid w:val="006166BF"/>
    <w:rsid w:val="00625689"/>
    <w:rsid w:val="0063131E"/>
    <w:rsid w:val="006B7C40"/>
    <w:rsid w:val="006E619B"/>
    <w:rsid w:val="00700246"/>
    <w:rsid w:val="00702039"/>
    <w:rsid w:val="007530E8"/>
    <w:rsid w:val="007540B0"/>
    <w:rsid w:val="007E5C5B"/>
    <w:rsid w:val="007F3F81"/>
    <w:rsid w:val="008673B8"/>
    <w:rsid w:val="008B0CE2"/>
    <w:rsid w:val="008C5E9A"/>
    <w:rsid w:val="00900D3C"/>
    <w:rsid w:val="0093273D"/>
    <w:rsid w:val="00954A77"/>
    <w:rsid w:val="00981F81"/>
    <w:rsid w:val="009F6478"/>
    <w:rsid w:val="00A14096"/>
    <w:rsid w:val="00A43734"/>
    <w:rsid w:val="00A674F0"/>
    <w:rsid w:val="00A726E3"/>
    <w:rsid w:val="00AD1152"/>
    <w:rsid w:val="00AF586E"/>
    <w:rsid w:val="00B51BE6"/>
    <w:rsid w:val="00B67A4E"/>
    <w:rsid w:val="00B845FF"/>
    <w:rsid w:val="00B960DC"/>
    <w:rsid w:val="00C367EC"/>
    <w:rsid w:val="00C6196A"/>
    <w:rsid w:val="00C76FF3"/>
    <w:rsid w:val="00CB27C0"/>
    <w:rsid w:val="00D73566"/>
    <w:rsid w:val="00D83853"/>
    <w:rsid w:val="00D93D28"/>
    <w:rsid w:val="00DD1F0B"/>
    <w:rsid w:val="00DE0870"/>
    <w:rsid w:val="00E53F6D"/>
    <w:rsid w:val="00FB1303"/>
    <w:rsid w:val="00FD49BF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docId w15:val="{2F08629A-F494-794B-B8E5-FE93E4A9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26F1-1E6A-401C-9406-E9BD1D24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City, Brittany</cp:lastModifiedBy>
  <cp:revision>2</cp:revision>
  <dcterms:created xsi:type="dcterms:W3CDTF">2019-03-12T18:25:00Z</dcterms:created>
  <dcterms:modified xsi:type="dcterms:W3CDTF">2019-03-12T18:25:00Z</dcterms:modified>
</cp:coreProperties>
</file>