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4011A32" w:rsidR="0093273D" w:rsidRPr="008673B8" w:rsidRDefault="00CC73FB" w:rsidP="00CF0D06">
            <w:pPr>
              <w:rPr>
                <w:rFonts w:asciiTheme="majorHAnsi" w:hAnsiTheme="majorHAnsi" w:cstheme="majorHAnsi"/>
                <w:sz w:val="22"/>
                <w:szCs w:val="22"/>
              </w:rPr>
            </w:pPr>
            <w:r>
              <w:rPr>
                <w:rFonts w:asciiTheme="majorHAnsi" w:hAnsiTheme="majorHAnsi" w:cstheme="majorHAnsi"/>
                <w:sz w:val="22"/>
                <w:szCs w:val="22"/>
              </w:rPr>
              <w:t>NT277.1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7F619CB" w:rsidR="0093273D" w:rsidRPr="008673B8" w:rsidRDefault="00CC73FB" w:rsidP="00CF0D06">
            <w:pPr>
              <w:rPr>
                <w:rFonts w:asciiTheme="majorHAnsi" w:hAnsiTheme="majorHAnsi" w:cstheme="majorHAnsi"/>
                <w:sz w:val="22"/>
                <w:szCs w:val="22"/>
              </w:rPr>
            </w:pPr>
            <w:r>
              <w:rPr>
                <w:rFonts w:asciiTheme="majorHAnsi" w:hAnsiTheme="majorHAnsi" w:cstheme="majorHAnsi"/>
                <w:sz w:val="22"/>
                <w:szCs w:val="22"/>
              </w:rPr>
              <w:t>4/16/2019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7C062D35" w:rsidR="0093273D" w:rsidRPr="008673B8" w:rsidRDefault="00CC73FB" w:rsidP="00CF0D06">
            <w:pPr>
              <w:rPr>
                <w:rFonts w:asciiTheme="majorHAnsi" w:hAnsiTheme="majorHAnsi" w:cstheme="majorHAnsi"/>
                <w:sz w:val="22"/>
                <w:szCs w:val="22"/>
              </w:rPr>
            </w:pPr>
            <w:r>
              <w:rPr>
                <w:rFonts w:asciiTheme="majorHAnsi" w:hAnsiTheme="majorHAnsi" w:cstheme="majorHAnsi"/>
                <w:sz w:val="22"/>
                <w:szCs w:val="22"/>
              </w:rPr>
              <w:t>Operationalizing participant choices about genomic results: Beyond all or none ACMG recommended genes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C47D23D" w:rsidR="0093273D" w:rsidRPr="008673B8" w:rsidRDefault="00CC73FB" w:rsidP="00CF0D06">
            <w:pPr>
              <w:rPr>
                <w:rFonts w:asciiTheme="majorHAnsi" w:hAnsiTheme="majorHAnsi" w:cstheme="majorHAnsi"/>
                <w:sz w:val="22"/>
                <w:szCs w:val="22"/>
              </w:rPr>
            </w:pPr>
            <w:r>
              <w:rPr>
                <w:rFonts w:asciiTheme="majorHAnsi" w:hAnsiTheme="majorHAnsi" w:cstheme="majorHAnsi"/>
                <w:sz w:val="22"/>
                <w:szCs w:val="22"/>
              </w:rPr>
              <w:t>L. Rasmussen</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229780F" w:rsidR="0093273D" w:rsidRPr="008673B8" w:rsidRDefault="00CC73FB" w:rsidP="00CF0D06">
            <w:pPr>
              <w:rPr>
                <w:rFonts w:asciiTheme="majorHAnsi" w:hAnsiTheme="majorHAnsi" w:cstheme="majorHAnsi"/>
                <w:sz w:val="22"/>
                <w:szCs w:val="22"/>
              </w:rPr>
            </w:pPr>
            <w:r>
              <w:rPr>
                <w:rFonts w:asciiTheme="majorHAnsi" w:hAnsiTheme="majorHAnsi" w:cstheme="majorHAnsi"/>
                <w:sz w:val="22"/>
                <w:szCs w:val="22"/>
              </w:rPr>
              <w:t xml:space="preserve">K. </w:t>
            </w:r>
            <w:proofErr w:type="spellStart"/>
            <w:r>
              <w:rPr>
                <w:rFonts w:asciiTheme="majorHAnsi" w:hAnsiTheme="majorHAnsi" w:cstheme="majorHAnsi"/>
                <w:sz w:val="22"/>
                <w:szCs w:val="22"/>
              </w:rPr>
              <w:t>Marsolo</w:t>
            </w:r>
            <w:proofErr w:type="spellEnd"/>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A9645F" w14:textId="77777777" w:rsidR="00CC73FB" w:rsidRPr="008673B8" w:rsidRDefault="00CC73FB" w:rsidP="00CC73FB">
            <w:pPr>
              <w:rPr>
                <w:rFonts w:asciiTheme="majorHAnsi" w:hAnsiTheme="majorHAnsi" w:cstheme="majorHAnsi"/>
                <w:sz w:val="22"/>
                <w:szCs w:val="22"/>
              </w:rPr>
            </w:pPr>
            <w:r>
              <w:rPr>
                <w:rFonts w:asciiTheme="majorHAnsi" w:hAnsiTheme="majorHAnsi" w:cstheme="majorHAnsi"/>
                <w:sz w:val="22"/>
                <w:szCs w:val="22"/>
              </w:rPr>
              <w:t xml:space="preserve">Investigators at sites involved in operationalizing participant choices – M.F. Myers, M.E. Smith, W. Chung, H. </w:t>
            </w:r>
            <w:proofErr w:type="spellStart"/>
            <w:r>
              <w:rPr>
                <w:rFonts w:asciiTheme="majorHAnsi" w:hAnsiTheme="majorHAnsi" w:cstheme="majorHAnsi"/>
                <w:sz w:val="22"/>
                <w:szCs w:val="22"/>
              </w:rPr>
              <w:t>Hakonarson</w:t>
            </w:r>
            <w:proofErr w:type="spellEnd"/>
            <w:r>
              <w:rPr>
                <w:rFonts w:asciiTheme="majorHAnsi" w:hAnsiTheme="majorHAnsi" w:cstheme="majorHAnsi"/>
                <w:sz w:val="22"/>
                <w:szCs w:val="22"/>
              </w:rPr>
              <w:t xml:space="preserve">, S.A. </w:t>
            </w:r>
            <w:proofErr w:type="spellStart"/>
            <w:r>
              <w:rPr>
                <w:rFonts w:asciiTheme="majorHAnsi" w:hAnsiTheme="majorHAnsi" w:cstheme="majorHAnsi"/>
                <w:sz w:val="22"/>
                <w:szCs w:val="22"/>
              </w:rPr>
              <w:t>Aufox</w:t>
            </w:r>
            <w:proofErr w:type="spellEnd"/>
            <w:r>
              <w:rPr>
                <w:rFonts w:asciiTheme="majorHAnsi" w:hAnsiTheme="majorHAnsi" w:cstheme="majorHAnsi"/>
                <w:sz w:val="22"/>
                <w:szCs w:val="22"/>
              </w:rPr>
              <w:t xml:space="preserve">, J. Wynn, J. Connolly; investigators at central laboratories – H. Zouk, E. </w:t>
            </w:r>
            <w:proofErr w:type="spellStart"/>
            <w:r>
              <w:rPr>
                <w:rFonts w:asciiTheme="majorHAnsi" w:hAnsiTheme="majorHAnsi" w:cstheme="majorHAnsi"/>
                <w:sz w:val="22"/>
                <w:szCs w:val="22"/>
              </w:rPr>
              <w:t>Venner</w:t>
            </w:r>
            <w:proofErr w:type="spellEnd"/>
            <w:r>
              <w:rPr>
                <w:rFonts w:asciiTheme="majorHAnsi" w:hAnsiTheme="majorHAnsi" w:cstheme="majorHAnsi"/>
                <w:sz w:val="22"/>
                <w:szCs w:val="22"/>
              </w:rPr>
              <w:t>, Y. Yang, D. R. Murdock, Y. Jiang</w:t>
            </w:r>
          </w:p>
          <w:p w14:paraId="0B91A6A9" w14:textId="77777777" w:rsidR="0093273D" w:rsidRPr="008673B8" w:rsidRDefault="0093273D" w:rsidP="00CF0D06">
            <w:pPr>
              <w:rPr>
                <w:rFonts w:asciiTheme="majorHAnsi" w:hAnsiTheme="majorHAnsi" w:cstheme="majorHAnsi"/>
                <w:sz w:val="22"/>
                <w:szCs w:val="22"/>
              </w:rPr>
            </w:pP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4380BA32" w:rsidR="0093273D" w:rsidRPr="008673B8" w:rsidRDefault="00CC73FB" w:rsidP="00CF0D06">
            <w:pPr>
              <w:rPr>
                <w:rFonts w:asciiTheme="majorHAnsi" w:hAnsiTheme="majorHAnsi" w:cstheme="majorHAnsi"/>
                <w:sz w:val="22"/>
                <w:szCs w:val="22"/>
              </w:rPr>
            </w:pPr>
            <w:r w:rsidRPr="00EF2346">
              <w:rPr>
                <w:rFonts w:asciiTheme="majorHAnsi" w:hAnsiTheme="majorHAnsi" w:cstheme="majorHAnsi"/>
                <w:sz w:val="22"/>
                <w:szCs w:val="22"/>
              </w:rPr>
              <w:t>CCHMC, Northwestern</w:t>
            </w:r>
            <w:r>
              <w:rPr>
                <w:rFonts w:asciiTheme="majorHAnsi" w:hAnsiTheme="majorHAnsi" w:cstheme="majorHAnsi"/>
                <w:sz w:val="22"/>
                <w:szCs w:val="22"/>
              </w:rPr>
              <w:t>, Columbia, CHOP, LMM, Baylor, other sites where participants were offered choices about secondary results (all or none vs. some of the ACMG 56/59 genes)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7812F8F9" w:rsidR="0093273D" w:rsidRPr="008673B8" w:rsidRDefault="00CC73FB" w:rsidP="00CF0D06">
            <w:pPr>
              <w:rPr>
                <w:rFonts w:asciiTheme="majorHAnsi" w:hAnsiTheme="majorHAnsi" w:cstheme="majorHAnsi"/>
                <w:color w:val="000000"/>
                <w:sz w:val="22"/>
                <w:szCs w:val="22"/>
              </w:rPr>
            </w:pPr>
            <w:r>
              <w:rPr>
                <w:rFonts w:asciiTheme="majorHAnsi" w:hAnsiTheme="majorHAnsi" w:cs="Arial"/>
                <w:sz w:val="22"/>
                <w:szCs w:val="22"/>
              </w:rPr>
              <w:t xml:space="preserve">In clinical practice, patients are typically given the option to learn all or zero secondary sequencing results recommended by the ACMG.  As the field becomes more comfortable with the return of sequencing results, and we move towards more patient-centered care, it is necessary to provide patients with more granular choices in deciding what to learn about their panel results. There is considerable variation between sites regarding study participants’ engagement in prospectively choosing the type of e3 sequencing panel results they want to learn. Investigators at several </w:t>
            </w:r>
            <w:proofErr w:type="spellStart"/>
            <w:r>
              <w:rPr>
                <w:rFonts w:asciiTheme="majorHAnsi" w:hAnsiTheme="majorHAnsi" w:cs="Arial"/>
                <w:sz w:val="22"/>
                <w:szCs w:val="22"/>
              </w:rPr>
              <w:t>eMERGE</w:t>
            </w:r>
            <w:proofErr w:type="spellEnd"/>
            <w:r>
              <w:rPr>
                <w:rFonts w:asciiTheme="majorHAnsi" w:hAnsiTheme="majorHAnsi" w:cs="Arial"/>
                <w:sz w:val="22"/>
                <w:szCs w:val="22"/>
              </w:rPr>
              <w:t xml:space="preserve"> 3 sites were challenged to create tools that enabled participants’ granular choices.</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CCB646" w14:textId="77777777" w:rsidR="00CC73FB" w:rsidRPr="00B85F04" w:rsidRDefault="00CC73FB" w:rsidP="00CC73FB">
            <w:pPr>
              <w:pStyle w:val="ListParagraph"/>
              <w:numPr>
                <w:ilvl w:val="0"/>
                <w:numId w:val="6"/>
              </w:numPr>
              <w:rPr>
                <w:rFonts w:asciiTheme="majorHAnsi" w:hAnsiTheme="majorHAnsi" w:cstheme="majorHAnsi"/>
                <w:sz w:val="22"/>
                <w:szCs w:val="22"/>
                <w:highlight w:val="yellow"/>
              </w:rPr>
            </w:pPr>
            <w:r w:rsidRPr="00B85F04">
              <w:rPr>
                <w:rFonts w:asciiTheme="majorHAnsi" w:hAnsiTheme="majorHAnsi" w:cstheme="majorHAnsi"/>
                <w:sz w:val="22"/>
                <w:szCs w:val="22"/>
                <w:highlight w:val="yellow"/>
              </w:rPr>
              <w:t>Describe and compare how site-specific returnable genes were categorized for participant choices</w:t>
            </w:r>
          </w:p>
          <w:p w14:paraId="1E797CD7" w14:textId="77777777" w:rsidR="00CC73FB" w:rsidRDefault="00CC73FB" w:rsidP="00CC73FB">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 xml:space="preserve">Rationale for allowing granular choices </w:t>
            </w:r>
          </w:p>
          <w:p w14:paraId="35B6FCAD" w14:textId="77777777" w:rsidR="00CC73FB" w:rsidRDefault="00CC73FB" w:rsidP="00CC73FB">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Compare proportions of participants across sites who made granular choices</w:t>
            </w:r>
          </w:p>
          <w:p w14:paraId="51FA79D4" w14:textId="51743920" w:rsidR="000A12A3" w:rsidRPr="00CC73FB" w:rsidRDefault="00CC73FB" w:rsidP="00CF0D06">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Successes, challenges and limitations of categorizing results</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C367EC" w:rsidRPr="00700246" w:rsidRDefault="00CC73FB"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954A77" w:rsidRPr="00700246">
                  <w:rPr>
                    <w:rFonts w:ascii="MS Gothic" w:eastAsia="MS Gothic" w:hAnsi="MS Gothic" w:cstheme="majorHAnsi"/>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0F3168D0" w:rsidR="00C367EC" w:rsidRPr="00CC73FB" w:rsidRDefault="00CC73FB" w:rsidP="00B845FF">
            <w:pPr>
              <w:pStyle w:val="ListParagraph"/>
              <w:rPr>
                <w:rFonts w:asciiTheme="majorHAnsi" w:hAnsiTheme="majorHAnsi" w:cstheme="majorHAnsi"/>
                <w:b/>
                <w:sz w:val="22"/>
                <w:szCs w:val="22"/>
              </w:rPr>
            </w:pPr>
            <w:r w:rsidRPr="00CC73FB">
              <w:rPr>
                <w:rFonts w:asciiTheme="majorHAnsi" w:hAnsiTheme="majorHAnsi" w:cstheme="majorHAnsi"/>
                <w:b/>
                <w:sz w:val="22"/>
                <w:szCs w:val="22"/>
              </w:rPr>
              <w:t>NONE</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2A63E1"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5D378FD8" w14:textId="77777777" w:rsidR="00CC73FB" w:rsidRDefault="00CC73FB" w:rsidP="000B7654">
            <w:pPr>
              <w:rPr>
                <w:rFonts w:asciiTheme="majorHAnsi" w:hAnsiTheme="majorHAnsi" w:cstheme="majorHAnsi"/>
                <w:i/>
                <w:sz w:val="22"/>
                <w:szCs w:val="22"/>
              </w:rPr>
            </w:pPr>
          </w:p>
          <w:p w14:paraId="37962A2F" w14:textId="30545F6C" w:rsidR="00CC73FB" w:rsidRPr="00B85F04" w:rsidRDefault="00CC73FB" w:rsidP="00CC73FB">
            <w:pPr>
              <w:pStyle w:val="ListParagraph"/>
              <w:ind w:left="360"/>
              <w:rPr>
                <w:rFonts w:asciiTheme="majorHAnsi" w:hAnsiTheme="majorHAnsi" w:cstheme="majorHAnsi"/>
                <w:sz w:val="22"/>
                <w:szCs w:val="22"/>
                <w:highlight w:val="yellow"/>
              </w:rPr>
            </w:pPr>
            <w:r w:rsidRPr="00B85F04">
              <w:rPr>
                <w:rFonts w:asciiTheme="majorHAnsi" w:hAnsiTheme="majorHAnsi" w:cstheme="majorHAnsi"/>
                <w:sz w:val="22"/>
                <w:szCs w:val="22"/>
                <w:highlight w:val="yellow"/>
              </w:rPr>
              <w:t>Selections made by participants</w:t>
            </w:r>
            <w:r>
              <w:rPr>
                <w:rFonts w:asciiTheme="majorHAnsi" w:hAnsiTheme="majorHAnsi" w:cstheme="majorHAnsi"/>
                <w:sz w:val="22"/>
                <w:szCs w:val="22"/>
                <w:highlight w:val="yellow"/>
              </w:rPr>
              <w:t xml:space="preserve">; </w:t>
            </w:r>
            <w:r w:rsidRPr="00B85F04">
              <w:rPr>
                <w:rFonts w:asciiTheme="majorHAnsi" w:hAnsiTheme="majorHAnsi" w:cstheme="majorHAnsi"/>
                <w:sz w:val="22"/>
                <w:szCs w:val="22"/>
                <w:highlight w:val="yellow"/>
              </w:rPr>
              <w:t>optionally, any developed resources (consent forms, sample reports, etc.) that illustrate the collection and operationalization of choices</w:t>
            </w:r>
          </w:p>
          <w:p w14:paraId="01DCE786" w14:textId="654683B4" w:rsidR="00CC73FB" w:rsidRPr="000B7654" w:rsidRDefault="00CC73FB" w:rsidP="000B7654">
            <w:pPr>
              <w:rPr>
                <w:rFonts w:asciiTheme="majorHAnsi" w:hAnsiTheme="majorHAnsi" w:cstheme="majorHAnsi"/>
                <w: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lastRenderedPageBreak/>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307555EA" w14:textId="77777777" w:rsidR="00571D40" w:rsidRDefault="00CC73FB"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p w14:paraId="02A57161" w14:textId="48D1A5A4" w:rsidR="00CC73FB" w:rsidRPr="00CC73FB" w:rsidRDefault="00CC73FB" w:rsidP="00700246">
            <w:pPr>
              <w:rPr>
                <w:rFonts w:asciiTheme="majorHAnsi" w:hAnsiTheme="majorHAnsi" w:cstheme="majorHAnsi"/>
                <w:b/>
                <w:sz w:val="22"/>
                <w:szCs w:val="22"/>
              </w:rPr>
            </w:pPr>
            <w:r w:rsidRPr="00CC73FB">
              <w:rPr>
                <w:rFonts w:asciiTheme="majorHAnsi" w:hAnsiTheme="majorHAnsi" w:cstheme="majorHAnsi"/>
                <w:b/>
                <w:sz w:val="22"/>
                <w:szCs w:val="22"/>
              </w:rPr>
              <w:t>NONE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07806BB8" w:rsidR="0063131E" w:rsidRPr="00700246" w:rsidRDefault="00CC73FB"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bookmarkStart w:id="0" w:name="_GoBack"/>
            <w:bookmarkEnd w:id="0"/>
          </w:p>
          <w:p w14:paraId="08663420" w14:textId="77777777" w:rsidR="00CC73FB" w:rsidRPr="008673B8" w:rsidRDefault="00CC73FB" w:rsidP="00CC73FB">
            <w:pPr>
              <w:rPr>
                <w:rFonts w:asciiTheme="majorHAnsi" w:hAnsiTheme="majorHAnsi" w:cstheme="majorHAnsi"/>
                <w:sz w:val="22"/>
                <w:szCs w:val="22"/>
              </w:rPr>
            </w:pPr>
            <w:r>
              <w:rPr>
                <w:rFonts w:asciiTheme="majorHAnsi" w:hAnsiTheme="majorHAnsi" w:cstheme="majorHAnsi"/>
                <w:sz w:val="22"/>
                <w:szCs w:val="22"/>
              </w:rPr>
              <w:t>Content analysis and descriptive statistics</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0BBADDE3" w14:textId="77777777" w:rsidR="00CC73FB" w:rsidRPr="008673B8" w:rsidRDefault="00CC73FB" w:rsidP="00CC73FB">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B70EF6" w14:textId="77777777" w:rsidR="000A12A3" w:rsidRDefault="000A12A3" w:rsidP="00CF0D06">
            <w:pPr>
              <w:rPr>
                <w:rFonts w:asciiTheme="majorHAnsi" w:hAnsiTheme="majorHAnsi" w:cstheme="majorHAnsi"/>
                <w:sz w:val="22"/>
                <w:szCs w:val="22"/>
              </w:rPr>
            </w:pPr>
          </w:p>
          <w:p w14:paraId="098C9F46" w14:textId="08AF81DB" w:rsidR="00CC73FB" w:rsidRPr="00CC73FB" w:rsidRDefault="00CC73FB" w:rsidP="00CC73FB">
            <w:pPr>
              <w:rPr>
                <w:rFonts w:asciiTheme="majorHAnsi" w:hAnsiTheme="majorHAnsi" w:cstheme="majorHAnsi"/>
                <w:sz w:val="22"/>
                <w:szCs w:val="22"/>
              </w:rPr>
            </w:pPr>
            <w:r w:rsidRPr="00CC73FB">
              <w:rPr>
                <w:rFonts w:asciiTheme="majorHAnsi" w:hAnsiTheme="majorHAnsi" w:cstheme="majorHAnsi"/>
                <w:sz w:val="22"/>
                <w:szCs w:val="22"/>
              </w:rPr>
              <w:t>GIM or JAMIA</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685D6A13" w14:textId="77777777" w:rsidR="00CC73FB" w:rsidRPr="00CC73FB" w:rsidRDefault="00CC73FB" w:rsidP="00CC73FB">
            <w:pPr>
              <w:rPr>
                <w:rFonts w:asciiTheme="majorHAnsi" w:hAnsiTheme="majorHAnsi" w:cstheme="majorHAnsi"/>
                <w:sz w:val="22"/>
                <w:szCs w:val="22"/>
              </w:rPr>
            </w:pPr>
            <w:r w:rsidRPr="00CC73FB">
              <w:rPr>
                <w:rFonts w:asciiTheme="majorHAnsi" w:hAnsiTheme="majorHAnsi" w:cstheme="majorHAnsi"/>
                <w:sz w:val="22"/>
                <w:szCs w:val="22"/>
              </w:rPr>
              <w:t>Approval – Spring 2018</w:t>
            </w:r>
          </w:p>
          <w:p w14:paraId="62BB564F" w14:textId="77777777" w:rsidR="00CC73FB" w:rsidRPr="00CC73FB" w:rsidRDefault="00CC73FB" w:rsidP="00CC73FB">
            <w:pPr>
              <w:rPr>
                <w:rFonts w:asciiTheme="majorHAnsi" w:hAnsiTheme="majorHAnsi" w:cstheme="majorHAnsi"/>
                <w:sz w:val="22"/>
                <w:szCs w:val="22"/>
              </w:rPr>
            </w:pPr>
            <w:r w:rsidRPr="00CC73FB">
              <w:rPr>
                <w:rFonts w:asciiTheme="majorHAnsi" w:hAnsiTheme="majorHAnsi" w:cstheme="majorHAnsi"/>
                <w:sz w:val="22"/>
                <w:szCs w:val="22"/>
              </w:rPr>
              <w:t>Data collection – early Summer 2018</w:t>
            </w:r>
          </w:p>
          <w:p w14:paraId="47EAF4C2" w14:textId="77777777" w:rsidR="00CC73FB" w:rsidRPr="00CC73FB" w:rsidRDefault="00CC73FB" w:rsidP="00CC73FB">
            <w:pPr>
              <w:rPr>
                <w:rFonts w:asciiTheme="majorHAnsi" w:hAnsiTheme="majorHAnsi" w:cstheme="majorHAnsi"/>
                <w:sz w:val="22"/>
                <w:szCs w:val="22"/>
              </w:rPr>
            </w:pPr>
            <w:r w:rsidRPr="00CC73FB">
              <w:rPr>
                <w:rFonts w:asciiTheme="majorHAnsi" w:hAnsiTheme="majorHAnsi" w:cstheme="majorHAnsi"/>
                <w:sz w:val="22"/>
                <w:szCs w:val="22"/>
              </w:rPr>
              <w:t>First draft – Fall 2018</w:t>
            </w:r>
          </w:p>
          <w:p w14:paraId="4089201E" w14:textId="1BBC8B13" w:rsidR="0093273D" w:rsidRPr="008673B8" w:rsidRDefault="00CC73FB" w:rsidP="00CC73FB">
            <w:pPr>
              <w:rPr>
                <w:rFonts w:asciiTheme="majorHAnsi" w:hAnsiTheme="majorHAnsi" w:cstheme="majorHAnsi"/>
                <w:sz w:val="22"/>
                <w:szCs w:val="22"/>
              </w:rPr>
            </w:pPr>
            <w:r w:rsidRPr="00CC73FB">
              <w:rPr>
                <w:rFonts w:asciiTheme="majorHAnsi" w:hAnsiTheme="majorHAnsi" w:cstheme="majorHAnsi"/>
                <w:sz w:val="22"/>
                <w:szCs w:val="22"/>
              </w:rPr>
              <w:t>Submit for publication – Winter 2018</w:t>
            </w:r>
          </w:p>
        </w:tc>
      </w:tr>
    </w:tbl>
    <w:p w14:paraId="4BF2BAC8" w14:textId="77777777" w:rsidR="002142B6" w:rsidRDefault="00CC73FB"/>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67180"/>
    <w:multiLevelType w:val="hybridMultilevel"/>
    <w:tmpl w:val="247C1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50D1F"/>
    <w:multiLevelType w:val="hybridMultilevel"/>
    <w:tmpl w:val="34BA0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117500"/>
    <w:rsid w:val="001F3540"/>
    <w:rsid w:val="0025109A"/>
    <w:rsid w:val="00376326"/>
    <w:rsid w:val="003F367E"/>
    <w:rsid w:val="004D7F55"/>
    <w:rsid w:val="00571D40"/>
    <w:rsid w:val="00594CF3"/>
    <w:rsid w:val="00595E27"/>
    <w:rsid w:val="00614403"/>
    <w:rsid w:val="006166BF"/>
    <w:rsid w:val="00625689"/>
    <w:rsid w:val="0063131E"/>
    <w:rsid w:val="00700246"/>
    <w:rsid w:val="00702039"/>
    <w:rsid w:val="007F3F81"/>
    <w:rsid w:val="008673B8"/>
    <w:rsid w:val="008B0CE2"/>
    <w:rsid w:val="00900D3C"/>
    <w:rsid w:val="0093273D"/>
    <w:rsid w:val="00954A77"/>
    <w:rsid w:val="00A14096"/>
    <w:rsid w:val="00A43734"/>
    <w:rsid w:val="00A674F0"/>
    <w:rsid w:val="00A726E3"/>
    <w:rsid w:val="00AF586E"/>
    <w:rsid w:val="00B67A4E"/>
    <w:rsid w:val="00B845FF"/>
    <w:rsid w:val="00BD1431"/>
    <w:rsid w:val="00C367EC"/>
    <w:rsid w:val="00CC73FB"/>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0166-3572-4D8A-9C10-3CF56124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2019-04-16T20:19:00Z</dcterms:created>
  <dcterms:modified xsi:type="dcterms:W3CDTF">2019-04-16T20:19:00Z</dcterms:modified>
</cp:coreProperties>
</file>