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167403B4" w:rsidR="0093273D" w:rsidRPr="008673B8" w:rsidRDefault="005634D6" w:rsidP="00CF0D06">
            <w:pPr>
              <w:rPr>
                <w:rFonts w:asciiTheme="majorHAnsi" w:hAnsiTheme="majorHAnsi" w:cstheme="majorHAnsi"/>
                <w:sz w:val="22"/>
                <w:szCs w:val="22"/>
              </w:rPr>
            </w:pPr>
            <w:r>
              <w:rPr>
                <w:rFonts w:asciiTheme="majorHAnsi" w:hAnsiTheme="majorHAnsi" w:cstheme="majorHAnsi"/>
                <w:sz w:val="22"/>
                <w:szCs w:val="22"/>
              </w:rPr>
              <w:t>NT338</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32381C98" w:rsidR="0093273D" w:rsidRPr="008673B8" w:rsidRDefault="005634D6" w:rsidP="00CF0D06">
            <w:pPr>
              <w:rPr>
                <w:rFonts w:asciiTheme="majorHAnsi" w:hAnsiTheme="majorHAnsi" w:cstheme="majorHAnsi"/>
                <w:sz w:val="22"/>
                <w:szCs w:val="22"/>
              </w:rPr>
            </w:pPr>
            <w:r>
              <w:rPr>
                <w:rFonts w:asciiTheme="majorHAnsi" w:hAnsiTheme="majorHAnsi" w:cstheme="majorHAnsi"/>
                <w:sz w:val="22"/>
                <w:szCs w:val="22"/>
              </w:rPr>
              <w:t>4/4/2019</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bookmarkStart w:id="0" w:name="_GoBack" w:colFirst="1" w:colLast="1"/>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1702E4AE" w:rsidR="0093273D" w:rsidRPr="008673B8" w:rsidRDefault="006C3388" w:rsidP="00CF0D06">
            <w:pPr>
              <w:rPr>
                <w:rFonts w:asciiTheme="majorHAnsi" w:hAnsiTheme="majorHAnsi" w:cstheme="majorHAnsi"/>
                <w:sz w:val="22"/>
                <w:szCs w:val="22"/>
              </w:rPr>
            </w:pPr>
            <w:r>
              <w:rPr>
                <w:rFonts w:asciiTheme="majorHAnsi" w:hAnsiTheme="majorHAnsi" w:cstheme="majorHAnsi"/>
                <w:sz w:val="22"/>
                <w:szCs w:val="22"/>
              </w:rPr>
              <w:t>Effect of genomic regulation on Clopidogrel Response in African Americans</w:t>
            </w:r>
          </w:p>
        </w:tc>
      </w:tr>
      <w:bookmarkEnd w:id="0"/>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36403F28" w:rsidR="0093273D" w:rsidRPr="008673B8" w:rsidRDefault="006C3388" w:rsidP="00CF0D06">
            <w:pPr>
              <w:rPr>
                <w:rFonts w:asciiTheme="majorHAnsi" w:hAnsiTheme="majorHAnsi" w:cstheme="majorHAnsi"/>
                <w:sz w:val="22"/>
                <w:szCs w:val="22"/>
              </w:rPr>
            </w:pPr>
            <w:r>
              <w:rPr>
                <w:rFonts w:asciiTheme="majorHAnsi" w:hAnsiTheme="majorHAnsi" w:cstheme="majorHAnsi"/>
                <w:sz w:val="22"/>
                <w:szCs w:val="22"/>
              </w:rPr>
              <w:t>Tanima De</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220C0399" w:rsidR="0093273D" w:rsidRPr="008673B8" w:rsidRDefault="006C3388" w:rsidP="00CF0D06">
            <w:pPr>
              <w:rPr>
                <w:rFonts w:asciiTheme="majorHAnsi" w:hAnsiTheme="majorHAnsi" w:cstheme="majorHAnsi"/>
                <w:sz w:val="22"/>
                <w:szCs w:val="22"/>
              </w:rPr>
            </w:pPr>
            <w:proofErr w:type="spellStart"/>
            <w:r>
              <w:rPr>
                <w:rFonts w:asciiTheme="majorHAnsi" w:hAnsiTheme="majorHAnsi" w:cstheme="majorHAnsi"/>
                <w:sz w:val="22"/>
                <w:szCs w:val="22"/>
              </w:rPr>
              <w:t>Minoli</w:t>
            </w:r>
            <w:proofErr w:type="spellEnd"/>
            <w:r>
              <w:rPr>
                <w:rFonts w:asciiTheme="majorHAnsi" w:hAnsiTheme="majorHAnsi" w:cstheme="majorHAnsi"/>
                <w:sz w:val="22"/>
                <w:szCs w:val="22"/>
              </w:rPr>
              <w:t xml:space="preserve"> A </w:t>
            </w:r>
            <w:proofErr w:type="spellStart"/>
            <w:r>
              <w:rPr>
                <w:rFonts w:asciiTheme="majorHAnsi" w:hAnsiTheme="majorHAnsi" w:cstheme="majorHAnsi"/>
                <w:sz w:val="22"/>
                <w:szCs w:val="22"/>
              </w:rPr>
              <w:t>Perera</w:t>
            </w:r>
            <w:proofErr w:type="spellEnd"/>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B36893" w14:textId="44A90C28" w:rsidR="0093273D" w:rsidRPr="008673B8" w:rsidRDefault="006C3388" w:rsidP="006C3388">
            <w:pPr>
              <w:spacing w:line="256" w:lineRule="auto"/>
              <w:rPr>
                <w:rFonts w:asciiTheme="majorHAnsi" w:hAnsiTheme="majorHAnsi" w:cstheme="majorHAnsi"/>
                <w:sz w:val="22"/>
                <w:szCs w:val="22"/>
              </w:rPr>
            </w:pPr>
            <w:r>
              <w:rPr>
                <w:rFonts w:asciiTheme="majorHAnsi" w:hAnsiTheme="majorHAnsi" w:cstheme="majorHAnsi"/>
                <w:sz w:val="22"/>
                <w:szCs w:val="22"/>
              </w:rPr>
              <w:t>Wei-Qi Wei, Joshua C. Denny, Jennifer Allen Pacheco</w:t>
            </w: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77777777" w:rsidR="0093273D" w:rsidRPr="008673B8" w:rsidRDefault="0093273D" w:rsidP="00CF0D06">
            <w:pPr>
              <w:rPr>
                <w:rFonts w:asciiTheme="majorHAnsi" w:hAnsiTheme="majorHAnsi" w:cstheme="majorHAnsi"/>
                <w:sz w:val="22"/>
                <w:szCs w:val="22"/>
              </w:rPr>
            </w:pPr>
          </w:p>
          <w:p w14:paraId="07C5FDB2" w14:textId="153C5110" w:rsidR="0093273D" w:rsidRPr="008673B8" w:rsidRDefault="006C3388" w:rsidP="00CF0D06">
            <w:pPr>
              <w:rPr>
                <w:rFonts w:asciiTheme="majorHAnsi" w:hAnsiTheme="majorHAnsi" w:cstheme="majorHAnsi"/>
                <w:sz w:val="22"/>
                <w:szCs w:val="22"/>
              </w:rPr>
            </w:pPr>
            <w:r>
              <w:rPr>
                <w:rFonts w:asciiTheme="majorHAnsi" w:hAnsiTheme="majorHAnsi" w:cstheme="majorHAnsi"/>
                <w:sz w:val="22"/>
                <w:szCs w:val="22"/>
              </w:rPr>
              <w:t>Northwestern University and other sites with African American cohorts</w:t>
            </w: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EB80532" w14:textId="77777777" w:rsidR="006C3388" w:rsidRDefault="006C3388" w:rsidP="006C3388">
            <w:pPr>
              <w:spacing w:line="256" w:lineRule="auto"/>
              <w:rPr>
                <w:rFonts w:asciiTheme="majorHAnsi" w:hAnsiTheme="majorHAnsi" w:cstheme="majorHAnsi"/>
                <w:color w:val="000000"/>
                <w:sz w:val="22"/>
                <w:szCs w:val="22"/>
              </w:rPr>
            </w:pPr>
            <w:r>
              <w:rPr>
                <w:rFonts w:asciiTheme="majorHAnsi" w:hAnsiTheme="majorHAnsi" w:cstheme="majorHAnsi"/>
                <w:color w:val="000000"/>
                <w:sz w:val="22"/>
                <w:szCs w:val="22"/>
              </w:rPr>
              <w:t xml:space="preserve">Clopidogrel, an antiplatelet drug widely used for thromboprophylaxis of cardiovascular diseases (CVDs), is associated with substantial inter-patient differences in response. The clinical consequence of inadequate response is recurrent cardiovascular events (CVEs) that can lead to myocardial infarction, stroke and death. The underlying mechanism is multifactorial and genetic polymorphisms is one of the main causes of variable drug response within an individual or across populations. African Americans (AAs) are disproportionately affected by death and disability from CVDs and are also at a higher risk of CVE and mortality from poor clopidogrel response.  Identifying the population-specific genetic predictors for poor </w:t>
            </w:r>
            <w:proofErr w:type="spellStart"/>
            <w:r>
              <w:rPr>
                <w:rFonts w:asciiTheme="majorHAnsi" w:hAnsiTheme="majorHAnsi" w:cstheme="majorHAnsi"/>
                <w:color w:val="000000"/>
                <w:sz w:val="22"/>
                <w:szCs w:val="22"/>
              </w:rPr>
              <w:t>clopidolgrel</w:t>
            </w:r>
            <w:proofErr w:type="spellEnd"/>
            <w:r>
              <w:rPr>
                <w:rFonts w:asciiTheme="majorHAnsi" w:hAnsiTheme="majorHAnsi" w:cstheme="majorHAnsi"/>
                <w:color w:val="000000"/>
                <w:sz w:val="22"/>
                <w:szCs w:val="22"/>
              </w:rPr>
              <w:t xml:space="preserve"> response in AAs may explain this health disparity. In addition, exploring the pleiotropic effects of these genetic predictors across extensive set of phenotypes may identify novel associations with other drug responses and disease conditions which could be of clinical relevance.</w:t>
            </w:r>
          </w:p>
          <w:p w14:paraId="14AC038B" w14:textId="77777777" w:rsidR="006C3388" w:rsidRDefault="006C3388" w:rsidP="006C3388">
            <w:pPr>
              <w:spacing w:line="256" w:lineRule="auto"/>
              <w:rPr>
                <w:rFonts w:asciiTheme="majorHAnsi" w:hAnsiTheme="majorHAnsi" w:cstheme="majorHAnsi"/>
                <w:color w:val="000000"/>
                <w:sz w:val="22"/>
                <w:szCs w:val="22"/>
              </w:rPr>
            </w:pPr>
          </w:p>
          <w:p w14:paraId="26109DB3" w14:textId="77777777" w:rsidR="006C3388" w:rsidRDefault="006C3388" w:rsidP="006C3388">
            <w:pPr>
              <w:spacing w:line="256" w:lineRule="auto"/>
              <w:rPr>
                <w:rFonts w:asciiTheme="majorHAnsi" w:hAnsiTheme="majorHAnsi" w:cstheme="majorHAnsi"/>
                <w:color w:val="000000"/>
                <w:sz w:val="22"/>
                <w:szCs w:val="22"/>
              </w:rPr>
            </w:pPr>
            <w:r>
              <w:rPr>
                <w:rFonts w:asciiTheme="majorHAnsi" w:hAnsiTheme="majorHAnsi" w:cstheme="majorHAnsi"/>
                <w:color w:val="000000"/>
                <w:sz w:val="22"/>
                <w:szCs w:val="22"/>
              </w:rPr>
              <w:t>Clopidogrel undergoes hepatic cytochrome P450 (CYP)–mediated biotransformation to an active metabolite.  Regulatory single nucleotide polymorphisms (SNPs) that significantly influence CYP gene expression (known as expressed quantitative trait loci [</w:t>
            </w:r>
            <w:proofErr w:type="spellStart"/>
            <w:r>
              <w:rPr>
                <w:rFonts w:asciiTheme="majorHAnsi" w:hAnsiTheme="majorHAnsi" w:cstheme="majorHAnsi"/>
                <w:color w:val="000000"/>
                <w:sz w:val="22"/>
                <w:szCs w:val="22"/>
              </w:rPr>
              <w:t>eQTLs</w:t>
            </w:r>
            <w:proofErr w:type="spellEnd"/>
            <w:r>
              <w:rPr>
                <w:rFonts w:asciiTheme="majorHAnsi" w:hAnsiTheme="majorHAnsi" w:cstheme="majorHAnsi"/>
                <w:color w:val="000000"/>
                <w:sz w:val="22"/>
                <w:szCs w:val="22"/>
              </w:rPr>
              <w:t>]), may contribute to the inadequate clopidogrel-induced platelet inhibition, accounting for differences in response.  Also, SNPs that act by modifying the DNA methylation status (methylation quantitative trait loci; meQTLs), leading changes in gene expression through altered chromatin accessibility and transcription factor binding may be an additional source of variability. Evaluating the regulatory and epigenetic modulation of gene expression may uncover AA-specific factors that influence drug metabolizing enzyme (DME) expression.</w:t>
            </w:r>
          </w:p>
          <w:p w14:paraId="667EAA53" w14:textId="77777777" w:rsidR="006C3388" w:rsidRDefault="006C3388" w:rsidP="006C3388">
            <w:pPr>
              <w:spacing w:line="256" w:lineRule="auto"/>
              <w:rPr>
                <w:rFonts w:asciiTheme="majorHAnsi" w:hAnsiTheme="majorHAnsi" w:cstheme="majorHAnsi"/>
                <w:color w:val="000000"/>
                <w:sz w:val="22"/>
                <w:szCs w:val="22"/>
              </w:rPr>
            </w:pPr>
          </w:p>
          <w:p w14:paraId="24592B3D" w14:textId="77777777" w:rsidR="006C3388" w:rsidRDefault="006C3388" w:rsidP="006C3388">
            <w:pPr>
              <w:spacing w:line="256" w:lineRule="auto"/>
              <w:rPr>
                <w:rFonts w:ascii="Arial" w:hAnsi="Arial" w:cs="Arial"/>
                <w:b/>
                <w:sz w:val="23"/>
                <w:szCs w:val="23"/>
              </w:rPr>
            </w:pPr>
            <w:r>
              <w:rPr>
                <w:rFonts w:asciiTheme="majorHAnsi" w:hAnsiTheme="majorHAnsi" w:cstheme="majorHAnsi"/>
                <w:color w:val="000000"/>
                <w:sz w:val="22"/>
                <w:szCs w:val="22"/>
              </w:rPr>
              <w:t>Genotype, methylation and gene expression data derived from 62 AA primary hepatocytes will be used to identify SNPs that are significantly associated with variation in CYP expression. The identified hepatocyte QTLs will be tested on clopidogrel-treated AAs from Electronic Medical Records and Genomics (</w:t>
            </w:r>
            <w:proofErr w:type="spellStart"/>
            <w:r>
              <w:rPr>
                <w:rFonts w:asciiTheme="majorHAnsi" w:hAnsiTheme="majorHAnsi" w:cstheme="majorHAnsi"/>
                <w:color w:val="000000"/>
                <w:sz w:val="22"/>
                <w:szCs w:val="22"/>
              </w:rPr>
              <w:t>eMERGE</w:t>
            </w:r>
            <w:proofErr w:type="spellEnd"/>
            <w:r>
              <w:rPr>
                <w:rFonts w:asciiTheme="majorHAnsi" w:hAnsiTheme="majorHAnsi" w:cstheme="majorHAnsi"/>
                <w:color w:val="000000"/>
                <w:sz w:val="22"/>
                <w:szCs w:val="22"/>
              </w:rPr>
              <w:t xml:space="preserve">) Network, to detect those SNPs that </w:t>
            </w:r>
            <w:r>
              <w:rPr>
                <w:rFonts w:asciiTheme="majorHAnsi" w:hAnsiTheme="majorHAnsi" w:cstheme="majorHAnsi"/>
                <w:color w:val="000000"/>
                <w:sz w:val="22"/>
                <w:szCs w:val="22"/>
              </w:rPr>
              <w:lastRenderedPageBreak/>
              <w:t>expose AAs to a higher risk of CVEs from poor response to clopidogrel. All the identified hepatocyte QTLs will also be tested for their association with various other drug and disease phenotypes, by Phenome-wide association study (</w:t>
            </w:r>
            <w:proofErr w:type="spellStart"/>
            <w:r>
              <w:rPr>
                <w:rFonts w:asciiTheme="majorHAnsi" w:hAnsiTheme="majorHAnsi" w:cstheme="majorHAnsi"/>
                <w:color w:val="000000"/>
                <w:sz w:val="22"/>
                <w:szCs w:val="22"/>
              </w:rPr>
              <w:t>PheWAS</w:t>
            </w:r>
            <w:proofErr w:type="spellEnd"/>
            <w:r>
              <w:rPr>
                <w:rFonts w:asciiTheme="majorHAnsi" w:hAnsiTheme="majorHAnsi" w:cstheme="majorHAnsi"/>
                <w:color w:val="000000"/>
                <w:sz w:val="22"/>
                <w:szCs w:val="22"/>
              </w:rPr>
              <w:t xml:space="preserve">). </w:t>
            </w:r>
            <w:r>
              <w:rPr>
                <w:rFonts w:asciiTheme="majorHAnsi" w:hAnsiTheme="majorHAnsi" w:cstheme="majorHAnsi"/>
                <w:sz w:val="22"/>
                <w:szCs w:val="22"/>
              </w:rPr>
              <w:t>This will help to unravel the genotype-phenotype relationships, which could be of clinical relevance beyond clopidogrel response.</w:t>
            </w:r>
            <w:r>
              <w:rPr>
                <w:rFonts w:ascii="Arial" w:hAnsi="Arial" w:cs="Arial"/>
                <w:sz w:val="23"/>
                <w:szCs w:val="23"/>
              </w:rPr>
              <w:t xml:space="preserve"> </w:t>
            </w:r>
          </w:p>
          <w:p w14:paraId="3CD7DE62" w14:textId="77777777" w:rsidR="0093273D" w:rsidRPr="008673B8" w:rsidRDefault="0093273D" w:rsidP="00CF0D06">
            <w:pPr>
              <w:rPr>
                <w:rFonts w:asciiTheme="majorHAnsi" w:hAnsiTheme="majorHAnsi" w:cstheme="majorHAnsi"/>
                <w:color w:val="000000"/>
                <w:sz w:val="22"/>
                <w:szCs w:val="22"/>
              </w:rPr>
            </w:pP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lastRenderedPageBreak/>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2B6E5BB" w14:textId="77777777" w:rsidR="006C3388" w:rsidRDefault="006C3388" w:rsidP="006C3388">
            <w:pPr>
              <w:jc w:val="both"/>
              <w:rPr>
                <w:rFonts w:asciiTheme="majorHAnsi" w:hAnsiTheme="majorHAnsi" w:cstheme="majorHAnsi"/>
                <w:sz w:val="22"/>
                <w:szCs w:val="22"/>
              </w:rPr>
            </w:pPr>
            <w:r>
              <w:rPr>
                <w:rFonts w:asciiTheme="majorHAnsi" w:hAnsiTheme="majorHAnsi" w:cstheme="majorHAnsi"/>
                <w:sz w:val="22"/>
                <w:szCs w:val="22"/>
              </w:rPr>
              <w:t xml:space="preserve">1. Genotype, methylation and gene expression data derived from 62 AAs primary hepatocytes will be used to identify CYP-specific QTLs (i.e. </w:t>
            </w:r>
            <w:proofErr w:type="spellStart"/>
            <w:r>
              <w:rPr>
                <w:rFonts w:asciiTheme="majorHAnsi" w:hAnsiTheme="majorHAnsi" w:cstheme="majorHAnsi"/>
                <w:sz w:val="22"/>
                <w:szCs w:val="22"/>
              </w:rPr>
              <w:t>eQTLs</w:t>
            </w:r>
            <w:proofErr w:type="spellEnd"/>
            <w:r>
              <w:rPr>
                <w:rFonts w:asciiTheme="majorHAnsi" w:hAnsiTheme="majorHAnsi" w:cstheme="majorHAnsi"/>
                <w:sz w:val="22"/>
                <w:szCs w:val="22"/>
              </w:rPr>
              <w:t xml:space="preserve"> and </w:t>
            </w:r>
            <w:proofErr w:type="spellStart"/>
            <w:r>
              <w:rPr>
                <w:rFonts w:asciiTheme="majorHAnsi" w:hAnsiTheme="majorHAnsi" w:cstheme="majorHAnsi"/>
                <w:sz w:val="22"/>
                <w:szCs w:val="22"/>
              </w:rPr>
              <w:t>meQTLs</w:t>
            </w:r>
            <w:proofErr w:type="spellEnd"/>
            <w:r>
              <w:rPr>
                <w:rFonts w:asciiTheme="majorHAnsi" w:hAnsiTheme="majorHAnsi" w:cstheme="majorHAnsi"/>
                <w:sz w:val="22"/>
                <w:szCs w:val="22"/>
              </w:rPr>
              <w:t>)</w:t>
            </w:r>
          </w:p>
          <w:p w14:paraId="5D97EBFB" w14:textId="77777777" w:rsidR="006C3388" w:rsidRDefault="006C3388" w:rsidP="006C3388">
            <w:pPr>
              <w:jc w:val="both"/>
              <w:rPr>
                <w:rFonts w:asciiTheme="majorHAnsi" w:hAnsiTheme="majorHAnsi" w:cstheme="majorHAnsi"/>
                <w:sz w:val="22"/>
                <w:szCs w:val="22"/>
              </w:rPr>
            </w:pPr>
            <w:r>
              <w:rPr>
                <w:rFonts w:asciiTheme="majorHAnsi" w:hAnsiTheme="majorHAnsi" w:cstheme="majorHAnsi"/>
                <w:sz w:val="22"/>
                <w:szCs w:val="22"/>
              </w:rPr>
              <w:t>2. The identified QTLs will then be tested on 500 clopidogrel-treated AAs from Electronic Medical Records and Genomics (</w:t>
            </w:r>
            <w:proofErr w:type="spellStart"/>
            <w:r>
              <w:rPr>
                <w:rFonts w:asciiTheme="majorHAnsi" w:hAnsiTheme="majorHAnsi" w:cstheme="majorHAnsi"/>
                <w:sz w:val="22"/>
                <w:szCs w:val="22"/>
              </w:rPr>
              <w:t>eMERGE</w:t>
            </w:r>
            <w:proofErr w:type="spellEnd"/>
            <w:r>
              <w:rPr>
                <w:rFonts w:asciiTheme="majorHAnsi" w:hAnsiTheme="majorHAnsi" w:cstheme="majorHAnsi"/>
                <w:sz w:val="22"/>
                <w:szCs w:val="22"/>
              </w:rPr>
              <w:t>) Network and AA Cardiovascular Pharmacogenomics Consortium (</w:t>
            </w:r>
            <w:proofErr w:type="spellStart"/>
            <w:r>
              <w:rPr>
                <w:rFonts w:asciiTheme="majorHAnsi" w:hAnsiTheme="majorHAnsi" w:cstheme="majorHAnsi"/>
                <w:sz w:val="22"/>
                <w:szCs w:val="22"/>
              </w:rPr>
              <w:t>ACCOuNT</w:t>
            </w:r>
            <w:proofErr w:type="spellEnd"/>
            <w:r>
              <w:rPr>
                <w:rFonts w:asciiTheme="majorHAnsi" w:hAnsiTheme="majorHAnsi" w:cstheme="majorHAnsi"/>
                <w:sz w:val="22"/>
                <w:szCs w:val="22"/>
              </w:rPr>
              <w:t>), to detect those SNPs that expose AAs to a higher risk of CVEs from poor response to clopidogrel</w:t>
            </w:r>
          </w:p>
          <w:p w14:paraId="2844ED1A" w14:textId="77777777" w:rsidR="006C3388" w:rsidRDefault="006C3388" w:rsidP="006C3388">
            <w:pPr>
              <w:jc w:val="both"/>
              <w:rPr>
                <w:rFonts w:asciiTheme="majorHAnsi" w:hAnsiTheme="majorHAnsi" w:cstheme="majorHAnsi"/>
                <w:sz w:val="22"/>
                <w:szCs w:val="22"/>
              </w:rPr>
            </w:pPr>
            <w:r>
              <w:rPr>
                <w:rFonts w:asciiTheme="majorHAnsi" w:hAnsiTheme="majorHAnsi" w:cstheme="majorHAnsi"/>
                <w:sz w:val="22"/>
                <w:szCs w:val="22"/>
              </w:rPr>
              <w:t>3. The role of the QTLs will be explored for their association with other phenotypes by Phenome-wide association study (</w:t>
            </w:r>
            <w:proofErr w:type="spellStart"/>
            <w:r>
              <w:rPr>
                <w:rFonts w:asciiTheme="majorHAnsi" w:hAnsiTheme="majorHAnsi" w:cstheme="majorHAnsi"/>
                <w:sz w:val="22"/>
                <w:szCs w:val="22"/>
              </w:rPr>
              <w:t>PheWAS</w:t>
            </w:r>
            <w:proofErr w:type="spellEnd"/>
            <w:r>
              <w:rPr>
                <w:rFonts w:asciiTheme="majorHAnsi" w:hAnsiTheme="majorHAnsi" w:cstheme="majorHAnsi"/>
                <w:sz w:val="22"/>
                <w:szCs w:val="22"/>
              </w:rPr>
              <w:t>)</w:t>
            </w:r>
          </w:p>
          <w:p w14:paraId="13800465" w14:textId="77777777" w:rsidR="000A12A3" w:rsidRDefault="000A12A3" w:rsidP="00CF0D06">
            <w:pPr>
              <w:rPr>
                <w:rFonts w:asciiTheme="majorHAnsi" w:hAnsiTheme="majorHAnsi" w:cstheme="majorHAnsi"/>
                <w:sz w:val="22"/>
                <w:szCs w:val="22"/>
              </w:rPr>
            </w:pPr>
          </w:p>
          <w:p w14:paraId="51FA79D4" w14:textId="77777777" w:rsidR="000A12A3" w:rsidRDefault="000A12A3" w:rsidP="00CF0D06">
            <w:pPr>
              <w:rPr>
                <w:rFonts w:asciiTheme="majorHAnsi" w:hAnsiTheme="majorHAnsi" w:cstheme="majorHAnsi"/>
                <w:sz w:val="22"/>
                <w:szCs w:val="22"/>
              </w:rPr>
            </w:pPr>
          </w:p>
          <w:p w14:paraId="40461DB7" w14:textId="43A5FD7D" w:rsidR="000A12A3" w:rsidRPr="008673B8" w:rsidRDefault="000A12A3" w:rsidP="00CF0D06">
            <w:pPr>
              <w:rPr>
                <w:rFonts w:asciiTheme="majorHAnsi" w:hAnsiTheme="majorHAnsi" w:cstheme="majorHAnsi"/>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7C645DFA" w:rsidR="00C367EC" w:rsidRPr="00F17F66" w:rsidRDefault="00F17F66" w:rsidP="00F17F66">
            <w:pPr>
              <w:ind w:left="360"/>
              <w:rPr>
                <w:rFonts w:asciiTheme="majorHAnsi" w:hAnsiTheme="majorHAnsi" w:cstheme="majorHAnsi"/>
                <w:sz w:val="22"/>
                <w:szCs w:val="22"/>
              </w:rPr>
            </w:pPr>
            <w:r>
              <w:rPr>
                <w:rFonts w:ascii="Symbol" w:hAnsi="Symbol" w:cstheme="majorHAnsi"/>
                <w:sz w:val="22"/>
                <w:szCs w:val="22"/>
                <w:highlight w:val="lightGray"/>
              </w:rPr>
              <w:sym w:font="Wingdings" w:char="F0FE"/>
            </w:r>
            <w:r w:rsidR="00C367EC" w:rsidRPr="00F17F66">
              <w:rPr>
                <w:rFonts w:asciiTheme="majorHAnsi" w:hAnsiTheme="majorHAnsi" w:cstheme="majorHAnsi"/>
                <w:sz w:val="22"/>
                <w:szCs w:val="22"/>
              </w:rPr>
              <w:t xml:space="preserve">Demographics                               </w:t>
            </w:r>
          </w:p>
          <w:p w14:paraId="1611A790" w14:textId="3F3F31EA" w:rsidR="00C367EC" w:rsidRPr="00F17F66" w:rsidRDefault="00F17F66" w:rsidP="00F17F66">
            <w:pPr>
              <w:ind w:left="360"/>
              <w:rPr>
                <w:rFonts w:asciiTheme="majorHAnsi" w:hAnsiTheme="majorHAnsi" w:cstheme="majorHAnsi"/>
                <w:sz w:val="22"/>
                <w:szCs w:val="22"/>
              </w:rPr>
            </w:pPr>
            <w:r>
              <w:rPr>
                <w:rFonts w:ascii="Symbol" w:hAnsi="Symbol" w:cstheme="majorHAnsi"/>
                <w:sz w:val="22"/>
                <w:szCs w:val="22"/>
                <w:highlight w:val="lightGray"/>
              </w:rPr>
              <w:sym w:font="Wingdings" w:char="F0FE"/>
            </w:r>
            <w:r w:rsidR="00C367EC" w:rsidRPr="00F17F66">
              <w:rPr>
                <w:rFonts w:asciiTheme="majorHAnsi" w:hAnsiTheme="majorHAnsi" w:cstheme="majorHAnsi"/>
                <w:sz w:val="22"/>
                <w:szCs w:val="22"/>
              </w:rPr>
              <w:t>ICD</w:t>
            </w:r>
            <w:r w:rsidR="001F3540" w:rsidRPr="00F17F66">
              <w:rPr>
                <w:rFonts w:asciiTheme="majorHAnsi" w:hAnsiTheme="majorHAnsi" w:cstheme="majorHAnsi"/>
                <w:sz w:val="22"/>
                <w:szCs w:val="22"/>
              </w:rPr>
              <w:t>9/10</w:t>
            </w:r>
            <w:r w:rsidR="00C367EC" w:rsidRPr="00F17F66">
              <w:rPr>
                <w:rFonts w:asciiTheme="majorHAnsi" w:hAnsiTheme="majorHAnsi" w:cstheme="majorHAnsi"/>
                <w:sz w:val="22"/>
                <w:szCs w:val="22"/>
              </w:rPr>
              <w:t xml:space="preserve"> codes</w:t>
            </w:r>
          </w:p>
          <w:p w14:paraId="3E560944" w14:textId="77777777" w:rsidR="00C367EC" w:rsidRDefault="00C367EC" w:rsidP="00376326">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CPT codes</w:t>
            </w:r>
          </w:p>
          <w:p w14:paraId="05AE5A43" w14:textId="5AB62316" w:rsidR="00C367EC" w:rsidRPr="00F17F66" w:rsidRDefault="00F17F66" w:rsidP="00F17F66">
            <w:pPr>
              <w:ind w:left="360"/>
              <w:rPr>
                <w:rFonts w:asciiTheme="majorHAnsi" w:hAnsiTheme="majorHAnsi" w:cstheme="majorHAnsi"/>
                <w:sz w:val="22"/>
                <w:szCs w:val="22"/>
              </w:rPr>
            </w:pPr>
            <w:r>
              <w:rPr>
                <w:rFonts w:ascii="Symbol" w:hAnsi="Symbol" w:cstheme="majorHAnsi"/>
                <w:sz w:val="22"/>
                <w:szCs w:val="22"/>
                <w:highlight w:val="lightGray"/>
              </w:rPr>
              <w:sym w:font="Wingdings" w:char="F0FE"/>
            </w:r>
            <w:proofErr w:type="spellStart"/>
            <w:r w:rsidR="00C367EC" w:rsidRPr="00F17F66">
              <w:rPr>
                <w:rFonts w:asciiTheme="majorHAnsi" w:hAnsiTheme="majorHAnsi" w:cstheme="majorHAnsi"/>
                <w:sz w:val="22"/>
                <w:szCs w:val="22"/>
              </w:rPr>
              <w:t>Phecodes</w:t>
            </w:r>
            <w:proofErr w:type="spellEnd"/>
          </w:p>
          <w:p w14:paraId="3A9ACBE3" w14:textId="7E553DAA" w:rsidR="00B845FF" w:rsidRPr="00B845FF" w:rsidRDefault="00C367EC" w:rsidP="0025109A">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BMI</w:t>
            </w:r>
          </w:p>
        </w:tc>
        <w:tc>
          <w:tcPr>
            <w:tcW w:w="4132" w:type="dxa"/>
          </w:tcPr>
          <w:p w14:paraId="2574C661" w14:textId="0C453F1E" w:rsidR="00C367EC" w:rsidRPr="00376326" w:rsidRDefault="008B0CE2" w:rsidP="00376326">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Common Variable</w:t>
            </w:r>
            <w:r w:rsidR="00702039">
              <w:rPr>
                <w:rFonts w:asciiTheme="majorHAnsi" w:hAnsiTheme="majorHAnsi" w:cstheme="majorHAnsi"/>
                <w:sz w:val="22"/>
                <w:szCs w:val="22"/>
              </w:rPr>
              <w:t xml:space="preserve"> </w:t>
            </w:r>
            <w:r w:rsidR="00C367EC">
              <w:rPr>
                <w:rFonts w:asciiTheme="majorHAnsi" w:hAnsiTheme="majorHAnsi" w:cstheme="majorHAnsi"/>
                <w:sz w:val="22"/>
                <w:szCs w:val="22"/>
              </w:rPr>
              <w:t>Labs</w:t>
            </w:r>
          </w:p>
          <w:p w14:paraId="0BEB2E50" w14:textId="0DDF4760" w:rsidR="00C367EC" w:rsidRDefault="00702039" w:rsidP="00376326">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Common Variable Meds</w:t>
            </w:r>
          </w:p>
          <w:p w14:paraId="585C79F2" w14:textId="4C5735BC" w:rsidR="00C367EC" w:rsidRDefault="00B845FF" w:rsidP="00376326">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 xml:space="preserve">Other: </w:t>
            </w:r>
            <w:r w:rsidR="00C367EC">
              <w:rPr>
                <w:rFonts w:asciiTheme="majorHAnsi" w:hAnsiTheme="majorHAnsi" w:cstheme="majorHAnsi"/>
                <w:sz w:val="22"/>
                <w:szCs w:val="22"/>
              </w:rPr>
              <w:t>Case/Control status on Phase I and 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4D5B6052" w:rsidR="0025109A" w:rsidRPr="006B3450" w:rsidRDefault="006B3450" w:rsidP="000B7654">
            <w:pPr>
              <w:rPr>
                <w:rFonts w:asciiTheme="majorHAnsi" w:hAnsiTheme="majorHAnsi" w:cstheme="majorHAnsi"/>
                <w:sz w:val="22"/>
                <w:szCs w:val="22"/>
              </w:rPr>
            </w:pPr>
            <w:r w:rsidRPr="006B3450">
              <w:rPr>
                <w:rFonts w:asciiTheme="majorHAnsi" w:hAnsiTheme="majorHAnsi" w:cstheme="majorHAnsi"/>
                <w:sz w:val="22"/>
                <w:szCs w:val="22"/>
              </w:rPr>
              <w:t>Platelet reactivity unit</w:t>
            </w:r>
            <w:r>
              <w:rPr>
                <w:rFonts w:asciiTheme="majorHAnsi" w:hAnsiTheme="majorHAnsi" w:cstheme="majorHAnsi"/>
                <w:sz w:val="22"/>
                <w:szCs w:val="22"/>
              </w:rPr>
              <w:t xml:space="preserve"> (Optional covariate)</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68E15885" w:rsidR="0093273D" w:rsidRPr="001F1106" w:rsidRDefault="001F1106" w:rsidP="001F1106">
            <w:pPr>
              <w:ind w:left="360"/>
              <w:rPr>
                <w:rFonts w:asciiTheme="majorHAnsi" w:hAnsiTheme="majorHAnsi" w:cstheme="majorHAnsi"/>
                <w:sz w:val="22"/>
                <w:szCs w:val="22"/>
              </w:rPr>
            </w:pPr>
            <w:r>
              <w:rPr>
                <w:rFonts w:ascii="Symbol" w:hAnsi="Symbol" w:cstheme="majorHAnsi"/>
                <w:sz w:val="22"/>
                <w:szCs w:val="22"/>
                <w:highlight w:val="lightGray"/>
              </w:rPr>
              <w:sym w:font="Wingdings" w:char="F0FE"/>
            </w:r>
            <w:proofErr w:type="spellStart"/>
            <w:r w:rsidR="00376326" w:rsidRPr="001F1106">
              <w:rPr>
                <w:rFonts w:asciiTheme="majorHAnsi" w:hAnsiTheme="majorHAnsi" w:cstheme="majorHAnsi"/>
                <w:sz w:val="22"/>
                <w:szCs w:val="22"/>
              </w:rPr>
              <w:t>eMERGE</w:t>
            </w:r>
            <w:proofErr w:type="spellEnd"/>
            <w:r w:rsidR="00376326" w:rsidRPr="001F1106">
              <w:rPr>
                <w:rFonts w:asciiTheme="majorHAnsi" w:hAnsiTheme="majorHAnsi" w:cstheme="majorHAnsi"/>
                <w:sz w:val="22"/>
                <w:szCs w:val="22"/>
              </w:rPr>
              <w:t xml:space="preserve"> I-III Merged set (HRC imputed, GWAS)</w:t>
            </w:r>
          </w:p>
          <w:p w14:paraId="0175EB89" w14:textId="426E8E57" w:rsidR="00376326" w:rsidRPr="001F1106" w:rsidRDefault="001F1106" w:rsidP="001F1106">
            <w:pPr>
              <w:ind w:left="360"/>
              <w:rPr>
                <w:rFonts w:asciiTheme="majorHAnsi" w:hAnsiTheme="majorHAnsi" w:cstheme="majorHAnsi"/>
                <w:sz w:val="22"/>
                <w:szCs w:val="22"/>
              </w:rPr>
            </w:pPr>
            <w:r>
              <w:rPr>
                <w:rFonts w:ascii="Symbol" w:hAnsi="Symbol" w:cstheme="majorHAnsi"/>
                <w:sz w:val="22"/>
                <w:szCs w:val="22"/>
                <w:highlight w:val="lightGray"/>
              </w:rPr>
              <w:sym w:font="Wingdings" w:char="F0FE"/>
            </w:r>
            <w:proofErr w:type="spellStart"/>
            <w:r w:rsidR="00A14096" w:rsidRPr="001F1106">
              <w:rPr>
                <w:rFonts w:asciiTheme="majorHAnsi" w:hAnsiTheme="majorHAnsi" w:cstheme="majorHAnsi"/>
                <w:sz w:val="22"/>
                <w:szCs w:val="22"/>
              </w:rPr>
              <w:t>eMERGE</w:t>
            </w:r>
            <w:proofErr w:type="spellEnd"/>
            <w:r w:rsidR="00A14096" w:rsidRPr="001F1106">
              <w:rPr>
                <w:rFonts w:asciiTheme="majorHAnsi" w:hAnsiTheme="majorHAnsi" w:cstheme="majorHAnsi"/>
                <w:sz w:val="22"/>
                <w:szCs w:val="22"/>
              </w:rPr>
              <w:t xml:space="preserve"> </w:t>
            </w:r>
            <w:proofErr w:type="spellStart"/>
            <w:r w:rsidR="00A14096" w:rsidRPr="001F1106">
              <w:rPr>
                <w:rFonts w:asciiTheme="majorHAnsi" w:hAnsiTheme="majorHAnsi" w:cstheme="majorHAnsi"/>
                <w:sz w:val="22"/>
                <w:szCs w:val="22"/>
              </w:rPr>
              <w:t>PGx</w:t>
            </w:r>
            <w:proofErr w:type="spellEnd"/>
            <w:r w:rsidR="00A14096" w:rsidRPr="001F1106">
              <w:rPr>
                <w:rFonts w:asciiTheme="majorHAnsi" w:hAnsiTheme="majorHAnsi" w:cstheme="majorHAnsi"/>
                <w:sz w:val="22"/>
                <w:szCs w:val="22"/>
              </w:rPr>
              <w:t>/</w:t>
            </w:r>
            <w:proofErr w:type="spellStart"/>
            <w:r w:rsidR="00A14096" w:rsidRPr="001F1106">
              <w:rPr>
                <w:rFonts w:asciiTheme="majorHAnsi" w:hAnsiTheme="majorHAnsi" w:cstheme="majorHAnsi"/>
                <w:sz w:val="22"/>
                <w:szCs w:val="22"/>
              </w:rPr>
              <w:t>PGRNseq</w:t>
            </w:r>
            <w:proofErr w:type="spellEnd"/>
            <w:r w:rsidR="00A14096" w:rsidRPr="001F1106">
              <w:rPr>
                <w:rFonts w:asciiTheme="majorHAnsi" w:hAnsiTheme="majorHAnsi" w:cstheme="majorHAnsi"/>
                <w:sz w:val="22"/>
                <w:szCs w:val="22"/>
              </w:rPr>
              <w:t xml:space="preserve"> data set </w:t>
            </w:r>
          </w:p>
          <w:p w14:paraId="23D993BB" w14:textId="063FD214" w:rsidR="00376326" w:rsidRPr="001F1106" w:rsidRDefault="001F1106" w:rsidP="001F1106">
            <w:pPr>
              <w:ind w:left="360"/>
              <w:rPr>
                <w:rFonts w:asciiTheme="majorHAnsi" w:hAnsiTheme="majorHAnsi" w:cstheme="majorHAnsi"/>
                <w:sz w:val="22"/>
                <w:szCs w:val="22"/>
              </w:rPr>
            </w:pPr>
            <w:r>
              <w:rPr>
                <w:rFonts w:ascii="Symbol" w:hAnsi="Symbol" w:cstheme="majorHAnsi"/>
                <w:sz w:val="22"/>
                <w:szCs w:val="22"/>
                <w:highlight w:val="lightGray"/>
              </w:rPr>
              <w:sym w:font="Wingdings" w:char="F0FE"/>
            </w:r>
            <w:proofErr w:type="spellStart"/>
            <w:r w:rsidR="00376326" w:rsidRPr="001F1106">
              <w:rPr>
                <w:rFonts w:asciiTheme="majorHAnsi" w:hAnsiTheme="majorHAnsi" w:cstheme="majorHAnsi"/>
                <w:sz w:val="22"/>
                <w:szCs w:val="22"/>
              </w:rPr>
              <w:t>eMERGEseq</w:t>
            </w:r>
            <w:proofErr w:type="spellEnd"/>
            <w:r w:rsidR="00376326" w:rsidRPr="001F1106">
              <w:rPr>
                <w:rFonts w:asciiTheme="majorHAnsi" w:hAnsiTheme="majorHAnsi" w:cstheme="majorHAnsi"/>
                <w:sz w:val="22"/>
                <w:szCs w:val="22"/>
              </w:rPr>
              <w:t xml:space="preserve"> data set (Phase III)</w:t>
            </w:r>
          </w:p>
          <w:p w14:paraId="6D051FCF" w14:textId="69139CA5" w:rsidR="00376326" w:rsidRPr="001F1106" w:rsidRDefault="001F1106" w:rsidP="001F1106">
            <w:pPr>
              <w:ind w:left="360"/>
              <w:rPr>
                <w:rFonts w:asciiTheme="majorHAnsi" w:hAnsiTheme="majorHAnsi" w:cstheme="majorHAnsi"/>
                <w:sz w:val="22"/>
                <w:szCs w:val="22"/>
              </w:rPr>
            </w:pPr>
            <w:r>
              <w:rPr>
                <w:rFonts w:ascii="Symbol" w:hAnsi="Symbol" w:cstheme="majorHAnsi"/>
                <w:sz w:val="22"/>
                <w:szCs w:val="22"/>
                <w:highlight w:val="lightGray"/>
              </w:rPr>
              <w:sym w:font="Wingdings" w:char="F0FE"/>
            </w:r>
            <w:proofErr w:type="spellStart"/>
            <w:r w:rsidR="00376326" w:rsidRPr="001F1106">
              <w:rPr>
                <w:rFonts w:asciiTheme="majorHAnsi" w:hAnsiTheme="majorHAnsi" w:cstheme="majorHAnsi"/>
                <w:sz w:val="22"/>
                <w:szCs w:val="22"/>
              </w:rPr>
              <w:t>eMERGE</w:t>
            </w:r>
            <w:proofErr w:type="spellEnd"/>
            <w:r w:rsidR="00376326" w:rsidRPr="001F1106">
              <w:rPr>
                <w:rFonts w:asciiTheme="majorHAnsi" w:hAnsiTheme="majorHAnsi" w:cstheme="majorHAnsi"/>
                <w:sz w:val="22"/>
                <w:szCs w:val="22"/>
              </w:rPr>
              <w:t xml:space="preserve"> Wh</w:t>
            </w:r>
            <w:r w:rsidR="0025109A" w:rsidRPr="001F1106">
              <w:rPr>
                <w:rFonts w:asciiTheme="majorHAnsi" w:hAnsiTheme="majorHAnsi" w:cstheme="majorHAnsi"/>
                <w:sz w:val="22"/>
                <w:szCs w:val="22"/>
              </w:rPr>
              <w:t>o</w:t>
            </w:r>
            <w:r w:rsidR="00376326" w:rsidRPr="001F1106">
              <w:rPr>
                <w:rFonts w:asciiTheme="majorHAnsi" w:hAnsiTheme="majorHAnsi" w:cstheme="majorHAnsi"/>
                <w:sz w:val="22"/>
                <w:szCs w:val="22"/>
              </w:rPr>
              <w:t>le Genome sequencing data set</w:t>
            </w:r>
          </w:p>
          <w:p w14:paraId="78A23A59" w14:textId="77777777" w:rsidR="00376326" w:rsidRDefault="00376326" w:rsidP="00376326">
            <w:pPr>
              <w:pStyle w:val="ListParagraph"/>
              <w:numPr>
                <w:ilvl w:val="0"/>
                <w:numId w:val="2"/>
              </w:numPr>
              <w:rPr>
                <w:rFonts w:asciiTheme="majorHAnsi" w:hAnsiTheme="majorHAnsi" w:cstheme="majorHAnsi"/>
                <w:sz w:val="22"/>
                <w:szCs w:val="22"/>
              </w:rPr>
            </w:pPr>
            <w:proofErr w:type="spellStart"/>
            <w:r>
              <w:rPr>
                <w:rFonts w:asciiTheme="majorHAnsi" w:hAnsiTheme="majorHAnsi" w:cstheme="majorHAnsi"/>
                <w:sz w:val="22"/>
                <w:szCs w:val="22"/>
              </w:rPr>
              <w:t>eMERGE</w:t>
            </w:r>
            <w:proofErr w:type="spellEnd"/>
            <w:r>
              <w:rPr>
                <w:rFonts w:asciiTheme="majorHAnsi" w:hAnsiTheme="majorHAnsi" w:cstheme="majorHAnsi"/>
                <w:sz w:val="22"/>
                <w:szCs w:val="22"/>
              </w:rPr>
              <w:t xml:space="preserve"> Exome chip data set</w:t>
            </w:r>
          </w:p>
          <w:p w14:paraId="4C7B91CA" w14:textId="77777777" w:rsidR="00376326" w:rsidRDefault="00376326" w:rsidP="00376326">
            <w:pPr>
              <w:pStyle w:val="ListParagraph"/>
              <w:numPr>
                <w:ilvl w:val="0"/>
                <w:numId w:val="2"/>
              </w:numPr>
              <w:rPr>
                <w:rFonts w:asciiTheme="majorHAnsi" w:hAnsiTheme="majorHAnsi" w:cstheme="majorHAnsi"/>
                <w:sz w:val="22"/>
                <w:szCs w:val="22"/>
              </w:rPr>
            </w:pPr>
            <w:proofErr w:type="spellStart"/>
            <w:r>
              <w:rPr>
                <w:rFonts w:asciiTheme="majorHAnsi" w:hAnsiTheme="majorHAnsi" w:cstheme="majorHAnsi"/>
                <w:sz w:val="22"/>
                <w:szCs w:val="22"/>
              </w:rPr>
              <w:t>eMERGE</w:t>
            </w:r>
            <w:proofErr w:type="spellEnd"/>
            <w:r>
              <w:rPr>
                <w:rFonts w:asciiTheme="majorHAnsi" w:hAnsiTheme="majorHAnsi" w:cstheme="majorHAnsi"/>
                <w:sz w:val="22"/>
                <w:szCs w:val="22"/>
              </w:rPr>
              <w:t xml:space="preserve"> Whole Exome sequencing data set</w:t>
            </w:r>
          </w:p>
          <w:p w14:paraId="02A57161" w14:textId="788DFA12" w:rsidR="00571D40" w:rsidRPr="00376326" w:rsidRDefault="00571D40" w:rsidP="00376326">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 xml:space="preserve">Does project pertain to an existing </w:t>
            </w:r>
            <w:proofErr w:type="spellStart"/>
            <w:r>
              <w:rPr>
                <w:rFonts w:ascii="Calibri Light" w:hAnsi="Calibri Light"/>
                <w:b/>
                <w:sz w:val="22"/>
              </w:rPr>
              <w:t>eMERGE</w:t>
            </w:r>
            <w:proofErr w:type="spellEnd"/>
            <w:r>
              <w:rPr>
                <w:rFonts w:ascii="Calibri Light" w:hAnsi="Calibri Light"/>
                <w:b/>
                <w:sz w:val="22"/>
              </w:rPr>
              <w:t xml:space="preserv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73AA8DED" w:rsidR="0063131E" w:rsidRDefault="0063131E" w:rsidP="0063131E">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 xml:space="preserve">Yes, if so please list                               </w:t>
            </w:r>
          </w:p>
          <w:p w14:paraId="2C71B567" w14:textId="562A7AD2" w:rsidR="0063131E" w:rsidRPr="00F17F66" w:rsidRDefault="00F17F66" w:rsidP="00F17F66">
            <w:pPr>
              <w:ind w:left="360"/>
              <w:rPr>
                <w:rFonts w:asciiTheme="majorHAnsi" w:hAnsiTheme="majorHAnsi" w:cstheme="majorHAnsi"/>
                <w:sz w:val="22"/>
                <w:szCs w:val="22"/>
              </w:rPr>
            </w:pPr>
            <w:r>
              <w:rPr>
                <w:rFonts w:ascii="Symbol" w:hAnsi="Symbol" w:cstheme="majorHAnsi"/>
                <w:sz w:val="22"/>
                <w:szCs w:val="22"/>
                <w:highlight w:val="lightGray"/>
              </w:rPr>
              <w:sym w:font="Wingdings" w:char="F0FE"/>
            </w:r>
            <w:r w:rsidR="0063131E" w:rsidRPr="00F17F66">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7541C2" w14:textId="77777777" w:rsidR="006C3388" w:rsidRDefault="006C3388" w:rsidP="006C3388">
            <w:pPr>
              <w:spacing w:line="256" w:lineRule="auto"/>
              <w:rPr>
                <w:rFonts w:asciiTheme="majorHAnsi" w:hAnsiTheme="majorHAnsi" w:cstheme="majorHAnsi"/>
                <w:sz w:val="22"/>
                <w:szCs w:val="22"/>
              </w:rPr>
            </w:pPr>
            <w:r>
              <w:rPr>
                <w:rFonts w:asciiTheme="majorHAnsi" w:hAnsiTheme="majorHAnsi" w:cstheme="majorHAnsi"/>
                <w:b/>
                <w:sz w:val="22"/>
                <w:szCs w:val="22"/>
                <w:u w:val="single"/>
              </w:rPr>
              <w:t>QTL Mapping:</w:t>
            </w:r>
            <w:r>
              <w:rPr>
                <w:rFonts w:asciiTheme="majorHAnsi" w:hAnsiTheme="majorHAnsi" w:cstheme="majorHAnsi"/>
                <w:sz w:val="22"/>
                <w:szCs w:val="22"/>
              </w:rPr>
              <w:t xml:space="preserve"> This will be performed with </w:t>
            </w:r>
            <w:proofErr w:type="spellStart"/>
            <w:r>
              <w:rPr>
                <w:rFonts w:asciiTheme="majorHAnsi" w:hAnsiTheme="majorHAnsi" w:cstheme="majorHAnsi"/>
                <w:sz w:val="22"/>
                <w:szCs w:val="22"/>
              </w:rPr>
              <w:t>FastQTL</w:t>
            </w:r>
            <w:proofErr w:type="spellEnd"/>
            <w:r>
              <w:rPr>
                <w:rFonts w:asciiTheme="majorHAnsi" w:hAnsiTheme="majorHAnsi" w:cstheme="majorHAnsi"/>
                <w:sz w:val="22"/>
                <w:szCs w:val="22"/>
              </w:rPr>
              <w:t xml:space="preserve"> using covariates identified through the Probabilistic Estimation of Expression Residuals (PEER) method, first three principal components (PCs), age and gender. A false discovery rate (FDR) of ≤0.05 will be applied to identify genes with a significant QTL (</w:t>
            </w:r>
            <w:proofErr w:type="spellStart"/>
            <w:r>
              <w:rPr>
                <w:rFonts w:asciiTheme="majorHAnsi" w:hAnsiTheme="majorHAnsi" w:cstheme="majorHAnsi"/>
                <w:sz w:val="22"/>
                <w:szCs w:val="22"/>
              </w:rPr>
              <w:t>eGenes</w:t>
            </w:r>
            <w:proofErr w:type="spellEnd"/>
            <w:r>
              <w:rPr>
                <w:rFonts w:asciiTheme="majorHAnsi" w:hAnsiTheme="majorHAnsi" w:cstheme="majorHAnsi"/>
                <w:sz w:val="22"/>
                <w:szCs w:val="22"/>
              </w:rPr>
              <w:t xml:space="preserve">). To detect the significant variant-gene pairs associated with </w:t>
            </w:r>
            <w:proofErr w:type="spellStart"/>
            <w:r>
              <w:rPr>
                <w:rFonts w:asciiTheme="majorHAnsi" w:hAnsiTheme="majorHAnsi" w:cstheme="majorHAnsi"/>
                <w:sz w:val="22"/>
                <w:szCs w:val="22"/>
              </w:rPr>
              <w:t>eGenes</w:t>
            </w:r>
            <w:proofErr w:type="spellEnd"/>
            <w:r>
              <w:rPr>
                <w:rFonts w:asciiTheme="majorHAnsi" w:hAnsiTheme="majorHAnsi" w:cstheme="majorHAnsi"/>
                <w:sz w:val="22"/>
                <w:szCs w:val="22"/>
              </w:rPr>
              <w:t xml:space="preserve">, an empirical p-value threshold, </w:t>
            </w:r>
            <w:proofErr w:type="spellStart"/>
            <w:r>
              <w:rPr>
                <w:rFonts w:asciiTheme="majorHAnsi" w:hAnsiTheme="majorHAnsi" w:cstheme="majorHAnsi"/>
                <w:sz w:val="22"/>
                <w:szCs w:val="22"/>
              </w:rPr>
              <w:t>pt</w:t>
            </w:r>
            <w:proofErr w:type="spellEnd"/>
            <w:r>
              <w:rPr>
                <w:rFonts w:asciiTheme="majorHAnsi" w:hAnsiTheme="majorHAnsi" w:cstheme="majorHAnsi"/>
                <w:sz w:val="22"/>
                <w:szCs w:val="22"/>
              </w:rPr>
              <w:t xml:space="preserve">, defined as the empirical p-value of the gene closest to the 0.05 FDR, will be used to calculate a nominal p-value threshold for each gene based on the beta distribution model (from </w:t>
            </w:r>
            <w:proofErr w:type="spellStart"/>
            <w:r>
              <w:rPr>
                <w:rFonts w:asciiTheme="majorHAnsi" w:hAnsiTheme="majorHAnsi" w:cstheme="majorHAnsi"/>
                <w:sz w:val="22"/>
                <w:szCs w:val="22"/>
              </w:rPr>
              <w:t>FastQTL</w:t>
            </w:r>
            <w:proofErr w:type="spellEnd"/>
            <w:r>
              <w:rPr>
                <w:rFonts w:asciiTheme="majorHAnsi" w:hAnsiTheme="majorHAnsi" w:cstheme="majorHAnsi"/>
                <w:sz w:val="22"/>
                <w:szCs w:val="22"/>
              </w:rPr>
              <w:t>) of the minimum p-value distribution f(</w:t>
            </w:r>
            <w:proofErr w:type="spellStart"/>
            <w:r>
              <w:rPr>
                <w:rFonts w:asciiTheme="majorHAnsi" w:hAnsiTheme="majorHAnsi" w:cstheme="majorHAnsi"/>
                <w:sz w:val="22"/>
                <w:szCs w:val="22"/>
              </w:rPr>
              <w:t>pmin</w:t>
            </w:r>
            <w:proofErr w:type="spellEnd"/>
            <w:r>
              <w:rPr>
                <w:rFonts w:asciiTheme="majorHAnsi" w:hAnsiTheme="majorHAnsi" w:cstheme="majorHAnsi"/>
                <w:sz w:val="22"/>
                <w:szCs w:val="22"/>
              </w:rPr>
              <w:t xml:space="preserve">) obtained from the permutations for the gene. </w:t>
            </w:r>
          </w:p>
          <w:p w14:paraId="056872B1" w14:textId="77777777" w:rsidR="006C3388" w:rsidRDefault="006C3388" w:rsidP="006C3388">
            <w:pPr>
              <w:spacing w:line="256" w:lineRule="auto"/>
              <w:rPr>
                <w:rFonts w:asciiTheme="majorHAnsi" w:hAnsiTheme="majorHAnsi" w:cstheme="majorHAnsi"/>
                <w:sz w:val="22"/>
                <w:szCs w:val="22"/>
              </w:rPr>
            </w:pPr>
            <w:r>
              <w:rPr>
                <w:rFonts w:asciiTheme="majorHAnsi" w:hAnsiTheme="majorHAnsi" w:cstheme="majorHAnsi"/>
                <w:b/>
                <w:sz w:val="22"/>
                <w:szCs w:val="22"/>
                <w:u w:val="single"/>
              </w:rPr>
              <w:t>Study the association of the QTLs with clopidogrel response</w:t>
            </w:r>
            <w:r>
              <w:rPr>
                <w:rFonts w:asciiTheme="majorHAnsi" w:hAnsiTheme="majorHAnsi" w:cstheme="majorHAnsi"/>
                <w:sz w:val="22"/>
                <w:szCs w:val="22"/>
              </w:rPr>
              <w:t xml:space="preserve">: Five hundred clopidogrel-treated AAs recruited through </w:t>
            </w:r>
            <w:proofErr w:type="spellStart"/>
            <w:r>
              <w:rPr>
                <w:rFonts w:asciiTheme="majorHAnsi" w:hAnsiTheme="majorHAnsi" w:cstheme="majorHAnsi"/>
                <w:sz w:val="22"/>
                <w:szCs w:val="22"/>
              </w:rPr>
              <w:t>eMERGE</w:t>
            </w:r>
            <w:proofErr w:type="spellEnd"/>
            <w:r>
              <w:rPr>
                <w:rFonts w:asciiTheme="majorHAnsi" w:hAnsiTheme="majorHAnsi" w:cstheme="majorHAnsi"/>
                <w:sz w:val="22"/>
                <w:szCs w:val="22"/>
              </w:rPr>
              <w:t xml:space="preserve"> and </w:t>
            </w:r>
            <w:proofErr w:type="spellStart"/>
            <w:r>
              <w:rPr>
                <w:rFonts w:asciiTheme="majorHAnsi" w:hAnsiTheme="majorHAnsi" w:cstheme="majorHAnsi"/>
                <w:sz w:val="22"/>
                <w:szCs w:val="22"/>
              </w:rPr>
              <w:t>ACCOuNT</w:t>
            </w:r>
            <w:proofErr w:type="spellEnd"/>
            <w:r>
              <w:rPr>
                <w:rFonts w:asciiTheme="majorHAnsi" w:hAnsiTheme="majorHAnsi" w:cstheme="majorHAnsi"/>
                <w:sz w:val="22"/>
                <w:szCs w:val="22"/>
              </w:rPr>
              <w:t xml:space="preserve"> projects will be used to test the effect of QTLs on clopidogrel response, using the available genotype and phenotype information. Subjects will be assigned case-control status depending on the occurrence of a recurrent cardiovascular event within 1 year of clopidogrel treatment. Association </w:t>
            </w:r>
            <w:r>
              <w:rPr>
                <w:rFonts w:asciiTheme="majorHAnsi" w:hAnsiTheme="majorHAnsi" w:cstheme="majorHAnsi"/>
                <w:sz w:val="22"/>
                <w:szCs w:val="22"/>
              </w:rPr>
              <w:lastRenderedPageBreak/>
              <w:t xml:space="preserve">analysis will be done using PLINK, after adjusting for clinical covariates significantly associated with response variability. </w:t>
            </w:r>
          </w:p>
          <w:p w14:paraId="43950299" w14:textId="5737616C" w:rsidR="0093273D" w:rsidRPr="008673B8" w:rsidRDefault="006C3388" w:rsidP="006C3388">
            <w:pPr>
              <w:spacing w:line="256" w:lineRule="auto"/>
              <w:rPr>
                <w:rFonts w:asciiTheme="majorHAnsi" w:hAnsiTheme="majorHAnsi" w:cstheme="majorHAnsi"/>
                <w:sz w:val="22"/>
                <w:szCs w:val="22"/>
              </w:rPr>
            </w:pPr>
            <w:r>
              <w:rPr>
                <w:rFonts w:asciiTheme="majorHAnsi" w:hAnsiTheme="majorHAnsi" w:cstheme="majorHAnsi"/>
                <w:b/>
                <w:sz w:val="22"/>
                <w:szCs w:val="22"/>
                <w:u w:val="single"/>
              </w:rPr>
              <w:t xml:space="preserve">Explore the role of the </w:t>
            </w:r>
            <w:proofErr w:type="spellStart"/>
            <w:r>
              <w:rPr>
                <w:rFonts w:asciiTheme="majorHAnsi" w:hAnsiTheme="majorHAnsi" w:cstheme="majorHAnsi"/>
                <w:b/>
                <w:sz w:val="22"/>
                <w:szCs w:val="22"/>
                <w:u w:val="single"/>
              </w:rPr>
              <w:t>eQTLs</w:t>
            </w:r>
            <w:proofErr w:type="spellEnd"/>
            <w:r>
              <w:rPr>
                <w:rFonts w:asciiTheme="majorHAnsi" w:hAnsiTheme="majorHAnsi" w:cstheme="majorHAnsi"/>
                <w:b/>
                <w:sz w:val="22"/>
                <w:szCs w:val="22"/>
                <w:u w:val="single"/>
              </w:rPr>
              <w:t xml:space="preserve"> for their association with other phenotypes:</w:t>
            </w:r>
            <w:r>
              <w:rPr>
                <w:rFonts w:asciiTheme="majorHAnsi" w:hAnsiTheme="majorHAnsi" w:cstheme="majorHAnsi"/>
                <w:sz w:val="22"/>
                <w:szCs w:val="22"/>
              </w:rPr>
              <w:t xml:space="preserve"> Case-control status will be defined for each ICD-9 code. Individual with ≥ 3 instances of an ICD-9 code will be considered as a case and control status is assigned based on the absence of an ICD-9 code. Samples with &gt;0 but &lt;3 ICD-9 code will be removed from analysis for that ICD-9 code. For a </w:t>
            </w:r>
            <w:proofErr w:type="spellStart"/>
            <w:r>
              <w:rPr>
                <w:rFonts w:asciiTheme="majorHAnsi" w:hAnsiTheme="majorHAnsi" w:cstheme="majorHAnsi"/>
                <w:sz w:val="22"/>
                <w:szCs w:val="22"/>
              </w:rPr>
              <w:t>Phecode</w:t>
            </w:r>
            <w:proofErr w:type="spellEnd"/>
            <w:r>
              <w:rPr>
                <w:rFonts w:asciiTheme="majorHAnsi" w:hAnsiTheme="majorHAnsi" w:cstheme="majorHAnsi"/>
                <w:sz w:val="22"/>
                <w:szCs w:val="22"/>
              </w:rPr>
              <w:t xml:space="preserve"> to be used there must be at least 20 cases. A logistic regression analysis will be carried out, to calculate the odds ratios (ORs) and 95% confidence intervals (95% CI), for each </w:t>
            </w:r>
            <w:proofErr w:type="spellStart"/>
            <w:r>
              <w:rPr>
                <w:rFonts w:asciiTheme="majorHAnsi" w:hAnsiTheme="majorHAnsi" w:cstheme="majorHAnsi"/>
                <w:sz w:val="22"/>
                <w:szCs w:val="22"/>
              </w:rPr>
              <w:t>PheWAS</w:t>
            </w:r>
            <w:proofErr w:type="spellEnd"/>
            <w:r>
              <w:rPr>
                <w:rFonts w:asciiTheme="majorHAnsi" w:hAnsiTheme="majorHAnsi" w:cstheme="majorHAnsi"/>
                <w:sz w:val="22"/>
                <w:szCs w:val="22"/>
              </w:rPr>
              <w:t xml:space="preserve"> code, after adjusting for gender, age, genotyping platform and the first three PCs. Analyses will be performed and graphed using the </w:t>
            </w:r>
            <w:proofErr w:type="spellStart"/>
            <w:r>
              <w:rPr>
                <w:rFonts w:asciiTheme="majorHAnsi" w:hAnsiTheme="majorHAnsi" w:cstheme="majorHAnsi"/>
                <w:sz w:val="22"/>
                <w:szCs w:val="22"/>
              </w:rPr>
              <w:t>PheWAS</w:t>
            </w:r>
            <w:proofErr w:type="spellEnd"/>
            <w:r>
              <w:rPr>
                <w:rFonts w:asciiTheme="majorHAnsi" w:hAnsiTheme="majorHAnsi" w:cstheme="majorHAnsi"/>
                <w:sz w:val="22"/>
                <w:szCs w:val="22"/>
              </w:rPr>
              <w:t xml:space="preserve"> package in R version 3.2.5.</w:t>
            </w: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lastRenderedPageBreak/>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E264CE2" w14:textId="2D2FC371" w:rsidR="0093273D" w:rsidRPr="008673B8" w:rsidRDefault="006C3388" w:rsidP="00CF0D06">
            <w:pPr>
              <w:rPr>
                <w:rFonts w:asciiTheme="majorHAnsi" w:hAnsiTheme="majorHAnsi" w:cstheme="majorHAnsi"/>
                <w:sz w:val="22"/>
                <w:szCs w:val="22"/>
              </w:rPr>
            </w:pPr>
            <w:r>
              <w:rPr>
                <w:rFonts w:asciiTheme="majorHAnsi" w:hAnsiTheme="majorHAnsi" w:cstheme="majorHAnsi"/>
                <w:sz w:val="22"/>
                <w:szCs w:val="22"/>
              </w:rPr>
              <w:t>This is a retrospective study with no direct interaction with subjects. There will be no loss of confidentiality as the data will be stored in a secured environment and password protected and encrypted computer maintained per NU policy that only the investigators will be able to access. There are no direct benefits to the patients for their participation in this study. However, our research findings may benefit other patients</w:t>
            </w: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4DE3EF10" w:rsidR="000A12A3" w:rsidRPr="008673B8" w:rsidRDefault="006C3388" w:rsidP="00CF0D06">
            <w:pPr>
              <w:rPr>
                <w:rFonts w:asciiTheme="majorHAnsi" w:hAnsiTheme="majorHAnsi" w:cstheme="majorHAnsi"/>
                <w:sz w:val="22"/>
                <w:szCs w:val="22"/>
              </w:rPr>
            </w:pPr>
            <w:r>
              <w:rPr>
                <w:rFonts w:asciiTheme="majorHAnsi" w:hAnsiTheme="majorHAnsi" w:cstheme="majorHAnsi"/>
                <w:sz w:val="22"/>
                <w:szCs w:val="22"/>
              </w:rPr>
              <w:t>The Lancet</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6769E30" w14:textId="39F839CF" w:rsidR="000557D9" w:rsidRPr="00E2417D" w:rsidRDefault="000557D9" w:rsidP="000557D9">
            <w:pPr>
              <w:jc w:val="both"/>
              <w:rPr>
                <w:rFonts w:asciiTheme="majorHAnsi" w:hAnsiTheme="majorHAnsi" w:cstheme="majorHAnsi"/>
                <w:sz w:val="22"/>
                <w:szCs w:val="22"/>
              </w:rPr>
            </w:pPr>
            <w:r w:rsidRPr="00E2417D">
              <w:rPr>
                <w:rFonts w:asciiTheme="majorHAnsi" w:hAnsiTheme="majorHAnsi" w:cstheme="majorHAnsi"/>
                <w:sz w:val="22"/>
                <w:szCs w:val="22"/>
              </w:rPr>
              <w:t xml:space="preserve">Project Approval </w:t>
            </w:r>
            <w:r>
              <w:rPr>
                <w:rFonts w:asciiTheme="majorHAnsi" w:hAnsiTheme="majorHAnsi" w:cstheme="majorHAnsi"/>
                <w:sz w:val="22"/>
                <w:szCs w:val="22"/>
              </w:rPr>
              <w:t>–</w:t>
            </w:r>
            <w:r w:rsidRPr="00E2417D">
              <w:rPr>
                <w:rFonts w:asciiTheme="majorHAnsi" w:hAnsiTheme="majorHAnsi" w:cstheme="majorHAnsi"/>
                <w:sz w:val="22"/>
                <w:szCs w:val="22"/>
              </w:rPr>
              <w:t xml:space="preserve"> </w:t>
            </w:r>
            <w:r w:rsidR="002B514F">
              <w:rPr>
                <w:rFonts w:asciiTheme="majorHAnsi" w:hAnsiTheme="majorHAnsi" w:cstheme="majorHAnsi"/>
                <w:sz w:val="22"/>
                <w:szCs w:val="22"/>
              </w:rPr>
              <w:t>March 2019</w:t>
            </w:r>
          </w:p>
          <w:p w14:paraId="1F9F7ADF" w14:textId="027CF0CC" w:rsidR="000557D9" w:rsidRPr="00E2417D" w:rsidRDefault="000557D9" w:rsidP="000557D9">
            <w:pPr>
              <w:jc w:val="both"/>
              <w:rPr>
                <w:rFonts w:asciiTheme="majorHAnsi" w:hAnsiTheme="majorHAnsi" w:cstheme="majorHAnsi"/>
                <w:sz w:val="22"/>
                <w:szCs w:val="22"/>
              </w:rPr>
            </w:pPr>
            <w:r w:rsidRPr="00E2417D">
              <w:rPr>
                <w:rFonts w:asciiTheme="majorHAnsi" w:hAnsiTheme="majorHAnsi" w:cstheme="majorHAnsi"/>
                <w:sz w:val="22"/>
                <w:szCs w:val="22"/>
              </w:rPr>
              <w:t xml:space="preserve">Project duration </w:t>
            </w:r>
            <w:r>
              <w:rPr>
                <w:rFonts w:asciiTheme="majorHAnsi" w:hAnsiTheme="majorHAnsi" w:cstheme="majorHAnsi"/>
                <w:sz w:val="22"/>
                <w:szCs w:val="22"/>
              </w:rPr>
              <w:t>–</w:t>
            </w:r>
            <w:r w:rsidRPr="00E2417D">
              <w:rPr>
                <w:rFonts w:asciiTheme="majorHAnsi" w:hAnsiTheme="majorHAnsi" w:cstheme="majorHAnsi"/>
                <w:sz w:val="22"/>
                <w:szCs w:val="22"/>
              </w:rPr>
              <w:t xml:space="preserve"> </w:t>
            </w:r>
            <w:r w:rsidR="002B514F">
              <w:rPr>
                <w:rFonts w:asciiTheme="majorHAnsi" w:hAnsiTheme="majorHAnsi" w:cstheme="majorHAnsi"/>
                <w:sz w:val="22"/>
                <w:szCs w:val="22"/>
              </w:rPr>
              <w:t>April 2019</w:t>
            </w:r>
            <w:r>
              <w:rPr>
                <w:rFonts w:asciiTheme="majorHAnsi" w:hAnsiTheme="majorHAnsi" w:cstheme="majorHAnsi"/>
                <w:sz w:val="22"/>
                <w:szCs w:val="22"/>
              </w:rPr>
              <w:t xml:space="preserve"> to </w:t>
            </w:r>
            <w:r w:rsidR="002B514F">
              <w:rPr>
                <w:rFonts w:asciiTheme="majorHAnsi" w:hAnsiTheme="majorHAnsi" w:cstheme="majorHAnsi"/>
                <w:sz w:val="22"/>
                <w:szCs w:val="22"/>
              </w:rPr>
              <w:t>December 2019</w:t>
            </w:r>
          </w:p>
          <w:p w14:paraId="6DAA7CF8" w14:textId="5D928F7E" w:rsidR="0093273D" w:rsidRDefault="000557D9" w:rsidP="000557D9">
            <w:pPr>
              <w:rPr>
                <w:rFonts w:asciiTheme="majorHAnsi" w:hAnsiTheme="majorHAnsi" w:cstheme="majorHAnsi"/>
                <w:sz w:val="22"/>
                <w:szCs w:val="22"/>
              </w:rPr>
            </w:pPr>
            <w:r w:rsidRPr="00E2417D">
              <w:rPr>
                <w:rFonts w:asciiTheme="majorHAnsi" w:hAnsiTheme="majorHAnsi" w:cstheme="majorHAnsi"/>
                <w:sz w:val="22"/>
                <w:szCs w:val="22"/>
              </w:rPr>
              <w:t xml:space="preserve">Manuscript preparation </w:t>
            </w:r>
            <w:r>
              <w:rPr>
                <w:rFonts w:asciiTheme="majorHAnsi" w:hAnsiTheme="majorHAnsi" w:cstheme="majorHAnsi"/>
                <w:sz w:val="22"/>
                <w:szCs w:val="22"/>
              </w:rPr>
              <w:t>first draft</w:t>
            </w:r>
            <w:r w:rsidRPr="00E2417D">
              <w:rPr>
                <w:rFonts w:asciiTheme="majorHAnsi" w:hAnsiTheme="majorHAnsi" w:cstheme="majorHAnsi"/>
                <w:sz w:val="22"/>
                <w:szCs w:val="22"/>
              </w:rPr>
              <w:t xml:space="preserve"> </w:t>
            </w:r>
            <w:r>
              <w:rPr>
                <w:rFonts w:asciiTheme="majorHAnsi" w:hAnsiTheme="majorHAnsi" w:cstheme="majorHAnsi"/>
                <w:sz w:val="22"/>
                <w:szCs w:val="22"/>
              </w:rPr>
              <w:t>–</w:t>
            </w:r>
            <w:r w:rsidRPr="00E2417D">
              <w:rPr>
                <w:rFonts w:asciiTheme="majorHAnsi" w:hAnsiTheme="majorHAnsi" w:cstheme="majorHAnsi"/>
                <w:sz w:val="22"/>
                <w:szCs w:val="22"/>
              </w:rPr>
              <w:t xml:space="preserve"> </w:t>
            </w:r>
            <w:r w:rsidR="002B514F">
              <w:rPr>
                <w:rFonts w:asciiTheme="majorHAnsi" w:hAnsiTheme="majorHAnsi" w:cstheme="majorHAnsi"/>
                <w:sz w:val="22"/>
                <w:szCs w:val="22"/>
              </w:rPr>
              <w:t>February</w:t>
            </w:r>
            <w:r>
              <w:rPr>
                <w:rFonts w:asciiTheme="majorHAnsi" w:hAnsiTheme="majorHAnsi" w:cstheme="majorHAnsi"/>
                <w:sz w:val="22"/>
                <w:szCs w:val="22"/>
              </w:rPr>
              <w:t xml:space="preserve"> </w:t>
            </w:r>
            <w:r w:rsidR="002B514F">
              <w:rPr>
                <w:rFonts w:asciiTheme="majorHAnsi" w:hAnsiTheme="majorHAnsi" w:cstheme="majorHAnsi"/>
                <w:sz w:val="22"/>
                <w:szCs w:val="22"/>
              </w:rPr>
              <w:t>20</w:t>
            </w:r>
            <w:r w:rsidR="002B514F" w:rsidRPr="002B514F">
              <w:rPr>
                <w:rFonts w:asciiTheme="majorHAnsi" w:hAnsiTheme="majorHAnsi" w:cstheme="majorHAnsi"/>
                <w:sz w:val="22"/>
                <w:szCs w:val="22"/>
                <w:vertAlign w:val="superscript"/>
              </w:rPr>
              <w:t>th</w:t>
            </w:r>
            <w:r>
              <w:rPr>
                <w:rFonts w:asciiTheme="majorHAnsi" w:hAnsiTheme="majorHAnsi" w:cstheme="majorHAnsi"/>
                <w:sz w:val="22"/>
                <w:szCs w:val="22"/>
              </w:rPr>
              <w:t>, 20</w:t>
            </w:r>
            <w:r w:rsidR="007A7E3C">
              <w:rPr>
                <w:rFonts w:asciiTheme="majorHAnsi" w:hAnsiTheme="majorHAnsi" w:cstheme="majorHAnsi"/>
                <w:sz w:val="22"/>
                <w:szCs w:val="22"/>
              </w:rPr>
              <w:t>20</w:t>
            </w:r>
          </w:p>
          <w:p w14:paraId="7A15F24F" w14:textId="0711863D" w:rsidR="000557D9" w:rsidRDefault="000557D9" w:rsidP="000557D9">
            <w:pPr>
              <w:rPr>
                <w:rFonts w:asciiTheme="majorHAnsi" w:hAnsiTheme="majorHAnsi" w:cstheme="majorHAnsi"/>
                <w:sz w:val="22"/>
                <w:szCs w:val="22"/>
              </w:rPr>
            </w:pPr>
            <w:r w:rsidRPr="000557D9">
              <w:rPr>
                <w:rFonts w:asciiTheme="majorHAnsi" w:hAnsiTheme="majorHAnsi" w:cstheme="majorHAnsi"/>
                <w:sz w:val="22"/>
                <w:szCs w:val="22"/>
              </w:rPr>
              <w:t>Final draft of manuscript</w:t>
            </w:r>
            <w:r>
              <w:rPr>
                <w:rFonts w:asciiTheme="majorHAnsi" w:hAnsiTheme="majorHAnsi" w:cstheme="majorHAnsi"/>
                <w:sz w:val="22"/>
                <w:szCs w:val="22"/>
              </w:rPr>
              <w:t xml:space="preserve">– </w:t>
            </w:r>
            <w:r w:rsidR="002B514F">
              <w:rPr>
                <w:rFonts w:asciiTheme="majorHAnsi" w:hAnsiTheme="majorHAnsi" w:cstheme="majorHAnsi"/>
                <w:sz w:val="22"/>
                <w:szCs w:val="22"/>
              </w:rPr>
              <w:t xml:space="preserve">March </w:t>
            </w:r>
            <w:r>
              <w:rPr>
                <w:rFonts w:asciiTheme="majorHAnsi" w:hAnsiTheme="majorHAnsi" w:cstheme="majorHAnsi"/>
                <w:sz w:val="22"/>
                <w:szCs w:val="22"/>
              </w:rPr>
              <w:t>20</w:t>
            </w:r>
            <w:r w:rsidRPr="000557D9">
              <w:rPr>
                <w:rFonts w:asciiTheme="majorHAnsi" w:hAnsiTheme="majorHAnsi" w:cstheme="majorHAnsi"/>
                <w:sz w:val="22"/>
                <w:szCs w:val="22"/>
                <w:vertAlign w:val="superscript"/>
              </w:rPr>
              <w:t>th</w:t>
            </w:r>
            <w:r>
              <w:rPr>
                <w:rFonts w:asciiTheme="majorHAnsi" w:hAnsiTheme="majorHAnsi" w:cstheme="majorHAnsi"/>
                <w:sz w:val="22"/>
                <w:szCs w:val="22"/>
              </w:rPr>
              <w:t>, 20</w:t>
            </w:r>
            <w:r w:rsidR="007A7E3C">
              <w:rPr>
                <w:rFonts w:asciiTheme="majorHAnsi" w:hAnsiTheme="majorHAnsi" w:cstheme="majorHAnsi"/>
                <w:sz w:val="22"/>
                <w:szCs w:val="22"/>
              </w:rPr>
              <w:t>20</w:t>
            </w:r>
          </w:p>
          <w:p w14:paraId="5FA39903" w14:textId="26516C86" w:rsidR="000557D9" w:rsidRPr="008673B8" w:rsidRDefault="000557D9" w:rsidP="000557D9">
            <w:pPr>
              <w:rPr>
                <w:rFonts w:asciiTheme="majorHAnsi" w:hAnsiTheme="majorHAnsi" w:cstheme="majorHAnsi"/>
                <w:sz w:val="22"/>
                <w:szCs w:val="22"/>
              </w:rPr>
            </w:pPr>
            <w:r>
              <w:rPr>
                <w:rFonts w:asciiTheme="majorHAnsi" w:hAnsiTheme="majorHAnsi" w:cstheme="majorHAnsi"/>
                <w:sz w:val="22"/>
                <w:szCs w:val="22"/>
              </w:rPr>
              <w:t xml:space="preserve">Manuscript submission to journal- </w:t>
            </w:r>
            <w:r w:rsidR="002B514F">
              <w:rPr>
                <w:rFonts w:asciiTheme="majorHAnsi" w:hAnsiTheme="majorHAnsi" w:cstheme="majorHAnsi"/>
                <w:sz w:val="22"/>
                <w:szCs w:val="22"/>
              </w:rPr>
              <w:t>April 15</w:t>
            </w:r>
            <w:r w:rsidR="002B514F" w:rsidRPr="002B514F">
              <w:rPr>
                <w:rFonts w:asciiTheme="majorHAnsi" w:hAnsiTheme="majorHAnsi" w:cstheme="majorHAnsi"/>
                <w:sz w:val="22"/>
                <w:szCs w:val="22"/>
                <w:vertAlign w:val="superscript"/>
              </w:rPr>
              <w:t>th</w:t>
            </w:r>
            <w:r>
              <w:rPr>
                <w:rFonts w:asciiTheme="majorHAnsi" w:hAnsiTheme="majorHAnsi" w:cstheme="majorHAnsi"/>
                <w:sz w:val="22"/>
                <w:szCs w:val="22"/>
              </w:rPr>
              <w:t>, 20</w:t>
            </w:r>
            <w:r w:rsidR="007A7E3C">
              <w:rPr>
                <w:rFonts w:asciiTheme="majorHAnsi" w:hAnsiTheme="majorHAnsi" w:cstheme="majorHAnsi"/>
                <w:sz w:val="22"/>
                <w:szCs w:val="22"/>
              </w:rPr>
              <w:t>20</w:t>
            </w:r>
          </w:p>
          <w:p w14:paraId="4089201E" w14:textId="698DDE30" w:rsidR="0093273D" w:rsidRPr="008673B8" w:rsidRDefault="0093273D" w:rsidP="00CF0D06">
            <w:pPr>
              <w:rPr>
                <w:rFonts w:asciiTheme="majorHAnsi" w:hAnsiTheme="majorHAnsi" w:cstheme="majorHAnsi"/>
                <w:sz w:val="22"/>
                <w:szCs w:val="22"/>
              </w:rPr>
            </w:pPr>
          </w:p>
        </w:tc>
      </w:tr>
    </w:tbl>
    <w:p w14:paraId="4BF2BAC8" w14:textId="77777777" w:rsidR="002142B6" w:rsidRDefault="007A7E3C"/>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54E82" w14:textId="77777777" w:rsidR="00117500" w:rsidRDefault="00117500" w:rsidP="0093273D">
      <w:r>
        <w:separator/>
      </w:r>
    </w:p>
  </w:endnote>
  <w:endnote w:type="continuationSeparator" w:id="0">
    <w:p w14:paraId="4B4C5BBD" w14:textId="77777777" w:rsidR="00117500" w:rsidRDefault="00117500"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0A5C1BE3"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2B514F">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DD10E" w14:textId="77777777" w:rsidR="00117500" w:rsidRDefault="00117500" w:rsidP="0093273D">
      <w:r>
        <w:separator/>
      </w:r>
    </w:p>
  </w:footnote>
  <w:footnote w:type="continuationSeparator" w:id="0">
    <w:p w14:paraId="4514FA65" w14:textId="77777777" w:rsidR="00117500" w:rsidRDefault="00117500"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557D9"/>
    <w:rsid w:val="000A12A3"/>
    <w:rsid w:val="000B7654"/>
    <w:rsid w:val="00117500"/>
    <w:rsid w:val="001F1106"/>
    <w:rsid w:val="001F3540"/>
    <w:rsid w:val="00230DC1"/>
    <w:rsid w:val="0025109A"/>
    <w:rsid w:val="002B514F"/>
    <w:rsid w:val="00376326"/>
    <w:rsid w:val="003F367E"/>
    <w:rsid w:val="004D7F55"/>
    <w:rsid w:val="005634D6"/>
    <w:rsid w:val="00571D40"/>
    <w:rsid w:val="00594CF3"/>
    <w:rsid w:val="00595E27"/>
    <w:rsid w:val="00614403"/>
    <w:rsid w:val="006166BF"/>
    <w:rsid w:val="00625689"/>
    <w:rsid w:val="0063131E"/>
    <w:rsid w:val="006B3450"/>
    <w:rsid w:val="006C3388"/>
    <w:rsid w:val="00702039"/>
    <w:rsid w:val="007A7E3C"/>
    <w:rsid w:val="007F3F81"/>
    <w:rsid w:val="008673B8"/>
    <w:rsid w:val="008B0CE2"/>
    <w:rsid w:val="00900D3C"/>
    <w:rsid w:val="0093273D"/>
    <w:rsid w:val="00A14096"/>
    <w:rsid w:val="00A674F0"/>
    <w:rsid w:val="00A726E3"/>
    <w:rsid w:val="00AF586E"/>
    <w:rsid w:val="00B67A4E"/>
    <w:rsid w:val="00B845FF"/>
    <w:rsid w:val="00C367EC"/>
    <w:rsid w:val="00D93D28"/>
    <w:rsid w:val="00E92E3A"/>
    <w:rsid w:val="00F17F66"/>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063759">
      <w:bodyDiv w:val="1"/>
      <w:marLeft w:val="0"/>
      <w:marRight w:val="0"/>
      <w:marTop w:val="0"/>
      <w:marBottom w:val="0"/>
      <w:divBdr>
        <w:top w:val="none" w:sz="0" w:space="0" w:color="auto"/>
        <w:left w:val="none" w:sz="0" w:space="0" w:color="auto"/>
        <w:bottom w:val="none" w:sz="0" w:space="0" w:color="auto"/>
        <w:right w:val="none" w:sz="0" w:space="0" w:color="auto"/>
      </w:divBdr>
    </w:div>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977682292">
      <w:bodyDiv w:val="1"/>
      <w:marLeft w:val="0"/>
      <w:marRight w:val="0"/>
      <w:marTop w:val="0"/>
      <w:marBottom w:val="0"/>
      <w:divBdr>
        <w:top w:val="none" w:sz="0" w:space="0" w:color="auto"/>
        <w:left w:val="none" w:sz="0" w:space="0" w:color="auto"/>
        <w:bottom w:val="none" w:sz="0" w:space="0" w:color="auto"/>
        <w:right w:val="none" w:sz="0" w:space="0" w:color="auto"/>
      </w:divBdr>
    </w:div>
    <w:div w:id="999848913">
      <w:bodyDiv w:val="1"/>
      <w:marLeft w:val="0"/>
      <w:marRight w:val="0"/>
      <w:marTop w:val="0"/>
      <w:marBottom w:val="0"/>
      <w:divBdr>
        <w:top w:val="none" w:sz="0" w:space="0" w:color="auto"/>
        <w:left w:val="none" w:sz="0" w:space="0" w:color="auto"/>
        <w:bottom w:val="none" w:sz="0" w:space="0" w:color="auto"/>
        <w:right w:val="none" w:sz="0" w:space="0" w:color="auto"/>
      </w:divBdr>
    </w:div>
    <w:div w:id="1961917149">
      <w:bodyDiv w:val="1"/>
      <w:marLeft w:val="0"/>
      <w:marRight w:val="0"/>
      <w:marTop w:val="0"/>
      <w:marBottom w:val="0"/>
      <w:divBdr>
        <w:top w:val="none" w:sz="0" w:space="0" w:color="auto"/>
        <w:left w:val="none" w:sz="0" w:space="0" w:color="auto"/>
        <w:bottom w:val="none" w:sz="0" w:space="0" w:color="auto"/>
        <w:right w:val="none" w:sz="0" w:space="0" w:color="auto"/>
      </w:divBdr>
    </w:div>
    <w:div w:id="2119248544">
      <w:bodyDiv w:val="1"/>
      <w:marLeft w:val="0"/>
      <w:marRight w:val="0"/>
      <w:marTop w:val="0"/>
      <w:marBottom w:val="0"/>
      <w:divBdr>
        <w:top w:val="none" w:sz="0" w:space="0" w:color="auto"/>
        <w:left w:val="none" w:sz="0" w:space="0" w:color="auto"/>
        <w:bottom w:val="none" w:sz="0" w:space="0" w:color="auto"/>
        <w:right w:val="none" w:sz="0" w:space="0" w:color="auto"/>
      </w:divBdr>
    </w:div>
    <w:div w:id="214592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1181</Words>
  <Characters>6737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City, Brittany</cp:lastModifiedBy>
  <cp:revision>2</cp:revision>
  <dcterms:created xsi:type="dcterms:W3CDTF">2019-04-04T16:43:00Z</dcterms:created>
  <dcterms:modified xsi:type="dcterms:W3CDTF">2019-04-04T16:43:00Z</dcterms:modified>
</cp:coreProperties>
</file>