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DC121F">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DC121F">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2434D8A0" w:rsidR="0093273D" w:rsidRPr="008673B8" w:rsidRDefault="00056083" w:rsidP="00DC121F">
            <w:pPr>
              <w:rPr>
                <w:rFonts w:asciiTheme="majorHAnsi" w:hAnsiTheme="majorHAnsi" w:cstheme="majorHAnsi"/>
                <w:sz w:val="22"/>
                <w:szCs w:val="22"/>
              </w:rPr>
            </w:pPr>
            <w:r>
              <w:rPr>
                <w:rFonts w:asciiTheme="majorHAnsi" w:hAnsiTheme="majorHAnsi" w:cstheme="majorHAnsi"/>
                <w:sz w:val="22"/>
                <w:szCs w:val="22"/>
              </w:rPr>
              <w:t>NT37</w:t>
            </w:r>
            <w:r w:rsidR="002043A1">
              <w:rPr>
                <w:rFonts w:asciiTheme="majorHAnsi" w:hAnsiTheme="majorHAnsi" w:cstheme="majorHAnsi"/>
                <w:sz w:val="22"/>
                <w:szCs w:val="22"/>
              </w:rPr>
              <w:t>2</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DC121F">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63A7A413" w:rsidR="0093273D" w:rsidRPr="008673B8" w:rsidRDefault="00543125" w:rsidP="00DC121F">
            <w:pPr>
              <w:rPr>
                <w:rFonts w:asciiTheme="majorHAnsi" w:hAnsiTheme="majorHAnsi" w:cstheme="majorHAnsi"/>
                <w:sz w:val="22"/>
                <w:szCs w:val="22"/>
              </w:rPr>
            </w:pPr>
            <w:r>
              <w:rPr>
                <w:rFonts w:asciiTheme="majorHAnsi" w:hAnsiTheme="majorHAnsi" w:cstheme="majorHAnsi"/>
                <w:sz w:val="22"/>
                <w:szCs w:val="22"/>
              </w:rPr>
              <w:t>01/14/2020</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DC121F">
            <w:pPr>
              <w:rPr>
                <w:rFonts w:ascii="Calibri Light" w:hAnsi="Calibri Light"/>
                <w:b/>
                <w:sz w:val="22"/>
              </w:rPr>
            </w:pPr>
            <w:bookmarkStart w:id="0" w:name="_GoBack" w:colFirst="1" w:colLast="1"/>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05B09DD0" w:rsidR="0093273D" w:rsidRPr="008673B8" w:rsidRDefault="000072A1" w:rsidP="00DC121F">
            <w:pPr>
              <w:rPr>
                <w:rFonts w:asciiTheme="majorHAnsi" w:hAnsiTheme="majorHAnsi" w:cstheme="majorHAnsi"/>
                <w:sz w:val="22"/>
                <w:szCs w:val="22"/>
              </w:rPr>
            </w:pPr>
            <w:r>
              <w:rPr>
                <w:rFonts w:asciiTheme="majorHAnsi" w:hAnsiTheme="majorHAnsi" w:cstheme="majorHAnsi"/>
                <w:sz w:val="22"/>
                <w:szCs w:val="22"/>
              </w:rPr>
              <w:t>Association of PRS</w:t>
            </w:r>
            <w:r w:rsidR="009F64A4">
              <w:rPr>
                <w:rFonts w:asciiTheme="majorHAnsi" w:hAnsiTheme="majorHAnsi" w:cstheme="majorHAnsi"/>
                <w:sz w:val="22"/>
                <w:szCs w:val="22"/>
              </w:rPr>
              <w:t xml:space="preserve"> for Lupus </w:t>
            </w:r>
            <w:r>
              <w:rPr>
                <w:rFonts w:asciiTheme="majorHAnsi" w:hAnsiTheme="majorHAnsi" w:cstheme="majorHAnsi"/>
                <w:sz w:val="22"/>
                <w:szCs w:val="22"/>
              </w:rPr>
              <w:t xml:space="preserve">with </w:t>
            </w:r>
            <w:r w:rsidR="009F64A4">
              <w:rPr>
                <w:rFonts w:asciiTheme="majorHAnsi" w:hAnsiTheme="majorHAnsi" w:cstheme="majorHAnsi"/>
                <w:sz w:val="22"/>
                <w:szCs w:val="22"/>
              </w:rPr>
              <w:t>Classification Criteria</w:t>
            </w:r>
            <w:r w:rsidR="0071766E">
              <w:rPr>
                <w:rFonts w:asciiTheme="majorHAnsi" w:hAnsiTheme="majorHAnsi" w:cstheme="majorHAnsi"/>
                <w:sz w:val="22"/>
                <w:szCs w:val="22"/>
              </w:rPr>
              <w:t>-</w:t>
            </w:r>
            <w:r w:rsidR="009F64A4">
              <w:rPr>
                <w:rFonts w:asciiTheme="majorHAnsi" w:hAnsiTheme="majorHAnsi" w:cstheme="majorHAnsi"/>
                <w:sz w:val="22"/>
                <w:szCs w:val="22"/>
              </w:rPr>
              <w:t xml:space="preserve">Based </w:t>
            </w:r>
            <w:r w:rsidR="00222011">
              <w:rPr>
                <w:rFonts w:asciiTheme="majorHAnsi" w:hAnsiTheme="majorHAnsi" w:cstheme="majorHAnsi"/>
                <w:sz w:val="22"/>
                <w:szCs w:val="22"/>
              </w:rPr>
              <w:t>Disease Attributes</w:t>
            </w:r>
          </w:p>
        </w:tc>
      </w:tr>
      <w:bookmarkEnd w:id="0"/>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DC121F">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7AF76C82" w:rsidR="0093273D" w:rsidRPr="008673B8" w:rsidRDefault="00FC2C29" w:rsidP="00DC121F">
            <w:pPr>
              <w:rPr>
                <w:rFonts w:asciiTheme="majorHAnsi" w:hAnsiTheme="majorHAnsi" w:cstheme="majorHAnsi"/>
                <w:sz w:val="22"/>
                <w:szCs w:val="22"/>
              </w:rPr>
            </w:pPr>
            <w:r>
              <w:rPr>
                <w:rFonts w:asciiTheme="majorHAnsi" w:hAnsiTheme="majorHAnsi" w:cstheme="majorHAnsi"/>
                <w:sz w:val="22"/>
                <w:szCs w:val="22"/>
              </w:rPr>
              <w:t>Theresa Walunas</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DC121F">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DC121F">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010AAF0B" w:rsidR="0093273D" w:rsidRPr="008673B8" w:rsidRDefault="00FC2C29" w:rsidP="00DC121F">
            <w:pPr>
              <w:rPr>
                <w:rFonts w:asciiTheme="majorHAnsi" w:hAnsiTheme="majorHAnsi" w:cstheme="majorHAnsi"/>
                <w:sz w:val="22"/>
                <w:szCs w:val="22"/>
              </w:rPr>
            </w:pPr>
            <w:r>
              <w:rPr>
                <w:rFonts w:asciiTheme="majorHAnsi" w:hAnsiTheme="majorHAnsi" w:cstheme="majorHAnsi"/>
                <w:sz w:val="22"/>
                <w:szCs w:val="22"/>
              </w:rPr>
              <w:t>Laura Rasmussen-Torvik</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548861CF" w:rsidR="0093273D" w:rsidRPr="008673B8" w:rsidRDefault="00010EED" w:rsidP="00DC121F">
            <w:pPr>
              <w:rPr>
                <w:rFonts w:asciiTheme="majorHAnsi" w:hAnsiTheme="majorHAnsi" w:cstheme="majorHAnsi"/>
                <w:sz w:val="22"/>
                <w:szCs w:val="22"/>
              </w:rPr>
            </w:pPr>
            <w:r>
              <w:rPr>
                <w:rFonts w:asciiTheme="majorHAnsi" w:hAnsiTheme="majorHAnsi" w:cstheme="majorHAnsi"/>
                <w:sz w:val="22"/>
                <w:szCs w:val="22"/>
              </w:rPr>
              <w:t xml:space="preserve">Adam Gordon, Yu Deng, </w:t>
            </w:r>
            <w:r w:rsidR="00FC2C29">
              <w:rPr>
                <w:rFonts w:asciiTheme="majorHAnsi" w:hAnsiTheme="majorHAnsi" w:cstheme="majorHAnsi"/>
                <w:sz w:val="22"/>
                <w:szCs w:val="22"/>
              </w:rPr>
              <w:t>Jennifer Pacheco,</w:t>
            </w:r>
            <w:r w:rsidR="009E3043">
              <w:rPr>
                <w:rFonts w:asciiTheme="majorHAnsi" w:hAnsiTheme="majorHAnsi" w:cstheme="majorHAnsi"/>
                <w:sz w:val="22"/>
                <w:szCs w:val="22"/>
              </w:rPr>
              <w:t xml:space="preserve"> Yuan Luo, </w:t>
            </w:r>
            <w:r w:rsidR="00FC2C29">
              <w:rPr>
                <w:rFonts w:asciiTheme="majorHAnsi" w:hAnsiTheme="majorHAnsi" w:cstheme="majorHAnsi"/>
                <w:sz w:val="22"/>
                <w:szCs w:val="22"/>
              </w:rPr>
              <w:t xml:space="preserve"> Abel Kho,</w:t>
            </w:r>
            <w:r w:rsidR="00880C3E">
              <w:rPr>
                <w:rFonts w:asciiTheme="majorHAnsi" w:hAnsiTheme="majorHAnsi" w:cstheme="majorHAnsi"/>
                <w:sz w:val="22"/>
                <w:szCs w:val="22"/>
              </w:rPr>
              <w:t xml:space="preserve"> Vesna Mitrovic,</w:t>
            </w:r>
            <w:r w:rsidR="00FC2C29">
              <w:rPr>
                <w:rFonts w:asciiTheme="majorHAnsi" w:hAnsiTheme="majorHAnsi" w:cstheme="majorHAnsi"/>
                <w:sz w:val="22"/>
                <w:szCs w:val="22"/>
              </w:rPr>
              <w:t xml:space="preserve"> Rosalind Ramsey-Goldman</w:t>
            </w:r>
            <w:r w:rsidR="0071766E">
              <w:rPr>
                <w:rFonts w:asciiTheme="majorHAnsi" w:hAnsiTheme="majorHAnsi" w:cstheme="majorHAnsi"/>
                <w:sz w:val="22"/>
                <w:szCs w:val="22"/>
              </w:rPr>
              <w:t>,</w:t>
            </w:r>
            <w:r w:rsidR="00462857">
              <w:rPr>
                <w:rFonts w:asciiTheme="majorHAnsi" w:hAnsiTheme="majorHAnsi" w:cstheme="majorHAnsi"/>
                <w:sz w:val="22"/>
                <w:szCs w:val="22"/>
              </w:rPr>
              <w:t xml:space="preserve"> Maureen Smith</w:t>
            </w:r>
            <w:r w:rsidR="0071766E">
              <w:rPr>
                <w:rFonts w:asciiTheme="majorHAnsi" w:hAnsiTheme="majorHAnsi" w:cstheme="majorHAnsi"/>
                <w:sz w:val="22"/>
                <w:szCs w:val="22"/>
              </w:rPr>
              <w:t xml:space="preserve"> </w:t>
            </w:r>
            <w:r w:rsidR="00331973">
              <w:rPr>
                <w:rFonts w:asciiTheme="majorHAnsi" w:hAnsiTheme="majorHAnsi" w:cstheme="majorHAnsi"/>
                <w:sz w:val="22"/>
                <w:szCs w:val="22"/>
              </w:rPr>
              <w:t>and others from interested eMERGE sites</w:t>
            </w:r>
          </w:p>
          <w:p w14:paraId="6DB36893" w14:textId="77777777" w:rsidR="0093273D" w:rsidRPr="008673B8" w:rsidRDefault="0093273D" w:rsidP="00DC121F">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DC121F">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08D2942F" w:rsidR="0093273D" w:rsidRPr="008673B8" w:rsidRDefault="00FC2C29" w:rsidP="00DC121F">
            <w:pPr>
              <w:rPr>
                <w:rFonts w:asciiTheme="majorHAnsi" w:hAnsiTheme="majorHAnsi" w:cstheme="majorHAnsi"/>
                <w:sz w:val="22"/>
                <w:szCs w:val="22"/>
              </w:rPr>
            </w:pPr>
            <w:r>
              <w:rPr>
                <w:rFonts w:asciiTheme="majorHAnsi" w:hAnsiTheme="majorHAnsi" w:cstheme="majorHAnsi"/>
                <w:sz w:val="22"/>
                <w:szCs w:val="22"/>
              </w:rPr>
              <w:t>Northwestern University</w:t>
            </w:r>
            <w:r w:rsidR="0071766E">
              <w:rPr>
                <w:rFonts w:asciiTheme="majorHAnsi" w:hAnsiTheme="majorHAnsi" w:cstheme="majorHAnsi"/>
                <w:sz w:val="22"/>
                <w:szCs w:val="22"/>
              </w:rPr>
              <w:t xml:space="preserve">  </w:t>
            </w:r>
            <w:r w:rsidR="00331973">
              <w:rPr>
                <w:rFonts w:asciiTheme="majorHAnsi" w:hAnsiTheme="majorHAnsi" w:cstheme="majorHAnsi"/>
                <w:sz w:val="22"/>
                <w:szCs w:val="22"/>
              </w:rPr>
              <w:t>and other interested eMERGE sites</w:t>
            </w:r>
          </w:p>
          <w:p w14:paraId="07C5FDB2" w14:textId="77777777" w:rsidR="0093273D" w:rsidRPr="008673B8" w:rsidRDefault="0093273D" w:rsidP="00DC121F">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DC121F">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5A6E49DF" w14:textId="50C7BE48" w:rsidR="00222011" w:rsidRPr="00010EED" w:rsidRDefault="00222011" w:rsidP="00DC121F">
            <w:pPr>
              <w:rPr>
                <w:rFonts w:asciiTheme="majorHAnsi" w:hAnsiTheme="majorHAnsi" w:cstheme="majorHAnsi"/>
                <w:sz w:val="22"/>
                <w:szCs w:val="22"/>
              </w:rPr>
            </w:pPr>
            <w:r w:rsidRPr="00010EED">
              <w:rPr>
                <w:rFonts w:asciiTheme="majorHAnsi" w:hAnsiTheme="majorHAnsi" w:cstheme="majorHAnsi"/>
                <w:sz w:val="22"/>
                <w:szCs w:val="22"/>
              </w:rPr>
              <w:t>Lupus is a disease of highly variable presentation and severity that affects predominantly women of color and remains difficult to identify given that manifestations occur over time and can be difficult to distinguish from less severe inflammatory and autoimmune conditions.  Strong evidence suggests that existing damage is a predictor of long term damage (</w:t>
            </w:r>
            <w:r w:rsidR="006B7EA7">
              <w:rPr>
                <w:rFonts w:asciiTheme="majorHAnsi" w:hAnsiTheme="majorHAnsi" w:cstheme="majorHAnsi"/>
                <w:sz w:val="22"/>
                <w:szCs w:val="22"/>
              </w:rPr>
              <w:t xml:space="preserve">1) </w:t>
            </w:r>
            <w:r w:rsidRPr="00010EED">
              <w:rPr>
                <w:rFonts w:asciiTheme="majorHAnsi" w:hAnsiTheme="majorHAnsi" w:cstheme="majorHAnsi"/>
                <w:sz w:val="22"/>
                <w:szCs w:val="22"/>
              </w:rPr>
              <w:t>and early intervention and treatment with anti-</w:t>
            </w:r>
            <w:proofErr w:type="spellStart"/>
            <w:r w:rsidRPr="00010EED">
              <w:rPr>
                <w:rFonts w:asciiTheme="majorHAnsi" w:hAnsiTheme="majorHAnsi" w:cstheme="majorHAnsi"/>
                <w:sz w:val="22"/>
                <w:szCs w:val="22"/>
              </w:rPr>
              <w:t>malarials</w:t>
            </w:r>
            <w:proofErr w:type="spellEnd"/>
            <w:r w:rsidRPr="00010EED">
              <w:rPr>
                <w:rFonts w:asciiTheme="majorHAnsi" w:hAnsiTheme="majorHAnsi" w:cstheme="majorHAnsi"/>
                <w:sz w:val="22"/>
                <w:szCs w:val="22"/>
              </w:rPr>
              <w:t xml:space="preserve"> such as </w:t>
            </w:r>
            <w:proofErr w:type="spellStart"/>
            <w:r w:rsidRPr="00010EED">
              <w:rPr>
                <w:rFonts w:asciiTheme="majorHAnsi" w:hAnsiTheme="majorHAnsi" w:cstheme="majorHAnsi"/>
                <w:sz w:val="22"/>
                <w:szCs w:val="22"/>
              </w:rPr>
              <w:t>plaquenil</w:t>
            </w:r>
            <w:proofErr w:type="spellEnd"/>
            <w:r w:rsidRPr="00010EED">
              <w:rPr>
                <w:rFonts w:asciiTheme="majorHAnsi" w:hAnsiTheme="majorHAnsi" w:cstheme="majorHAnsi"/>
                <w:sz w:val="22"/>
                <w:szCs w:val="22"/>
              </w:rPr>
              <w:t xml:space="preserve"> can lead to slower disease progression and improved health outcomes.</w:t>
            </w:r>
          </w:p>
          <w:p w14:paraId="0427856F" w14:textId="77777777" w:rsidR="00222011" w:rsidRPr="00010EED" w:rsidRDefault="00222011" w:rsidP="00DC121F">
            <w:pPr>
              <w:rPr>
                <w:rFonts w:asciiTheme="majorHAnsi" w:hAnsiTheme="majorHAnsi" w:cstheme="majorHAnsi"/>
                <w:sz w:val="22"/>
                <w:szCs w:val="22"/>
              </w:rPr>
            </w:pPr>
          </w:p>
          <w:p w14:paraId="44091087" w14:textId="18D29E97" w:rsidR="00222011" w:rsidRPr="00010EED" w:rsidRDefault="00222011" w:rsidP="00222011">
            <w:pPr>
              <w:shd w:val="clear" w:color="auto" w:fill="FFFFFF"/>
              <w:rPr>
                <w:rFonts w:asciiTheme="majorHAnsi" w:hAnsiTheme="majorHAnsi" w:cstheme="majorHAnsi"/>
                <w:sz w:val="22"/>
                <w:szCs w:val="22"/>
              </w:rPr>
            </w:pPr>
            <w:r w:rsidRPr="00010EED">
              <w:rPr>
                <w:rFonts w:asciiTheme="majorHAnsi" w:hAnsiTheme="majorHAnsi" w:cstheme="majorHAnsi"/>
                <w:sz w:val="22"/>
                <w:szCs w:val="22"/>
              </w:rPr>
              <w:t xml:space="preserve">Unsurprisingly for a highly variable disease, GWAS to explore the genetic components have revealed a large panel of genes in European and Asian cohorts that are likely to contribute to disease development.   A recent meta-analysis showed a strong association of genetic risk score for lupus in persons with East Asian and African origins.  In addition, groups have explored genetic risk scores to predict and association with </w:t>
            </w:r>
            <w:proofErr w:type="spellStart"/>
            <w:r w:rsidRPr="00010EED">
              <w:rPr>
                <w:rFonts w:asciiTheme="majorHAnsi" w:hAnsiTheme="majorHAnsi" w:cstheme="majorHAnsi"/>
                <w:sz w:val="22"/>
                <w:szCs w:val="22"/>
              </w:rPr>
              <w:t>subphenotypes</w:t>
            </w:r>
            <w:proofErr w:type="spellEnd"/>
            <w:r w:rsidRPr="00010EED">
              <w:rPr>
                <w:rFonts w:asciiTheme="majorHAnsi" w:hAnsiTheme="majorHAnsi" w:cstheme="majorHAnsi"/>
                <w:sz w:val="22"/>
                <w:szCs w:val="22"/>
              </w:rPr>
              <w:t xml:space="preserve"> using 22 polymorphisms (</w:t>
            </w:r>
            <w:r w:rsidR="006B7EA7">
              <w:rPr>
                <w:rFonts w:asciiTheme="majorHAnsi" w:hAnsiTheme="majorHAnsi" w:cstheme="majorHAnsi"/>
                <w:sz w:val="22"/>
                <w:szCs w:val="22"/>
              </w:rPr>
              <w:t>2)</w:t>
            </w:r>
            <w:r w:rsidRPr="00010EED">
              <w:rPr>
                <w:rFonts w:asciiTheme="majorHAnsi" w:hAnsiTheme="majorHAnsi" w:cstheme="majorHAnsi"/>
                <w:sz w:val="22"/>
                <w:szCs w:val="22"/>
              </w:rPr>
              <w:t xml:space="preserve"> and longitudinal disease activity using 41 polymorphisms (</w:t>
            </w:r>
            <w:proofErr w:type="spellStart"/>
            <w:r w:rsidRPr="00010EED">
              <w:rPr>
                <w:rFonts w:asciiTheme="majorHAnsi" w:hAnsiTheme="majorHAnsi" w:cstheme="majorHAnsi"/>
                <w:sz w:val="22"/>
                <w:szCs w:val="22"/>
              </w:rPr>
              <w:t>Gianfresco</w:t>
            </w:r>
            <w:proofErr w:type="spellEnd"/>
            <w:r w:rsidRPr="00010EED">
              <w:rPr>
                <w:rFonts w:asciiTheme="majorHAnsi" w:hAnsiTheme="majorHAnsi" w:cstheme="majorHAnsi"/>
                <w:sz w:val="22"/>
                <w:szCs w:val="22"/>
              </w:rPr>
              <w:t xml:space="preserve">, et al., 2016).  The genetic risk score was associated with earlier onset of disease (before 34 years of age after 34 years of age, OR 1.06 [1.03-1.08] and the presence of anti-dsDNA antibodies (OR 1.10 [1.07-1.13]) in European populations but was not found to be associated with disease activity as determined by self-report, though a subset of variants were associated with clinically relevant disease activity scores.  </w:t>
            </w:r>
          </w:p>
          <w:p w14:paraId="37DEA993" w14:textId="77777777" w:rsidR="00222011" w:rsidRPr="00010EED" w:rsidRDefault="00222011" w:rsidP="00DC121F">
            <w:pPr>
              <w:rPr>
                <w:rFonts w:asciiTheme="majorHAnsi" w:hAnsiTheme="majorHAnsi" w:cstheme="majorHAnsi"/>
                <w:sz w:val="22"/>
                <w:szCs w:val="22"/>
              </w:rPr>
            </w:pPr>
          </w:p>
          <w:p w14:paraId="08F9DE6E" w14:textId="7862BA91" w:rsidR="0093273D" w:rsidRDefault="008804B1" w:rsidP="00DC121F">
            <w:pPr>
              <w:rPr>
                <w:rFonts w:asciiTheme="majorHAnsi" w:hAnsiTheme="majorHAnsi" w:cstheme="majorHAnsi"/>
                <w:sz w:val="22"/>
                <w:szCs w:val="22"/>
                <w:highlight w:val="yellow"/>
              </w:rPr>
            </w:pPr>
            <w:r>
              <w:rPr>
                <w:rFonts w:asciiTheme="majorHAnsi" w:hAnsiTheme="majorHAnsi" w:cstheme="majorHAnsi"/>
                <w:sz w:val="22"/>
                <w:szCs w:val="22"/>
              </w:rPr>
              <w:t>We developed a</w:t>
            </w:r>
            <w:r w:rsidR="00E970AB" w:rsidRPr="00010EED">
              <w:rPr>
                <w:rFonts w:asciiTheme="majorHAnsi" w:hAnsiTheme="majorHAnsi" w:cstheme="majorHAnsi"/>
                <w:sz w:val="22"/>
                <w:szCs w:val="22"/>
              </w:rPr>
              <w:t xml:space="preserve"> rules-based algorithm for the detection of SLE based on the Systemic Lupus International Collaborating Clinics Classification Criteria for SLE which is comprised of 17 criteria divided into clinical and immunologic domains.  To be classified as having “definite SLE” an individual must have a </w:t>
            </w:r>
            <w:proofErr w:type="gramStart"/>
            <w:r w:rsidR="00E970AB" w:rsidRPr="00010EED">
              <w:rPr>
                <w:rFonts w:asciiTheme="majorHAnsi" w:hAnsiTheme="majorHAnsi" w:cstheme="majorHAnsi"/>
                <w:sz w:val="22"/>
                <w:szCs w:val="22"/>
              </w:rPr>
              <w:t>criteria</w:t>
            </w:r>
            <w:proofErr w:type="gramEnd"/>
            <w:r w:rsidR="00E970AB" w:rsidRPr="00010EED">
              <w:rPr>
                <w:rFonts w:asciiTheme="majorHAnsi" w:hAnsiTheme="majorHAnsi" w:cstheme="majorHAnsi"/>
                <w:sz w:val="22"/>
                <w:szCs w:val="22"/>
              </w:rPr>
              <w:t xml:space="preserve"> in each domain and have 4 or more criteria overall.  </w:t>
            </w:r>
            <w:r>
              <w:rPr>
                <w:rFonts w:asciiTheme="majorHAnsi" w:hAnsiTheme="majorHAnsi" w:cstheme="majorHAnsi"/>
                <w:sz w:val="22"/>
                <w:szCs w:val="22"/>
              </w:rPr>
              <w:t xml:space="preserve"> Using a gene set</w:t>
            </w:r>
            <w:r w:rsidR="007D0CCE" w:rsidRPr="00010EED">
              <w:rPr>
                <w:rFonts w:asciiTheme="majorHAnsi" w:hAnsiTheme="majorHAnsi" w:cstheme="majorHAnsi"/>
                <w:sz w:val="22"/>
                <w:szCs w:val="22"/>
              </w:rPr>
              <w:t xml:space="preserve"> derived from the previous PRS studies and enhanced with information from an eMERGE based GWAS with our SLICC </w:t>
            </w:r>
            <w:proofErr w:type="gramStart"/>
            <w:r w:rsidR="007D0CCE" w:rsidRPr="00010EED">
              <w:rPr>
                <w:rFonts w:asciiTheme="majorHAnsi" w:hAnsiTheme="majorHAnsi" w:cstheme="majorHAnsi"/>
                <w:sz w:val="22"/>
                <w:szCs w:val="22"/>
              </w:rPr>
              <w:t>based-phenotype</w:t>
            </w:r>
            <w:proofErr w:type="gramEnd"/>
            <w:r w:rsidR="007D0CCE" w:rsidRPr="00010EED">
              <w:rPr>
                <w:rFonts w:asciiTheme="majorHAnsi" w:hAnsiTheme="majorHAnsi" w:cstheme="majorHAnsi"/>
                <w:sz w:val="22"/>
                <w:szCs w:val="22"/>
              </w:rPr>
              <w:t>,</w:t>
            </w:r>
            <w:r w:rsidR="00E970AB" w:rsidRPr="00010EED">
              <w:rPr>
                <w:rFonts w:asciiTheme="majorHAnsi" w:hAnsiTheme="majorHAnsi" w:cstheme="majorHAnsi"/>
                <w:sz w:val="22"/>
                <w:szCs w:val="22"/>
              </w:rPr>
              <w:t xml:space="preserve"> </w:t>
            </w:r>
            <w:r w:rsidR="007D0CCE" w:rsidRPr="00010EED">
              <w:rPr>
                <w:rFonts w:asciiTheme="majorHAnsi" w:hAnsiTheme="majorHAnsi" w:cstheme="majorHAnsi"/>
                <w:sz w:val="22"/>
                <w:szCs w:val="22"/>
              </w:rPr>
              <w:t>w</w:t>
            </w:r>
            <w:r w:rsidR="00E970AB" w:rsidRPr="00010EED">
              <w:rPr>
                <w:rFonts w:asciiTheme="majorHAnsi" w:hAnsiTheme="majorHAnsi" w:cstheme="majorHAnsi"/>
                <w:sz w:val="22"/>
                <w:szCs w:val="22"/>
              </w:rPr>
              <w:t xml:space="preserve">e propose to use this classification criteria </w:t>
            </w:r>
            <w:r w:rsidR="00E970AB" w:rsidRPr="00FE0DE1">
              <w:rPr>
                <w:rFonts w:asciiTheme="majorHAnsi" w:hAnsiTheme="majorHAnsi" w:cstheme="majorHAnsi"/>
                <w:sz w:val="22"/>
                <w:szCs w:val="22"/>
              </w:rPr>
              <w:t xml:space="preserve">based algorithm to identify patients with SLE and </w:t>
            </w:r>
            <w:r w:rsidR="00CA527A" w:rsidRPr="00FE0DE1">
              <w:rPr>
                <w:rFonts w:asciiTheme="majorHAnsi" w:hAnsiTheme="majorHAnsi" w:cstheme="majorHAnsi"/>
                <w:sz w:val="22"/>
                <w:szCs w:val="22"/>
              </w:rPr>
              <w:t>examine the associations of Lupus PRS with these criteria.</w:t>
            </w:r>
          </w:p>
          <w:p w14:paraId="7E9C4768" w14:textId="4C6C4F00" w:rsidR="006B7EA7" w:rsidRDefault="006B7EA7" w:rsidP="00DC121F">
            <w:pPr>
              <w:rPr>
                <w:rFonts w:asciiTheme="majorHAnsi" w:hAnsiTheme="majorHAnsi" w:cstheme="majorHAnsi"/>
                <w:sz w:val="22"/>
                <w:szCs w:val="22"/>
              </w:rPr>
            </w:pPr>
          </w:p>
          <w:p w14:paraId="721F9454" w14:textId="28799A68" w:rsidR="006B7EA7" w:rsidRDefault="006B7EA7" w:rsidP="00DC121F">
            <w:pPr>
              <w:rPr>
                <w:rFonts w:asciiTheme="majorHAnsi" w:hAnsiTheme="majorHAnsi" w:cstheme="majorHAnsi"/>
                <w:sz w:val="22"/>
                <w:szCs w:val="22"/>
              </w:rPr>
            </w:pPr>
            <w:r>
              <w:rPr>
                <w:rFonts w:asciiTheme="majorHAnsi" w:hAnsiTheme="majorHAnsi" w:cstheme="majorHAnsi"/>
                <w:sz w:val="22"/>
                <w:szCs w:val="22"/>
                <w:vertAlign w:val="superscript"/>
              </w:rPr>
              <w:t>1</w:t>
            </w:r>
            <w:r>
              <w:rPr>
                <w:rFonts w:asciiTheme="majorHAnsi" w:hAnsiTheme="majorHAnsi" w:cstheme="majorHAnsi"/>
                <w:sz w:val="22"/>
                <w:szCs w:val="22"/>
              </w:rPr>
              <w:t xml:space="preserve"> Bruce, IN, et al. Ann. Rheum Dis. 2015.  74(9): 1706-13</w:t>
            </w:r>
          </w:p>
          <w:p w14:paraId="58696D6B" w14:textId="19DEACEF" w:rsidR="006B7EA7" w:rsidRDefault="006B7EA7" w:rsidP="006B7EA7">
            <w:pPr>
              <w:autoSpaceDE w:val="0"/>
              <w:autoSpaceDN w:val="0"/>
              <w:adjustRightInd w:val="0"/>
              <w:ind w:left="720" w:hanging="720"/>
              <w:rPr>
                <w:rFonts w:asciiTheme="majorHAnsi" w:hAnsiTheme="majorHAnsi" w:cstheme="majorHAnsi"/>
                <w:sz w:val="22"/>
                <w:szCs w:val="22"/>
              </w:rPr>
            </w:pPr>
            <w:r>
              <w:rPr>
                <w:rFonts w:asciiTheme="majorHAnsi" w:hAnsiTheme="majorHAnsi" w:cstheme="majorHAnsi"/>
                <w:sz w:val="22"/>
                <w:szCs w:val="22"/>
                <w:vertAlign w:val="superscript"/>
              </w:rPr>
              <w:lastRenderedPageBreak/>
              <w:t>2</w:t>
            </w:r>
            <w:r>
              <w:rPr>
                <w:rFonts w:asciiTheme="majorHAnsi" w:hAnsiTheme="majorHAnsi" w:cstheme="majorHAnsi"/>
                <w:sz w:val="22"/>
                <w:szCs w:val="22"/>
              </w:rPr>
              <w:t xml:space="preserve"> Taylor, KE, et al., </w:t>
            </w:r>
            <w:proofErr w:type="spellStart"/>
            <w:r>
              <w:rPr>
                <w:rFonts w:asciiTheme="majorHAnsi" w:hAnsiTheme="majorHAnsi" w:cstheme="majorHAnsi"/>
                <w:sz w:val="22"/>
                <w:szCs w:val="22"/>
              </w:rPr>
              <w:t>PLoS</w:t>
            </w:r>
            <w:proofErr w:type="spellEnd"/>
            <w:r>
              <w:rPr>
                <w:rFonts w:asciiTheme="majorHAnsi" w:hAnsiTheme="majorHAnsi" w:cstheme="majorHAnsi"/>
                <w:sz w:val="22"/>
                <w:szCs w:val="22"/>
              </w:rPr>
              <w:t xml:space="preserve"> Genet. 2011. 7(2): e1001311</w:t>
            </w:r>
          </w:p>
          <w:p w14:paraId="3CD7DE62" w14:textId="2781DB41" w:rsidR="00E970AB" w:rsidRPr="006B7EA7" w:rsidRDefault="006B7EA7" w:rsidP="006B7EA7">
            <w:pPr>
              <w:autoSpaceDE w:val="0"/>
              <w:autoSpaceDN w:val="0"/>
              <w:adjustRightInd w:val="0"/>
              <w:ind w:left="720" w:hanging="720"/>
              <w:rPr>
                <w:rFonts w:ascii="Helvetica" w:eastAsiaTheme="minorHAnsi" w:hAnsi="Helvetica" w:cs="Helvetica"/>
              </w:rPr>
            </w:pPr>
            <w:r>
              <w:rPr>
                <w:rFonts w:asciiTheme="majorHAnsi" w:hAnsiTheme="majorHAnsi" w:cstheme="majorHAnsi"/>
                <w:sz w:val="22"/>
                <w:szCs w:val="22"/>
                <w:vertAlign w:val="superscript"/>
              </w:rPr>
              <w:t>3</w:t>
            </w:r>
            <w:r>
              <w:rPr>
                <w:rFonts w:asciiTheme="majorHAnsi" w:hAnsiTheme="majorHAnsi" w:cstheme="majorHAnsi"/>
                <w:sz w:val="22"/>
                <w:szCs w:val="22"/>
              </w:rPr>
              <w:t xml:space="preserve"> </w:t>
            </w:r>
            <w:proofErr w:type="spellStart"/>
            <w:r>
              <w:rPr>
                <w:rFonts w:asciiTheme="majorHAnsi" w:hAnsiTheme="majorHAnsi" w:cstheme="majorHAnsi"/>
                <w:sz w:val="22"/>
                <w:szCs w:val="22"/>
              </w:rPr>
              <w:t>Gianfresco</w:t>
            </w:r>
            <w:proofErr w:type="spellEnd"/>
            <w:r>
              <w:rPr>
                <w:rFonts w:asciiTheme="majorHAnsi" w:hAnsiTheme="majorHAnsi" w:cstheme="majorHAnsi"/>
                <w:sz w:val="22"/>
                <w:szCs w:val="22"/>
              </w:rPr>
              <w:t>, MA, et al., Genes and Immunity. 2016. 17(6): 358-62</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DC121F">
            <w:pPr>
              <w:rPr>
                <w:rFonts w:ascii="Calibri Light" w:hAnsi="Calibri Light"/>
                <w:b/>
                <w:sz w:val="22"/>
              </w:rPr>
            </w:pPr>
            <w:r w:rsidRPr="0074111E">
              <w:rPr>
                <w:rFonts w:ascii="Calibri Light" w:hAnsi="Calibri Light"/>
                <w:b/>
                <w:sz w:val="22"/>
              </w:rPr>
              <w:lastRenderedPageBreak/>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51A9E1E" w14:textId="779DCE71" w:rsidR="00483834" w:rsidRPr="001F0D70" w:rsidRDefault="00483834" w:rsidP="00483834">
            <w:pPr>
              <w:pStyle w:val="ListParagraph"/>
              <w:numPr>
                <w:ilvl w:val="0"/>
                <w:numId w:val="6"/>
              </w:numPr>
              <w:rPr>
                <w:rFonts w:asciiTheme="majorHAnsi" w:hAnsiTheme="majorHAnsi" w:cstheme="majorHAnsi"/>
                <w:sz w:val="22"/>
                <w:szCs w:val="22"/>
              </w:rPr>
            </w:pPr>
            <w:r w:rsidRPr="001F0D70">
              <w:rPr>
                <w:rFonts w:asciiTheme="majorHAnsi" w:hAnsiTheme="majorHAnsi" w:cstheme="majorHAnsi"/>
                <w:sz w:val="22"/>
                <w:szCs w:val="22"/>
              </w:rPr>
              <w:t xml:space="preserve">Calculate and refine </w:t>
            </w:r>
            <w:r>
              <w:rPr>
                <w:rFonts w:asciiTheme="majorHAnsi" w:hAnsiTheme="majorHAnsi" w:cstheme="majorHAnsi"/>
                <w:sz w:val="22"/>
                <w:szCs w:val="22"/>
              </w:rPr>
              <w:t>lupus</w:t>
            </w:r>
            <w:r w:rsidRPr="001F0D70">
              <w:rPr>
                <w:rFonts w:asciiTheme="majorHAnsi" w:hAnsiTheme="majorHAnsi" w:cstheme="majorHAnsi"/>
                <w:sz w:val="22"/>
                <w:szCs w:val="22"/>
              </w:rPr>
              <w:t xml:space="preserve"> polygenic risk scores (PRS) for overall eMERGE cohort based on </w:t>
            </w:r>
            <w:r>
              <w:rPr>
                <w:rFonts w:asciiTheme="majorHAnsi" w:hAnsiTheme="majorHAnsi" w:cstheme="majorHAnsi" w:hint="eastAsia"/>
                <w:sz w:val="22"/>
                <w:szCs w:val="22"/>
                <w:lang w:eastAsia="zh-CN"/>
              </w:rPr>
              <w:t xml:space="preserve">two </w:t>
            </w:r>
            <w:r w:rsidRPr="001F0D70">
              <w:rPr>
                <w:rFonts w:asciiTheme="majorHAnsi" w:hAnsiTheme="majorHAnsi" w:cstheme="majorHAnsi"/>
                <w:sz w:val="22"/>
                <w:szCs w:val="22"/>
              </w:rPr>
              <w:t xml:space="preserve">previously developed </w:t>
            </w:r>
            <w:proofErr w:type="spellStart"/>
            <w:r w:rsidRPr="001F0D70">
              <w:rPr>
                <w:rFonts w:asciiTheme="majorHAnsi" w:hAnsiTheme="majorHAnsi" w:cstheme="majorHAnsi"/>
                <w:sz w:val="22"/>
                <w:szCs w:val="22"/>
              </w:rPr>
              <w:t>PRS</w:t>
            </w:r>
            <w:r>
              <w:rPr>
                <w:rFonts w:asciiTheme="majorHAnsi" w:hAnsiTheme="majorHAnsi" w:cstheme="majorHAnsi" w:hint="eastAsia"/>
                <w:sz w:val="22"/>
                <w:szCs w:val="22"/>
                <w:lang w:eastAsia="zh-CN"/>
              </w:rPr>
              <w:t>es</w:t>
            </w:r>
            <w:proofErr w:type="spellEnd"/>
            <w:r>
              <w:rPr>
                <w:rFonts w:asciiTheme="majorHAnsi" w:hAnsiTheme="majorHAnsi" w:cstheme="majorHAnsi" w:hint="eastAsia"/>
                <w:sz w:val="22"/>
                <w:szCs w:val="22"/>
                <w:lang w:eastAsia="zh-CN"/>
              </w:rPr>
              <w:t xml:space="preserve"> </w:t>
            </w:r>
            <w:r>
              <w:rPr>
                <w:rFonts w:asciiTheme="majorHAnsi" w:hAnsiTheme="majorHAnsi" w:cstheme="majorHAnsi"/>
              </w:rPr>
              <w:t>(see above)</w:t>
            </w:r>
            <w:r w:rsidRPr="001F0D70">
              <w:rPr>
                <w:rFonts w:asciiTheme="majorHAnsi" w:hAnsiTheme="majorHAnsi" w:cstheme="majorHAnsi"/>
                <w:sz w:val="22"/>
                <w:szCs w:val="22"/>
              </w:rPr>
              <w:t>.</w:t>
            </w:r>
          </w:p>
          <w:p w14:paraId="3930A7A9" w14:textId="7C05ABED" w:rsidR="00483834" w:rsidRDefault="00483834" w:rsidP="00483834">
            <w:pPr>
              <w:pStyle w:val="ListParagraph"/>
              <w:numPr>
                <w:ilvl w:val="0"/>
                <w:numId w:val="6"/>
              </w:numPr>
              <w:rPr>
                <w:rFonts w:asciiTheme="majorHAnsi" w:hAnsiTheme="majorHAnsi" w:cstheme="majorHAnsi"/>
                <w:sz w:val="22"/>
                <w:szCs w:val="22"/>
              </w:rPr>
            </w:pPr>
            <w:r w:rsidRPr="001F0D70">
              <w:rPr>
                <w:rFonts w:asciiTheme="majorHAnsi" w:hAnsiTheme="majorHAnsi" w:cstheme="majorHAnsi"/>
                <w:sz w:val="22"/>
                <w:szCs w:val="22"/>
              </w:rPr>
              <w:t>Compare the PRS performance in European ancestry population and non-European ancestry populations based on self-reported demographics and PCAs.</w:t>
            </w:r>
          </w:p>
          <w:p w14:paraId="73896AF3" w14:textId="77777777" w:rsidR="001A2E01" w:rsidRDefault="001A2E01" w:rsidP="00483834">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Assess the relationship between the PRS and individual classification criteria attributes </w:t>
            </w:r>
          </w:p>
          <w:p w14:paraId="1408E59A" w14:textId="1FEAF0B4" w:rsidR="001A2E01" w:rsidRPr="001A2E01" w:rsidRDefault="00483834" w:rsidP="001A2E01">
            <w:pPr>
              <w:pStyle w:val="ListParagraph"/>
              <w:numPr>
                <w:ilvl w:val="0"/>
                <w:numId w:val="6"/>
              </w:numPr>
              <w:rPr>
                <w:rFonts w:asciiTheme="majorHAnsi" w:hAnsiTheme="majorHAnsi" w:cstheme="majorHAnsi"/>
                <w:sz w:val="22"/>
                <w:szCs w:val="22"/>
              </w:rPr>
            </w:pPr>
            <w:r>
              <w:rPr>
                <w:rFonts w:asciiTheme="majorHAnsi" w:hAnsiTheme="majorHAnsi" w:cstheme="majorHAnsi"/>
                <w:sz w:val="22"/>
                <w:szCs w:val="22"/>
              </w:rPr>
              <w:t xml:space="preserve">Compare PRS performance to </w:t>
            </w:r>
            <w:r w:rsidR="001A2E01">
              <w:rPr>
                <w:rFonts w:asciiTheme="majorHAnsi" w:hAnsiTheme="majorHAnsi" w:cstheme="majorHAnsi"/>
                <w:sz w:val="22"/>
                <w:szCs w:val="22"/>
              </w:rPr>
              <w:t xml:space="preserve">in subpopulations of patients with common disease presentation as determined by </w:t>
            </w:r>
            <w:proofErr w:type="spellStart"/>
            <w:r w:rsidR="00FE0DE1">
              <w:rPr>
                <w:rFonts w:asciiTheme="majorHAnsi" w:hAnsiTheme="majorHAnsi" w:cstheme="majorHAnsi"/>
                <w:sz w:val="22"/>
                <w:szCs w:val="22"/>
              </w:rPr>
              <w:t>subphenotyping</w:t>
            </w:r>
            <w:proofErr w:type="spellEnd"/>
            <w:r w:rsidR="00FE0DE1">
              <w:rPr>
                <w:rFonts w:asciiTheme="majorHAnsi" w:hAnsiTheme="majorHAnsi" w:cstheme="majorHAnsi"/>
                <w:sz w:val="22"/>
                <w:szCs w:val="22"/>
              </w:rPr>
              <w:t xml:space="preserve"> based on groups of </w:t>
            </w:r>
            <w:r w:rsidR="001A2E01">
              <w:rPr>
                <w:rFonts w:asciiTheme="majorHAnsi" w:hAnsiTheme="majorHAnsi" w:cstheme="majorHAnsi"/>
                <w:sz w:val="22"/>
                <w:szCs w:val="22"/>
              </w:rPr>
              <w:t>clinical classification criteria attributes</w:t>
            </w:r>
          </w:p>
          <w:p w14:paraId="40461DB7" w14:textId="47D7841A" w:rsidR="000A12A3" w:rsidRPr="001A2E01" w:rsidRDefault="00483834" w:rsidP="001A2E01">
            <w:pPr>
              <w:pStyle w:val="ListParagraph"/>
              <w:numPr>
                <w:ilvl w:val="0"/>
                <w:numId w:val="6"/>
              </w:numPr>
              <w:rPr>
                <w:rFonts w:asciiTheme="majorHAnsi" w:hAnsiTheme="majorHAnsi" w:cstheme="majorHAnsi"/>
                <w:sz w:val="22"/>
                <w:szCs w:val="22"/>
              </w:rPr>
            </w:pPr>
            <w:r w:rsidRPr="001F0D70">
              <w:rPr>
                <w:rFonts w:asciiTheme="majorHAnsi" w:hAnsiTheme="majorHAnsi" w:cstheme="majorHAnsi"/>
                <w:sz w:val="22"/>
                <w:szCs w:val="22"/>
              </w:rPr>
              <w:t>Optimize the PRS for one eMERGE site and test its performance across different site</w:t>
            </w:r>
            <w:r>
              <w:rPr>
                <w:rFonts w:asciiTheme="majorHAnsi" w:hAnsiTheme="majorHAnsi" w:cstheme="majorHAnsi"/>
                <w:sz w:val="22"/>
                <w:szCs w:val="22"/>
              </w:rPr>
              <w:t>s</w:t>
            </w:r>
            <w:r w:rsidRPr="001F0D70">
              <w:rPr>
                <w:rFonts w:asciiTheme="majorHAnsi" w:hAnsiTheme="majorHAnsi" w:cstheme="majorHAnsi"/>
                <w:sz w:val="22"/>
                <w:szCs w:val="22"/>
              </w:rPr>
              <w:t xml:space="preserve"> and evaluate the transferability of PRS.</w:t>
            </w: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DC121F">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DC121F">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2C80DB06" w:rsidR="00C367EC" w:rsidRPr="00700246" w:rsidRDefault="00DC121F"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Content>
                <w:r w:rsidR="00FC2C2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ED7E1F9" w:rsidR="00C367EC"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1"/>
                  <w14:checkedState w14:val="2612" w14:font="MS Gothic"/>
                  <w14:uncheckedState w14:val="2610" w14:font="MS Gothic"/>
                </w14:checkbox>
              </w:sdtPr>
              <w:sdtContent>
                <w:r w:rsidR="00FC2C29">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AB47896" w:rsidR="00C367EC"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1"/>
                  <w14:checkedState w14:val="2612" w14:font="MS Gothic"/>
                  <w14:uncheckedState w14:val="2610" w14:font="MS Gothic"/>
                </w14:checkbox>
              </w:sdtPr>
              <w:sdtContent>
                <w:r w:rsidR="00C503A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1315BA84" w:rsidR="00C367EC"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1"/>
                  <w14:checkedState w14:val="2612" w14:font="MS Gothic"/>
                  <w14:uncheckedState w14:val="2610" w14:font="MS Gothic"/>
                </w14:checkbox>
              </w:sdtPr>
              <w:sdtContent>
                <w:r w:rsidR="00C503A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18641A68" w:rsidR="00B845FF"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1"/>
                  <w14:checkedState w14:val="2612" w14:font="MS Gothic"/>
                  <w14:uncheckedState w14:val="2610" w14:font="MS Gothic"/>
                </w14:checkbox>
              </w:sdtPr>
              <w:sdtContent>
                <w:r w:rsidR="00C503A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38ED408B" w:rsidR="00C367EC"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1"/>
                  <w14:checkedState w14:val="2612" w14:font="MS Gothic"/>
                  <w14:uncheckedState w14:val="2610" w14:font="MS Gothic"/>
                </w14:checkbox>
              </w:sdtPr>
              <w:sdtContent>
                <w:r w:rsidR="00FC2C29">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1C6D9419" w:rsidR="00C367EC"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1"/>
                  <w14:checkedState w14:val="2612" w14:font="MS Gothic"/>
                  <w14:uncheckedState w14:val="2610" w14:font="MS Gothic"/>
                </w14:checkbox>
              </w:sdtPr>
              <w:sdtContent>
                <w:r w:rsidR="00C503A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628D3450" w:rsidR="00C367EC"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DC121F">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DC121F">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518532B" w14:textId="77777777" w:rsidR="003A35B2"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013B704B"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The lupus phenotype is dependent on lab data.  We will need labs for the following:</w:t>
            </w:r>
          </w:p>
          <w:p w14:paraId="67128AB1" w14:textId="59973CCC" w:rsidR="003A35B2" w:rsidRDefault="003A35B2" w:rsidP="000B7654">
            <w:pPr>
              <w:rPr>
                <w:rFonts w:asciiTheme="majorHAnsi" w:hAnsiTheme="majorHAnsi" w:cstheme="majorHAnsi"/>
                <w:sz w:val="22"/>
                <w:szCs w:val="22"/>
              </w:rPr>
            </w:pPr>
            <w:r>
              <w:rPr>
                <w:rFonts w:asciiTheme="majorHAnsi" w:hAnsiTheme="majorHAnsi" w:cstheme="majorHAnsi"/>
                <w:sz w:val="22"/>
                <w:szCs w:val="22"/>
              </w:rPr>
              <w:t>Autoantibodies: (anti-Smith, anti-phospholipid, anti-dsDNA)</w:t>
            </w:r>
            <w:r w:rsidR="00E249A7">
              <w:rPr>
                <w:rFonts w:asciiTheme="majorHAnsi" w:hAnsiTheme="majorHAnsi" w:cstheme="majorHAnsi"/>
                <w:sz w:val="22"/>
                <w:szCs w:val="22"/>
              </w:rPr>
              <w:t xml:space="preserve"> </w:t>
            </w:r>
          </w:p>
          <w:p w14:paraId="6829A18B"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Low Complement</w:t>
            </w:r>
          </w:p>
          <w:p w14:paraId="1E314051"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 xml:space="preserve">Direct Coombs Test </w:t>
            </w:r>
          </w:p>
          <w:p w14:paraId="749F452E"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 xml:space="preserve">Anti-Nuclear Antibody </w:t>
            </w:r>
          </w:p>
          <w:p w14:paraId="1A0430E8" w14:textId="77777777" w:rsidR="003A35B2" w:rsidRDefault="003A35B2" w:rsidP="000B7654">
            <w:pPr>
              <w:rPr>
                <w:rFonts w:asciiTheme="majorHAnsi" w:hAnsiTheme="majorHAnsi" w:cstheme="majorHAnsi"/>
                <w:sz w:val="22"/>
                <w:szCs w:val="22"/>
              </w:rPr>
            </w:pPr>
            <w:r>
              <w:rPr>
                <w:rFonts w:asciiTheme="majorHAnsi" w:hAnsiTheme="majorHAnsi" w:cstheme="majorHAnsi"/>
                <w:sz w:val="22"/>
                <w:szCs w:val="22"/>
              </w:rPr>
              <w:t>WBC (to include leukocytes and thrombocytes)</w:t>
            </w:r>
          </w:p>
          <w:p w14:paraId="2DD5031B" w14:textId="77777777" w:rsidR="00E249A7" w:rsidRDefault="00E249A7" w:rsidP="000B7654">
            <w:pPr>
              <w:rPr>
                <w:rFonts w:asciiTheme="majorHAnsi" w:hAnsiTheme="majorHAnsi" w:cstheme="majorHAnsi"/>
                <w:sz w:val="22"/>
                <w:szCs w:val="22"/>
              </w:rPr>
            </w:pPr>
          </w:p>
          <w:p w14:paraId="01DCE786" w14:textId="659DAAA0" w:rsidR="00E249A7" w:rsidRPr="003A35B2" w:rsidRDefault="00FE0DE1" w:rsidP="000B7654">
            <w:pPr>
              <w:rPr>
                <w:rFonts w:asciiTheme="majorHAnsi" w:hAnsiTheme="majorHAnsi" w:cstheme="majorHAnsi"/>
                <w:sz w:val="22"/>
                <w:szCs w:val="22"/>
              </w:rPr>
            </w:pPr>
            <w:r>
              <w:rPr>
                <w:rFonts w:asciiTheme="majorHAnsi" w:hAnsiTheme="majorHAnsi" w:cstheme="majorHAnsi"/>
                <w:sz w:val="22"/>
                <w:szCs w:val="22"/>
              </w:rPr>
              <w:t xml:space="preserve">All tests are part of the SLE phenotype developed within eMERGE.  </w:t>
            </w:r>
            <w:r w:rsidR="00E249A7">
              <w:rPr>
                <w:rFonts w:asciiTheme="majorHAnsi" w:hAnsiTheme="majorHAnsi" w:cstheme="majorHAnsi"/>
                <w:sz w:val="22"/>
                <w:szCs w:val="22"/>
              </w:rPr>
              <w:t xml:space="preserve">Anti-NA, anti-Smith, anti-dsDNA </w:t>
            </w:r>
            <w:proofErr w:type="gramStart"/>
            <w:r w:rsidR="00E249A7">
              <w:rPr>
                <w:rFonts w:asciiTheme="majorHAnsi" w:hAnsiTheme="majorHAnsi" w:cstheme="majorHAnsi"/>
                <w:sz w:val="22"/>
                <w:szCs w:val="22"/>
              </w:rPr>
              <w:t>are</w:t>
            </w:r>
            <w:proofErr w:type="gramEnd"/>
            <w:r w:rsidR="00E249A7">
              <w:rPr>
                <w:rFonts w:asciiTheme="majorHAnsi" w:hAnsiTheme="majorHAnsi" w:cstheme="majorHAnsi"/>
                <w:sz w:val="22"/>
                <w:szCs w:val="22"/>
              </w:rPr>
              <w:t xml:space="preserve"> also part of the autoimmune disease phenotype</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1D2DF624"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0F3B7BBB" w:rsidR="0093273D"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1"/>
                  <w14:checkedState w14:val="2612" w14:font="MS Gothic"/>
                  <w14:uncheckedState w14:val="2610" w14:font="MS Gothic"/>
                </w14:checkbox>
              </w:sdtPr>
              <w:sdtContent>
                <w:r w:rsidR="00FC2C29">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52AE8287" w:rsidR="00376326"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Content>
                <w:r w:rsidR="00CA527A">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w:t>
            </w:r>
            <w:proofErr w:type="spellStart"/>
            <w:r w:rsidR="00A14096" w:rsidRPr="00700246">
              <w:rPr>
                <w:rFonts w:asciiTheme="majorHAnsi" w:hAnsiTheme="majorHAnsi" w:cstheme="majorHAnsi"/>
                <w:sz w:val="22"/>
                <w:szCs w:val="22"/>
              </w:rPr>
              <w:t>PGx</w:t>
            </w:r>
            <w:proofErr w:type="spellEnd"/>
            <w:r w:rsidR="00A14096" w:rsidRPr="00700246">
              <w:rPr>
                <w:rFonts w:asciiTheme="majorHAnsi" w:hAnsiTheme="majorHAnsi" w:cstheme="majorHAnsi"/>
                <w:sz w:val="22"/>
                <w:szCs w:val="22"/>
              </w:rPr>
              <w:t>/</w:t>
            </w:r>
            <w:proofErr w:type="spellStart"/>
            <w:r w:rsidR="00A14096" w:rsidRPr="00700246">
              <w:rPr>
                <w:rFonts w:asciiTheme="majorHAnsi" w:hAnsiTheme="majorHAnsi" w:cstheme="majorHAnsi"/>
                <w:sz w:val="22"/>
                <w:szCs w:val="22"/>
              </w:rPr>
              <w:t>PGRNseq</w:t>
            </w:r>
            <w:proofErr w:type="spellEnd"/>
            <w:r w:rsidR="00A14096" w:rsidRPr="00700246">
              <w:rPr>
                <w:rFonts w:asciiTheme="majorHAnsi" w:hAnsiTheme="majorHAnsi" w:cstheme="majorHAnsi"/>
                <w:sz w:val="22"/>
                <w:szCs w:val="22"/>
              </w:rPr>
              <w:t xml:space="preserve"> data set </w:t>
            </w:r>
          </w:p>
          <w:p w14:paraId="23D993BB" w14:textId="43B45E85" w:rsidR="00376326"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Content>
                <w:r w:rsidR="00CA527A">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7734F063" w:rsidR="00376326"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Content>
                <w:r w:rsidR="00CA527A">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1DC1519A" w:rsidR="00571D40"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1"/>
                  <w14:checkedState w14:val="2612" w14:font="MS Gothic"/>
                  <w14:uncheckedState w14:val="2610" w14:font="MS Gothic"/>
                </w14:checkbox>
              </w:sdtPr>
              <w:sdtContent>
                <w:r w:rsidR="0071766E">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roofErr w:type="gramStart"/>
            <w:r w:rsidR="00571D40" w:rsidRPr="00700246">
              <w:rPr>
                <w:rFonts w:asciiTheme="majorHAnsi" w:hAnsiTheme="majorHAnsi" w:cstheme="majorHAnsi"/>
                <w:sz w:val="22"/>
                <w:szCs w:val="22"/>
              </w:rPr>
              <w:t>):</w:t>
            </w:r>
            <w:r w:rsidR="0071766E">
              <w:rPr>
                <w:rFonts w:asciiTheme="majorHAnsi" w:hAnsiTheme="majorHAnsi" w:cstheme="majorHAnsi"/>
                <w:sz w:val="22"/>
                <w:szCs w:val="22"/>
              </w:rPr>
              <w:t>HLA</w:t>
            </w:r>
            <w:proofErr w:type="gramEnd"/>
            <w:r w:rsidR="0071766E">
              <w:rPr>
                <w:rFonts w:asciiTheme="majorHAnsi" w:hAnsiTheme="majorHAnsi" w:cstheme="majorHAnsi"/>
                <w:sz w:val="22"/>
                <w:szCs w:val="22"/>
              </w:rPr>
              <w:t xml:space="preserve"> from </w:t>
            </w:r>
            <w:proofErr w:type="spellStart"/>
            <w:r w:rsidR="0071766E">
              <w:rPr>
                <w:rFonts w:asciiTheme="majorHAnsi" w:hAnsiTheme="majorHAnsi" w:cstheme="majorHAnsi"/>
                <w:sz w:val="22"/>
                <w:szCs w:val="22"/>
              </w:rPr>
              <w:t>PGRNSeq</w:t>
            </w:r>
            <w:proofErr w:type="spellEnd"/>
            <w:r w:rsidR="0071766E">
              <w:rPr>
                <w:rFonts w:asciiTheme="majorHAnsi" w:hAnsiTheme="majorHAnsi" w:cstheme="majorHAnsi"/>
                <w:sz w:val="22"/>
                <w:szCs w:val="22"/>
              </w:rPr>
              <w:t xml:space="preserve"> and imputed from other sets</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DC121F">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1C6447E8" w:rsidR="0063131E"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Content>
                <w:r w:rsidR="00FC2C29">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w:t>
            </w:r>
            <w:proofErr w:type="gramStart"/>
            <w:r w:rsidR="0063131E" w:rsidRPr="00700246">
              <w:rPr>
                <w:rFonts w:asciiTheme="majorHAnsi" w:hAnsiTheme="majorHAnsi" w:cstheme="majorHAnsi"/>
                <w:sz w:val="22"/>
                <w:szCs w:val="22"/>
              </w:rPr>
              <w:t>so</w:t>
            </w:r>
            <w:proofErr w:type="gramEnd"/>
            <w:r w:rsidR="0063131E" w:rsidRPr="00700246">
              <w:rPr>
                <w:rFonts w:asciiTheme="majorHAnsi" w:hAnsiTheme="majorHAnsi" w:cstheme="majorHAnsi"/>
                <w:sz w:val="22"/>
                <w:szCs w:val="22"/>
              </w:rPr>
              <w:t xml:space="preserve"> please list         </w:t>
            </w:r>
            <w:r w:rsidR="00FC2C29">
              <w:rPr>
                <w:rFonts w:asciiTheme="majorHAnsi" w:hAnsiTheme="majorHAnsi" w:cstheme="majorHAnsi"/>
                <w:sz w:val="22"/>
                <w:szCs w:val="22"/>
              </w:rPr>
              <w:t>Phase III, Systemic lupus erythematosus phenotype</w:t>
            </w:r>
            <w:r w:rsidR="0063131E" w:rsidRPr="00700246">
              <w:rPr>
                <w:rFonts w:asciiTheme="majorHAnsi" w:hAnsiTheme="majorHAnsi" w:cstheme="majorHAnsi"/>
                <w:sz w:val="22"/>
                <w:szCs w:val="22"/>
              </w:rPr>
              <w:t xml:space="preserve">                      </w:t>
            </w:r>
          </w:p>
          <w:p w14:paraId="2C71B567" w14:textId="00FA8EA3" w:rsidR="0063131E" w:rsidRPr="00700246" w:rsidRDefault="00DC121F"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DC121F">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46587B3C" w14:textId="00CA8884" w:rsidR="00CA527A" w:rsidRPr="00FE0DE1" w:rsidRDefault="001A2E01" w:rsidP="00CA527A">
            <w:pPr>
              <w:pStyle w:val="ListParagraph"/>
              <w:numPr>
                <w:ilvl w:val="0"/>
                <w:numId w:val="7"/>
              </w:numPr>
              <w:rPr>
                <w:rFonts w:asciiTheme="majorHAnsi" w:hAnsiTheme="majorHAnsi" w:cstheme="majorHAnsi"/>
                <w:sz w:val="22"/>
                <w:szCs w:val="22"/>
              </w:rPr>
            </w:pPr>
            <w:r w:rsidRPr="00FE0DE1">
              <w:rPr>
                <w:rFonts w:asciiTheme="majorHAnsi" w:hAnsiTheme="majorHAnsi" w:cstheme="majorHAnsi"/>
                <w:sz w:val="22"/>
                <w:szCs w:val="22"/>
              </w:rPr>
              <w:t xml:space="preserve">Examine ROC </w:t>
            </w:r>
            <w:r w:rsidR="00CA527A" w:rsidRPr="00FE0DE1">
              <w:rPr>
                <w:rFonts w:asciiTheme="majorHAnsi" w:hAnsiTheme="majorHAnsi" w:cstheme="majorHAnsi"/>
                <w:sz w:val="22"/>
                <w:szCs w:val="22"/>
              </w:rPr>
              <w:t xml:space="preserve">AUC for the PRS, NRI for </w:t>
            </w:r>
            <w:proofErr w:type="gramStart"/>
            <w:r w:rsidR="00CA527A" w:rsidRPr="00FE0DE1">
              <w:rPr>
                <w:rFonts w:asciiTheme="majorHAnsi" w:hAnsiTheme="majorHAnsi" w:cstheme="majorHAnsi"/>
                <w:sz w:val="22"/>
                <w:szCs w:val="22"/>
              </w:rPr>
              <w:t>PRS,  OR</w:t>
            </w:r>
            <w:proofErr w:type="gramEnd"/>
            <w:r w:rsidR="00CA527A" w:rsidRPr="00FE0DE1">
              <w:rPr>
                <w:rFonts w:asciiTheme="majorHAnsi" w:hAnsiTheme="majorHAnsi" w:cstheme="majorHAnsi"/>
                <w:sz w:val="22"/>
                <w:szCs w:val="22"/>
              </w:rPr>
              <w:t xml:space="preserve"> (lupus) for top and bottom deciles of PRS risk</w:t>
            </w:r>
          </w:p>
          <w:p w14:paraId="43950299" w14:textId="67CA5DE2" w:rsidR="0093273D" w:rsidRPr="00CA527A" w:rsidRDefault="0093273D" w:rsidP="00CA527A">
            <w:pPr>
              <w:pStyle w:val="ListParagraph"/>
              <w:rPr>
                <w:rFonts w:asciiTheme="majorHAnsi" w:hAnsiTheme="majorHAnsi" w:cstheme="majorHAnsi"/>
                <w:sz w:val="22"/>
                <w:szCs w:val="22"/>
                <w:highlight w:val="yellow"/>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DC121F">
            <w:pPr>
              <w:rPr>
                <w:rFonts w:asciiTheme="majorHAnsi" w:hAnsiTheme="majorHAnsi" w:cstheme="majorHAnsi"/>
                <w:sz w:val="22"/>
                <w:szCs w:val="22"/>
              </w:rPr>
            </w:pPr>
          </w:p>
          <w:p w14:paraId="4E264CE2" w14:textId="41D6BFC6" w:rsidR="0093273D" w:rsidRPr="008673B8" w:rsidRDefault="00FC2C29" w:rsidP="00DC121F">
            <w:pPr>
              <w:rPr>
                <w:rFonts w:asciiTheme="majorHAnsi" w:hAnsiTheme="majorHAnsi" w:cstheme="majorHAnsi"/>
                <w:sz w:val="22"/>
                <w:szCs w:val="22"/>
              </w:rPr>
            </w:pPr>
            <w:r>
              <w:rPr>
                <w:rFonts w:asciiTheme="majorHAnsi" w:hAnsiTheme="majorHAnsi" w:cstheme="majorHAnsi"/>
                <w:sz w:val="22"/>
                <w:szCs w:val="22"/>
              </w:rPr>
              <w:t>None</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DC121F">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4600D905" w:rsidR="000A12A3" w:rsidRPr="008673B8" w:rsidRDefault="00E249A7" w:rsidP="00DC121F">
            <w:pPr>
              <w:rPr>
                <w:rFonts w:asciiTheme="majorHAnsi" w:hAnsiTheme="majorHAnsi" w:cstheme="majorHAnsi"/>
                <w:sz w:val="22"/>
                <w:szCs w:val="22"/>
              </w:rPr>
            </w:pPr>
            <w:r>
              <w:rPr>
                <w:rFonts w:asciiTheme="majorHAnsi" w:hAnsiTheme="majorHAnsi" w:cstheme="majorHAnsi"/>
                <w:sz w:val="22"/>
                <w:szCs w:val="22"/>
              </w:rPr>
              <w:t>Arthritis Care and Research</w:t>
            </w:r>
            <w:r w:rsidR="00C02980">
              <w:rPr>
                <w:rFonts w:asciiTheme="majorHAnsi" w:hAnsiTheme="majorHAnsi" w:cstheme="majorHAnsi"/>
                <w:sz w:val="22"/>
                <w:szCs w:val="22"/>
              </w:rPr>
              <w:t xml:space="preserve"> or similar</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DC121F">
            <w:pPr>
              <w:rPr>
                <w:rFonts w:ascii="Calibri Light" w:hAnsi="Calibri Light"/>
                <w:b/>
                <w:sz w:val="22"/>
              </w:rPr>
            </w:pPr>
          </w:p>
          <w:p w14:paraId="5203358F" w14:textId="77777777" w:rsidR="0093273D" w:rsidRDefault="00376326" w:rsidP="00DC121F">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DC121F">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D6FF94E" w14:textId="6F1D6DAB" w:rsidR="001A2E01" w:rsidRPr="001F0D70" w:rsidRDefault="001A2E01" w:rsidP="001A2E01">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01</w:t>
            </w:r>
            <w:r w:rsidRPr="001F0D70">
              <w:rPr>
                <w:rFonts w:asciiTheme="majorHAnsi" w:hAnsiTheme="majorHAnsi" w:cstheme="majorHAnsi"/>
                <w:sz w:val="22"/>
                <w:szCs w:val="22"/>
              </w:rPr>
              <w:t>/20</w:t>
            </w:r>
            <w:r>
              <w:rPr>
                <w:rFonts w:asciiTheme="majorHAnsi" w:hAnsiTheme="majorHAnsi" w:cstheme="majorHAnsi"/>
                <w:sz w:val="22"/>
                <w:szCs w:val="22"/>
              </w:rPr>
              <w:t>20</w:t>
            </w:r>
            <w:r w:rsidRPr="001F0D70">
              <w:rPr>
                <w:rFonts w:asciiTheme="majorHAnsi" w:hAnsiTheme="majorHAnsi" w:cstheme="majorHAnsi"/>
                <w:sz w:val="22"/>
                <w:szCs w:val="22"/>
              </w:rPr>
              <w:t xml:space="preserve">: Develop initial PRS calculation </w:t>
            </w:r>
            <w:r w:rsidR="00DC121F" w:rsidRPr="001F0D70">
              <w:rPr>
                <w:rFonts w:asciiTheme="majorHAnsi" w:hAnsiTheme="majorHAnsi" w:cstheme="majorHAnsi"/>
                <w:sz w:val="22"/>
                <w:szCs w:val="22"/>
              </w:rPr>
              <w:t>pipeline</w:t>
            </w:r>
            <w:r w:rsidRPr="001F0D70">
              <w:rPr>
                <w:rFonts w:asciiTheme="majorHAnsi" w:hAnsiTheme="majorHAnsi" w:cstheme="majorHAnsi"/>
                <w:sz w:val="22"/>
                <w:szCs w:val="22"/>
              </w:rPr>
              <w:t xml:space="preserve"> for eMERGE</w:t>
            </w:r>
            <w:r>
              <w:rPr>
                <w:rFonts w:asciiTheme="majorHAnsi" w:hAnsiTheme="majorHAnsi" w:cstheme="majorHAnsi"/>
                <w:sz w:val="22"/>
                <w:szCs w:val="22"/>
              </w:rPr>
              <w:t>;</w:t>
            </w:r>
          </w:p>
          <w:p w14:paraId="3BBBE447" w14:textId="41C198FC" w:rsidR="001A2E01" w:rsidRDefault="001A2E01" w:rsidP="001A2E01">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04</w:t>
            </w:r>
            <w:r w:rsidRPr="001F0D70">
              <w:rPr>
                <w:rFonts w:asciiTheme="majorHAnsi" w:hAnsiTheme="majorHAnsi" w:cstheme="majorHAnsi"/>
                <w:sz w:val="22"/>
                <w:szCs w:val="22"/>
              </w:rPr>
              <w:t>/</w:t>
            </w:r>
            <w:r>
              <w:rPr>
                <w:rFonts w:asciiTheme="majorHAnsi" w:hAnsiTheme="majorHAnsi" w:cstheme="majorHAnsi"/>
                <w:sz w:val="22"/>
                <w:szCs w:val="22"/>
              </w:rPr>
              <w:t>2020</w:t>
            </w:r>
            <w:r w:rsidRPr="001F0D70">
              <w:rPr>
                <w:rFonts w:asciiTheme="majorHAnsi" w:hAnsiTheme="majorHAnsi" w:cstheme="majorHAnsi"/>
                <w:sz w:val="22"/>
                <w:szCs w:val="22"/>
              </w:rPr>
              <w:t xml:space="preserve">: Evaluate the transferability of </w:t>
            </w:r>
            <w:r>
              <w:rPr>
                <w:rFonts w:asciiTheme="majorHAnsi" w:hAnsiTheme="majorHAnsi" w:cstheme="majorHAnsi"/>
                <w:sz w:val="22"/>
                <w:szCs w:val="22"/>
              </w:rPr>
              <w:t>lupus</w:t>
            </w:r>
            <w:r w:rsidRPr="001F0D70">
              <w:rPr>
                <w:rFonts w:asciiTheme="majorHAnsi" w:hAnsiTheme="majorHAnsi" w:cstheme="majorHAnsi"/>
                <w:sz w:val="22"/>
                <w:szCs w:val="22"/>
              </w:rPr>
              <w:t xml:space="preserve"> PRS across different</w:t>
            </w:r>
            <w:r w:rsidR="004267C6">
              <w:rPr>
                <w:rFonts w:asciiTheme="majorHAnsi" w:hAnsiTheme="majorHAnsi" w:cstheme="majorHAnsi"/>
                <w:sz w:val="22"/>
                <w:szCs w:val="22"/>
              </w:rPr>
              <w:t xml:space="preserve"> ancestries</w:t>
            </w:r>
            <w:r>
              <w:rPr>
                <w:rFonts w:asciiTheme="majorHAnsi" w:hAnsiTheme="majorHAnsi" w:cstheme="majorHAnsi"/>
                <w:sz w:val="22"/>
                <w:szCs w:val="22"/>
              </w:rPr>
              <w:t>;</w:t>
            </w:r>
          </w:p>
          <w:p w14:paraId="32314173" w14:textId="3E84BE9E" w:rsidR="001A2E01" w:rsidRDefault="004267C6" w:rsidP="001A2E01">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07</w:t>
            </w:r>
            <w:r w:rsidR="001A2E01" w:rsidRPr="001F0D70">
              <w:rPr>
                <w:rFonts w:asciiTheme="majorHAnsi" w:hAnsiTheme="majorHAnsi" w:cstheme="majorHAnsi"/>
                <w:sz w:val="22"/>
                <w:szCs w:val="22"/>
              </w:rPr>
              <w:t>/20</w:t>
            </w:r>
            <w:r>
              <w:rPr>
                <w:rFonts w:asciiTheme="majorHAnsi" w:hAnsiTheme="majorHAnsi" w:cstheme="majorHAnsi"/>
                <w:sz w:val="22"/>
                <w:szCs w:val="22"/>
              </w:rPr>
              <w:t>20</w:t>
            </w:r>
            <w:r w:rsidR="001A2E01" w:rsidRPr="001F0D70">
              <w:rPr>
                <w:rFonts w:asciiTheme="majorHAnsi" w:hAnsiTheme="majorHAnsi" w:cstheme="majorHAnsi"/>
                <w:sz w:val="22"/>
                <w:szCs w:val="22"/>
              </w:rPr>
              <w:t xml:space="preserve">: </w:t>
            </w:r>
            <w:r>
              <w:rPr>
                <w:rFonts w:asciiTheme="majorHAnsi" w:hAnsiTheme="majorHAnsi" w:cstheme="majorHAnsi"/>
                <w:sz w:val="22"/>
                <w:szCs w:val="22"/>
              </w:rPr>
              <w:t>Assess the association of the PRS with individual classification criteria attributes and subpopulations of lupus patients based on classification criteria</w:t>
            </w:r>
            <w:r w:rsidR="001A2E01">
              <w:rPr>
                <w:rFonts w:asciiTheme="majorHAnsi" w:hAnsiTheme="majorHAnsi" w:cstheme="majorHAnsi"/>
                <w:sz w:val="22"/>
                <w:szCs w:val="22"/>
              </w:rPr>
              <w:t>;</w:t>
            </w:r>
          </w:p>
          <w:p w14:paraId="26A8A176" w14:textId="3C1ACC60" w:rsidR="001A2E01" w:rsidRDefault="004267C6" w:rsidP="001A2E01">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8</w:t>
            </w:r>
            <w:r w:rsidR="001A2E01">
              <w:rPr>
                <w:rFonts w:asciiTheme="majorHAnsi" w:hAnsiTheme="majorHAnsi" w:cstheme="majorHAnsi"/>
                <w:sz w:val="22"/>
                <w:szCs w:val="22"/>
              </w:rPr>
              <w:t>/2020: Manuscript draft completion;</w:t>
            </w:r>
          </w:p>
          <w:p w14:paraId="2E46E6B0" w14:textId="2C4D99A5" w:rsidR="001A2E01" w:rsidRPr="001F0D70" w:rsidRDefault="004267C6" w:rsidP="001A2E01">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lang w:eastAsia="zh-CN"/>
              </w:rPr>
              <w:t>9</w:t>
            </w:r>
            <w:r w:rsidR="001A2E01">
              <w:rPr>
                <w:rFonts w:asciiTheme="majorHAnsi" w:hAnsiTheme="majorHAnsi" w:cstheme="majorHAnsi"/>
                <w:sz w:val="22"/>
                <w:szCs w:val="22"/>
              </w:rPr>
              <w:t>/2020: Manuscript submission;</w:t>
            </w:r>
          </w:p>
          <w:p w14:paraId="4089201E" w14:textId="698DDE30" w:rsidR="0093273D" w:rsidRPr="008673B8" w:rsidRDefault="0093273D" w:rsidP="00DC121F">
            <w:pPr>
              <w:rPr>
                <w:rFonts w:asciiTheme="majorHAnsi" w:hAnsiTheme="majorHAnsi" w:cstheme="majorHAnsi"/>
                <w:sz w:val="22"/>
                <w:szCs w:val="22"/>
              </w:rPr>
            </w:pPr>
          </w:p>
        </w:tc>
      </w:tr>
    </w:tbl>
    <w:p w14:paraId="4BF2BAC8" w14:textId="14D1A955" w:rsidR="00DC121F" w:rsidRDefault="00DC121F"/>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0999B423" w14:textId="7EDBE929"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B71C" w14:textId="77777777" w:rsidR="00DC121F" w:rsidRDefault="00DC121F" w:rsidP="0093273D">
      <w:r>
        <w:separator/>
      </w:r>
    </w:p>
  </w:endnote>
  <w:endnote w:type="continuationSeparator" w:id="0">
    <w:p w14:paraId="350BBEA3" w14:textId="77777777" w:rsidR="00DC121F" w:rsidRDefault="00DC121F"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40EC97A7" w:rsidR="00DC121F" w:rsidRPr="0093273D" w:rsidRDefault="00DC121F">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Pr>
            <w:rFonts w:asciiTheme="majorHAnsi" w:hAnsiTheme="majorHAnsi"/>
            <w:noProof/>
            <w:sz w:val="22"/>
          </w:rPr>
          <w:t>3</w:t>
        </w:r>
        <w:r w:rsidRPr="0093273D">
          <w:rPr>
            <w:rFonts w:asciiTheme="majorHAnsi" w:hAnsiTheme="majorHAnsi"/>
            <w:noProof/>
            <w:sz w:val="22"/>
          </w:rPr>
          <w:fldChar w:fldCharType="end"/>
        </w:r>
      </w:p>
    </w:sdtContent>
  </w:sdt>
  <w:p w14:paraId="6C1BB607" w14:textId="77777777" w:rsidR="00DC121F" w:rsidRDefault="00DC1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0C754" w14:textId="77777777" w:rsidR="00DC121F" w:rsidRDefault="00DC121F" w:rsidP="0093273D">
      <w:r>
        <w:separator/>
      </w:r>
    </w:p>
  </w:footnote>
  <w:footnote w:type="continuationSeparator" w:id="0">
    <w:p w14:paraId="550A60D5" w14:textId="77777777" w:rsidR="00DC121F" w:rsidRDefault="00DC121F"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DC121F" w:rsidRDefault="00DC121F">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2A49B3"/>
    <w:multiLevelType w:val="hybridMultilevel"/>
    <w:tmpl w:val="28A25004"/>
    <w:lvl w:ilvl="0" w:tplc="CFAEF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5684B"/>
    <w:multiLevelType w:val="hybridMultilevel"/>
    <w:tmpl w:val="F418DC2A"/>
    <w:lvl w:ilvl="0" w:tplc="F92CD25E">
      <w:start w:val="2"/>
      <w:numFmt w:val="bullet"/>
      <w:lvlText w:val="-"/>
      <w:lvlJc w:val="left"/>
      <w:pPr>
        <w:ind w:left="720" w:hanging="360"/>
      </w:pPr>
      <w:rPr>
        <w:rFonts w:ascii="Calibri Light" w:eastAsia="Times New Roman"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74E58"/>
    <w:multiLevelType w:val="hybridMultilevel"/>
    <w:tmpl w:val="8990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sxrfz57wrx2meezf4p9spjpszxasptswz9&quot;&gt;My EndNote Library&lt;record-ids&gt;&lt;item&gt;182&lt;/item&gt;&lt;/record-ids&gt;&lt;/item&gt;&lt;/Libraries&gt;"/>
  </w:docVars>
  <w:rsids>
    <w:rsidRoot w:val="0093273D"/>
    <w:rsid w:val="000072A1"/>
    <w:rsid w:val="00010EED"/>
    <w:rsid w:val="00056083"/>
    <w:rsid w:val="000A12A3"/>
    <w:rsid w:val="000B7654"/>
    <w:rsid w:val="000F183A"/>
    <w:rsid w:val="00117500"/>
    <w:rsid w:val="00120FC7"/>
    <w:rsid w:val="001A2E01"/>
    <w:rsid w:val="001E40AB"/>
    <w:rsid w:val="001F3540"/>
    <w:rsid w:val="002043A1"/>
    <w:rsid w:val="00222011"/>
    <w:rsid w:val="0024268E"/>
    <w:rsid w:val="0025109A"/>
    <w:rsid w:val="00331973"/>
    <w:rsid w:val="00376326"/>
    <w:rsid w:val="003A35B2"/>
    <w:rsid w:val="003F367E"/>
    <w:rsid w:val="00422A42"/>
    <w:rsid w:val="004267C6"/>
    <w:rsid w:val="00447A10"/>
    <w:rsid w:val="00461CE7"/>
    <w:rsid w:val="00462857"/>
    <w:rsid w:val="00483834"/>
    <w:rsid w:val="004D7F55"/>
    <w:rsid w:val="00543125"/>
    <w:rsid w:val="005702CC"/>
    <w:rsid w:val="00571D40"/>
    <w:rsid w:val="00594CF3"/>
    <w:rsid w:val="00595E27"/>
    <w:rsid w:val="00614403"/>
    <w:rsid w:val="006166BF"/>
    <w:rsid w:val="00625689"/>
    <w:rsid w:val="0063131E"/>
    <w:rsid w:val="0064566F"/>
    <w:rsid w:val="006B7EA7"/>
    <w:rsid w:val="00700246"/>
    <w:rsid w:val="00702039"/>
    <w:rsid w:val="00704A97"/>
    <w:rsid w:val="0071766E"/>
    <w:rsid w:val="007D0CCE"/>
    <w:rsid w:val="007F3F81"/>
    <w:rsid w:val="00803487"/>
    <w:rsid w:val="0081509A"/>
    <w:rsid w:val="008673B8"/>
    <w:rsid w:val="008804B1"/>
    <w:rsid w:val="00880C3E"/>
    <w:rsid w:val="00887992"/>
    <w:rsid w:val="008B0CE2"/>
    <w:rsid w:val="00900D3C"/>
    <w:rsid w:val="00915B15"/>
    <w:rsid w:val="00922FF5"/>
    <w:rsid w:val="0093273D"/>
    <w:rsid w:val="00954A77"/>
    <w:rsid w:val="009A34FB"/>
    <w:rsid w:val="009C42A5"/>
    <w:rsid w:val="009E3043"/>
    <w:rsid w:val="009F64A4"/>
    <w:rsid w:val="00A14096"/>
    <w:rsid w:val="00A43734"/>
    <w:rsid w:val="00A674F0"/>
    <w:rsid w:val="00A726E3"/>
    <w:rsid w:val="00AF586E"/>
    <w:rsid w:val="00B54388"/>
    <w:rsid w:val="00B67A4E"/>
    <w:rsid w:val="00B845FF"/>
    <w:rsid w:val="00C02980"/>
    <w:rsid w:val="00C108DD"/>
    <w:rsid w:val="00C228F8"/>
    <w:rsid w:val="00C367EC"/>
    <w:rsid w:val="00C503A7"/>
    <w:rsid w:val="00CA527A"/>
    <w:rsid w:val="00CC77DC"/>
    <w:rsid w:val="00D00FDB"/>
    <w:rsid w:val="00D73D08"/>
    <w:rsid w:val="00D93D28"/>
    <w:rsid w:val="00DC121F"/>
    <w:rsid w:val="00DF671F"/>
    <w:rsid w:val="00E249A7"/>
    <w:rsid w:val="00E4176F"/>
    <w:rsid w:val="00E555DB"/>
    <w:rsid w:val="00E970AB"/>
    <w:rsid w:val="00F059F9"/>
    <w:rsid w:val="00F35A18"/>
    <w:rsid w:val="00F80C22"/>
    <w:rsid w:val="00FC2C29"/>
    <w:rsid w:val="00FD49BF"/>
    <w:rsid w:val="00FE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paragraph" w:customStyle="1" w:styleId="EndNoteBibliographyTitle">
    <w:name w:val="EndNote Bibliography Title"/>
    <w:basedOn w:val="Normal"/>
    <w:link w:val="EndNoteBibliographyTitleChar"/>
    <w:rsid w:val="00E970AB"/>
    <w:pPr>
      <w:jc w:val="center"/>
    </w:pPr>
  </w:style>
  <w:style w:type="character" w:customStyle="1" w:styleId="EndNoteBibliographyTitleChar">
    <w:name w:val="EndNote Bibliography Title Char"/>
    <w:basedOn w:val="DefaultParagraphFont"/>
    <w:link w:val="EndNoteBibliographyTitle"/>
    <w:rsid w:val="00E970A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E970AB"/>
  </w:style>
  <w:style w:type="character" w:customStyle="1" w:styleId="EndNoteBibliographyChar">
    <w:name w:val="EndNote Bibliography Char"/>
    <w:basedOn w:val="DefaultParagraphFont"/>
    <w:link w:val="EndNoteBibliography"/>
    <w:rsid w:val="00E970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0A95-9478-46C9-BF7B-E888CEF8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Stone, Timoethia M</cp:lastModifiedBy>
  <cp:revision>7</cp:revision>
  <cp:lastPrinted>2018-08-06T15:13:00Z</cp:lastPrinted>
  <dcterms:created xsi:type="dcterms:W3CDTF">2019-11-12T01:47:00Z</dcterms:created>
  <dcterms:modified xsi:type="dcterms:W3CDTF">2020-01-14T15:49:00Z</dcterms:modified>
</cp:coreProperties>
</file>