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7564C6B" w:rsidR="0093273D" w:rsidRPr="008673B8" w:rsidRDefault="00767264" w:rsidP="00CF0D06">
            <w:pPr>
              <w:rPr>
                <w:rFonts w:asciiTheme="majorHAnsi" w:hAnsiTheme="majorHAnsi" w:cstheme="majorHAnsi"/>
                <w:sz w:val="22"/>
                <w:szCs w:val="22"/>
              </w:rPr>
            </w:pPr>
            <w:r>
              <w:rPr>
                <w:rFonts w:asciiTheme="majorHAnsi" w:hAnsiTheme="majorHAnsi" w:cstheme="majorHAnsi"/>
                <w:sz w:val="22"/>
                <w:szCs w:val="22"/>
              </w:rPr>
              <w:t>NT379</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D1A89C5" w:rsidR="0093273D" w:rsidRPr="008673B8" w:rsidRDefault="006576CB" w:rsidP="00CF0D06">
            <w:pPr>
              <w:rPr>
                <w:rFonts w:asciiTheme="majorHAnsi" w:hAnsiTheme="majorHAnsi" w:cstheme="majorHAnsi"/>
                <w:sz w:val="22"/>
                <w:szCs w:val="22"/>
              </w:rPr>
            </w:pPr>
            <w:r>
              <w:rPr>
                <w:rFonts w:asciiTheme="majorHAnsi" w:hAnsiTheme="majorHAnsi" w:cstheme="majorHAnsi"/>
                <w:sz w:val="22"/>
                <w:szCs w:val="22"/>
              </w:rPr>
              <w:t>2-19-2020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CA6DD95" w:rsidR="0093273D" w:rsidRPr="008673B8" w:rsidRDefault="00AD41FE" w:rsidP="00CF0D06">
            <w:pPr>
              <w:rPr>
                <w:rFonts w:asciiTheme="majorHAnsi" w:hAnsiTheme="majorHAnsi" w:cstheme="majorHAnsi"/>
                <w:sz w:val="22"/>
                <w:szCs w:val="22"/>
              </w:rPr>
            </w:pPr>
            <w:r>
              <w:rPr>
                <w:rFonts w:asciiTheme="majorHAnsi" w:hAnsiTheme="majorHAnsi" w:cstheme="majorHAnsi"/>
                <w:sz w:val="22"/>
                <w:szCs w:val="22"/>
              </w:rPr>
              <w:t xml:space="preserve">Assessing the frequencies </w:t>
            </w:r>
            <w:r w:rsidRPr="00AD41FE">
              <w:rPr>
                <w:rFonts w:asciiTheme="majorHAnsi" w:hAnsiTheme="majorHAnsi" w:cstheme="majorHAnsi"/>
                <w:sz w:val="22"/>
                <w:szCs w:val="22"/>
              </w:rPr>
              <w:t xml:space="preserve">of </w:t>
            </w:r>
            <w:r>
              <w:rPr>
                <w:rFonts w:asciiTheme="majorHAnsi" w:hAnsiTheme="majorHAnsi" w:cstheme="majorHAnsi"/>
                <w:sz w:val="22"/>
                <w:szCs w:val="22"/>
              </w:rPr>
              <w:t xml:space="preserve">individual </w:t>
            </w:r>
            <w:r w:rsidRPr="00AD41FE">
              <w:rPr>
                <w:rFonts w:asciiTheme="majorHAnsi" w:hAnsiTheme="majorHAnsi" w:cstheme="majorHAnsi"/>
                <w:sz w:val="22"/>
                <w:szCs w:val="22"/>
              </w:rPr>
              <w:t xml:space="preserve">ACMG evidence </w:t>
            </w:r>
            <w:r>
              <w:rPr>
                <w:rFonts w:asciiTheme="majorHAnsi" w:hAnsiTheme="majorHAnsi" w:cstheme="majorHAnsi"/>
                <w:sz w:val="22"/>
                <w:szCs w:val="22"/>
              </w:rPr>
              <w:t>criteria</w:t>
            </w:r>
            <w:r w:rsidRPr="00AD41FE">
              <w:rPr>
                <w:rFonts w:asciiTheme="majorHAnsi" w:hAnsiTheme="majorHAnsi" w:cstheme="majorHAnsi"/>
                <w:sz w:val="22"/>
                <w:szCs w:val="22"/>
              </w:rPr>
              <w:t xml:space="preserve"> usage </w:t>
            </w:r>
            <w:r>
              <w:rPr>
                <w:rFonts w:asciiTheme="majorHAnsi" w:hAnsiTheme="majorHAnsi" w:cstheme="majorHAnsi"/>
                <w:sz w:val="22"/>
                <w:szCs w:val="22"/>
              </w:rPr>
              <w:t>in clinical variant interpretation across</w:t>
            </w:r>
            <w:r w:rsidRPr="00AD41FE">
              <w:rPr>
                <w:rFonts w:asciiTheme="majorHAnsi" w:hAnsiTheme="majorHAnsi" w:cstheme="majorHAnsi"/>
                <w:sz w:val="22"/>
                <w:szCs w:val="22"/>
              </w:rPr>
              <w:t xml:space="preserve"> self-reported race and disease domain</w:t>
            </w:r>
            <w:r>
              <w:rPr>
                <w:rFonts w:asciiTheme="majorHAnsi" w:hAnsiTheme="majorHAnsi" w:cstheme="majorHAnsi"/>
                <w:sz w:val="22"/>
                <w:szCs w:val="22"/>
              </w:rPr>
              <w: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AA35F6D" w:rsidR="0093273D" w:rsidRPr="008673B8" w:rsidRDefault="00C9311D" w:rsidP="00CF0D06">
            <w:pPr>
              <w:rPr>
                <w:rFonts w:asciiTheme="majorHAnsi" w:hAnsiTheme="majorHAnsi" w:cstheme="majorHAnsi"/>
                <w:sz w:val="22"/>
                <w:szCs w:val="22"/>
              </w:rPr>
            </w:pPr>
            <w:r>
              <w:rPr>
                <w:rFonts w:asciiTheme="majorHAnsi" w:hAnsiTheme="majorHAnsi" w:cstheme="majorHAnsi"/>
                <w:sz w:val="22"/>
                <w:szCs w:val="22"/>
              </w:rPr>
              <w:t>Meghan McKenna</w:t>
            </w:r>
            <w:r w:rsidR="00335C72">
              <w:rPr>
                <w:rFonts w:asciiTheme="majorHAnsi" w:hAnsiTheme="majorHAnsi" w:cstheme="majorHAnsi"/>
                <w:sz w:val="22"/>
                <w:szCs w:val="22"/>
              </w:rPr>
              <w:t>, Adam Gordon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814BF1A" w:rsidR="0093273D" w:rsidRPr="008673B8" w:rsidRDefault="00C9311D" w:rsidP="00CF0D06">
            <w:pPr>
              <w:rPr>
                <w:rFonts w:asciiTheme="majorHAnsi" w:hAnsiTheme="majorHAnsi" w:cstheme="majorHAnsi"/>
                <w:sz w:val="22"/>
                <w:szCs w:val="22"/>
              </w:rPr>
            </w:pPr>
            <w:r>
              <w:rPr>
                <w:rFonts w:asciiTheme="majorHAnsi" w:hAnsiTheme="majorHAnsi" w:cstheme="majorHAnsi"/>
                <w:sz w:val="22"/>
                <w:szCs w:val="22"/>
              </w:rPr>
              <w:t>Adam Gordon</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48A727" w14:textId="1BDC43CA" w:rsidR="00AD41FE" w:rsidRDefault="00081095" w:rsidP="00AD41FE">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AD41FE" w:rsidRPr="00AD41FE">
              <w:rPr>
                <w:rFonts w:asciiTheme="majorHAnsi" w:hAnsiTheme="majorHAnsi" w:cstheme="majorHAnsi"/>
                <w:color w:val="000000"/>
                <w:sz w:val="22"/>
                <w:szCs w:val="22"/>
              </w:rPr>
              <w:t xml:space="preserve">Despite the ease and relative cheapness of genetic sequencing, there remains a dearth of data regarding the genomic landscape of people with ancestral origins outside of Europe (Manrai et al, 2016, Caswell-Jin 2016, Landry et al. 2018, Sirisena, N. D., &amp; Dissanayake, V. H. 2017). This lack of information creates challenges for classifying mutations and there is a higher incidence of detection of VUSs in understudied populations (Casell-Jin, 2016). Within the healthcare system this </w:t>
            </w:r>
            <w:r w:rsidR="00B44D3E">
              <w:rPr>
                <w:rFonts w:asciiTheme="majorHAnsi" w:hAnsiTheme="majorHAnsi" w:cstheme="majorHAnsi"/>
                <w:color w:val="000000"/>
                <w:sz w:val="22"/>
                <w:szCs w:val="22"/>
              </w:rPr>
              <w:t xml:space="preserve">could </w:t>
            </w:r>
            <w:r w:rsidR="00AD41FE" w:rsidRPr="00AD41FE">
              <w:rPr>
                <w:rFonts w:asciiTheme="majorHAnsi" w:hAnsiTheme="majorHAnsi" w:cstheme="majorHAnsi"/>
                <w:color w:val="000000"/>
                <w:sz w:val="22"/>
                <w:szCs w:val="22"/>
              </w:rPr>
              <w:t xml:space="preserve">translate into large groups of people being systemically underserved by genomic medicine. </w:t>
            </w:r>
          </w:p>
          <w:p w14:paraId="6C215D7E" w14:textId="77777777" w:rsidR="00114C0D" w:rsidRPr="00AD41FE" w:rsidRDefault="00114C0D" w:rsidP="00AD41FE">
            <w:pPr>
              <w:rPr>
                <w:rFonts w:asciiTheme="majorHAnsi" w:hAnsiTheme="majorHAnsi" w:cstheme="majorHAnsi"/>
                <w:color w:val="000000"/>
                <w:sz w:val="22"/>
                <w:szCs w:val="22"/>
              </w:rPr>
            </w:pPr>
          </w:p>
          <w:p w14:paraId="6B79F1CC" w14:textId="570CA50E" w:rsidR="00AD41FE" w:rsidRDefault="00AD41FE" w:rsidP="00AD41FE">
            <w:pPr>
              <w:rPr>
                <w:rFonts w:asciiTheme="majorHAnsi" w:hAnsiTheme="majorHAnsi" w:cstheme="majorHAnsi"/>
                <w:color w:val="000000"/>
                <w:sz w:val="22"/>
                <w:szCs w:val="22"/>
              </w:rPr>
            </w:pPr>
            <w:r w:rsidRPr="00AD41FE">
              <w:rPr>
                <w:rFonts w:asciiTheme="majorHAnsi" w:hAnsiTheme="majorHAnsi" w:cstheme="majorHAnsi"/>
                <w:color w:val="000000"/>
                <w:sz w:val="22"/>
                <w:szCs w:val="22"/>
              </w:rPr>
              <w:tab/>
            </w:r>
            <w:r w:rsidR="00081095">
              <w:rPr>
                <w:rFonts w:asciiTheme="majorHAnsi" w:hAnsiTheme="majorHAnsi" w:cstheme="majorHAnsi"/>
                <w:color w:val="000000"/>
                <w:sz w:val="22"/>
                <w:szCs w:val="22"/>
              </w:rPr>
              <w:t>A particular</w:t>
            </w:r>
            <w:r w:rsidRPr="00AD41FE">
              <w:rPr>
                <w:rFonts w:asciiTheme="majorHAnsi" w:hAnsiTheme="majorHAnsi" w:cstheme="majorHAnsi"/>
                <w:color w:val="000000"/>
                <w:sz w:val="22"/>
                <w:szCs w:val="22"/>
              </w:rPr>
              <w:t xml:space="preserve"> repercussion of missing data is the </w:t>
            </w:r>
            <w:r w:rsidR="00081095">
              <w:rPr>
                <w:rFonts w:asciiTheme="majorHAnsi" w:hAnsiTheme="majorHAnsi" w:cstheme="majorHAnsi"/>
                <w:color w:val="000000"/>
                <w:sz w:val="22"/>
                <w:szCs w:val="22"/>
              </w:rPr>
              <w:t>mis</w:t>
            </w:r>
            <w:r w:rsidRPr="00AD41FE">
              <w:rPr>
                <w:rFonts w:asciiTheme="majorHAnsi" w:hAnsiTheme="majorHAnsi" w:cstheme="majorHAnsi"/>
                <w:color w:val="000000"/>
                <w:sz w:val="22"/>
                <w:szCs w:val="22"/>
              </w:rPr>
              <w:t>classification of variants</w:t>
            </w:r>
            <w:r w:rsidR="00081095">
              <w:rPr>
                <w:rFonts w:asciiTheme="majorHAnsi" w:hAnsiTheme="majorHAnsi" w:cstheme="majorHAnsi"/>
                <w:color w:val="000000"/>
                <w:sz w:val="22"/>
                <w:szCs w:val="22"/>
              </w:rPr>
              <w:t xml:space="preserve"> during clinical variant interpretation</w:t>
            </w:r>
            <w:r w:rsidRPr="00AD41FE">
              <w:rPr>
                <w:rFonts w:asciiTheme="majorHAnsi" w:hAnsiTheme="majorHAnsi" w:cstheme="majorHAnsi"/>
                <w:color w:val="000000"/>
                <w:sz w:val="22"/>
                <w:szCs w:val="22"/>
              </w:rPr>
              <w:t>. A 2016 study found that black Americans had been told that they carried pathogenic mutations which increased their risk for hypertrophic cardiomyopathy (Manrai et al. 2016)</w:t>
            </w:r>
            <w:r w:rsidR="00081095">
              <w:rPr>
                <w:rFonts w:asciiTheme="majorHAnsi" w:hAnsiTheme="majorHAnsi" w:cstheme="majorHAnsi"/>
                <w:color w:val="000000"/>
                <w:sz w:val="22"/>
                <w:szCs w:val="22"/>
              </w:rPr>
              <w:t xml:space="preserve"> that were </w:t>
            </w:r>
            <w:r w:rsidRPr="00AD41FE">
              <w:rPr>
                <w:rFonts w:asciiTheme="majorHAnsi" w:hAnsiTheme="majorHAnsi" w:cstheme="majorHAnsi"/>
                <w:color w:val="000000"/>
                <w:sz w:val="22"/>
                <w:szCs w:val="22"/>
              </w:rPr>
              <w:t>later reclassified as benign. These false positive results invalidated risk assessments made for the patients and their families. Health management plans were created from these incorrect diagnoses that later had to be changed.</w:t>
            </w:r>
            <w:r w:rsidR="00081095">
              <w:rPr>
                <w:rFonts w:asciiTheme="majorHAnsi" w:hAnsiTheme="majorHAnsi" w:cstheme="majorHAnsi"/>
                <w:color w:val="000000"/>
                <w:sz w:val="22"/>
                <w:szCs w:val="22"/>
              </w:rPr>
              <w:t xml:space="preserve"> </w:t>
            </w:r>
            <w:r w:rsidRPr="00AD41FE">
              <w:rPr>
                <w:rFonts w:asciiTheme="majorHAnsi" w:hAnsiTheme="majorHAnsi" w:cstheme="majorHAnsi"/>
                <w:color w:val="000000"/>
                <w:sz w:val="22"/>
                <w:szCs w:val="22"/>
              </w:rPr>
              <w:t>The combination of</w:t>
            </w:r>
            <w:r w:rsidR="00081095">
              <w:rPr>
                <w:rFonts w:asciiTheme="majorHAnsi" w:hAnsiTheme="majorHAnsi" w:cstheme="majorHAnsi"/>
                <w:color w:val="000000"/>
                <w:sz w:val="22"/>
                <w:szCs w:val="22"/>
              </w:rPr>
              <w:t xml:space="preserve"> presumably</w:t>
            </w:r>
            <w:r w:rsidRPr="00AD41FE">
              <w:rPr>
                <w:rFonts w:asciiTheme="majorHAnsi" w:hAnsiTheme="majorHAnsi" w:cstheme="majorHAnsi"/>
                <w:color w:val="000000"/>
                <w:sz w:val="22"/>
                <w:szCs w:val="22"/>
              </w:rPr>
              <w:t xml:space="preserve"> high rates of VUSs and </w:t>
            </w:r>
            <w:r w:rsidR="00081095">
              <w:rPr>
                <w:rFonts w:asciiTheme="majorHAnsi" w:hAnsiTheme="majorHAnsi" w:cstheme="majorHAnsi"/>
                <w:color w:val="000000"/>
                <w:sz w:val="22"/>
                <w:szCs w:val="22"/>
              </w:rPr>
              <w:t xml:space="preserve">little data on </w:t>
            </w:r>
            <w:r w:rsidRPr="00AD41FE">
              <w:rPr>
                <w:rFonts w:asciiTheme="majorHAnsi" w:hAnsiTheme="majorHAnsi" w:cstheme="majorHAnsi"/>
                <w:color w:val="000000"/>
                <w:sz w:val="22"/>
                <w:szCs w:val="22"/>
              </w:rPr>
              <w:t xml:space="preserve">misclassified variants </w:t>
            </w:r>
            <w:r w:rsidR="00081095">
              <w:rPr>
                <w:rFonts w:asciiTheme="majorHAnsi" w:hAnsiTheme="majorHAnsi" w:cstheme="majorHAnsi"/>
                <w:color w:val="000000"/>
                <w:sz w:val="22"/>
                <w:szCs w:val="22"/>
              </w:rPr>
              <w:t>are red flags</w:t>
            </w:r>
            <w:r w:rsidRPr="00AD41FE">
              <w:rPr>
                <w:rFonts w:asciiTheme="majorHAnsi" w:hAnsiTheme="majorHAnsi" w:cstheme="majorHAnsi"/>
                <w:color w:val="000000"/>
                <w:sz w:val="22"/>
                <w:szCs w:val="22"/>
              </w:rPr>
              <w:t xml:space="preserve"> that people in historically understudied minorities are at risk of being under or over treated for genetic conditions (Manrai et al, 2016, Landry et al 2018). This incorrect management</w:t>
            </w:r>
            <w:r w:rsidR="00081095">
              <w:rPr>
                <w:rFonts w:asciiTheme="majorHAnsi" w:hAnsiTheme="majorHAnsi" w:cstheme="majorHAnsi"/>
                <w:color w:val="000000"/>
                <w:sz w:val="22"/>
                <w:szCs w:val="22"/>
              </w:rPr>
              <w:t xml:space="preserve"> could</w:t>
            </w:r>
            <w:r w:rsidRPr="00AD41FE">
              <w:rPr>
                <w:rFonts w:asciiTheme="majorHAnsi" w:hAnsiTheme="majorHAnsi" w:cstheme="majorHAnsi"/>
                <w:color w:val="000000"/>
                <w:sz w:val="22"/>
                <w:szCs w:val="22"/>
              </w:rPr>
              <w:t xml:space="preserve"> mean increases health inequities by producing healthcare outcomes that are avoidable and unfair (Senier 2018). </w:t>
            </w:r>
          </w:p>
          <w:p w14:paraId="1B24F4B6" w14:textId="77777777" w:rsidR="00114C0D" w:rsidRPr="00AD41FE" w:rsidRDefault="00114C0D" w:rsidP="00AD41FE">
            <w:pPr>
              <w:rPr>
                <w:rFonts w:asciiTheme="majorHAnsi" w:hAnsiTheme="majorHAnsi" w:cstheme="majorHAnsi"/>
                <w:color w:val="000000"/>
                <w:sz w:val="22"/>
                <w:szCs w:val="22"/>
              </w:rPr>
            </w:pPr>
          </w:p>
          <w:p w14:paraId="2A8BEE81" w14:textId="73CCAFCC" w:rsidR="00AD41FE" w:rsidRDefault="00AD41FE" w:rsidP="00AD41FE">
            <w:pPr>
              <w:rPr>
                <w:rFonts w:asciiTheme="majorHAnsi" w:hAnsiTheme="majorHAnsi" w:cstheme="majorHAnsi"/>
                <w:color w:val="000000"/>
                <w:sz w:val="22"/>
                <w:szCs w:val="22"/>
              </w:rPr>
            </w:pPr>
            <w:r w:rsidRPr="00AD41FE">
              <w:rPr>
                <w:rFonts w:asciiTheme="majorHAnsi" w:hAnsiTheme="majorHAnsi" w:cstheme="majorHAnsi"/>
                <w:color w:val="000000"/>
                <w:sz w:val="22"/>
                <w:szCs w:val="22"/>
              </w:rPr>
              <w:tab/>
              <w:t xml:space="preserve">It has been suggested that these inequities can be mitigated through increased sequencing and study of understudied minorities. Ancestry-matched controls are also recommended for interpreting variants. Furthermore, increasing data sharing has the potential to reduce these disparities (Manrai et al, 2016). While these recommendations are useful, they are not perfect. Sequencing and classifying new populations is time intensive. Additionally, waiting for ancestry-matched controls may delay reporting of pathogenic variants. Another possible solution to improper variant classification is an assessment of </w:t>
            </w:r>
            <w:r w:rsidR="00114C0D">
              <w:rPr>
                <w:rFonts w:asciiTheme="majorHAnsi" w:hAnsiTheme="majorHAnsi" w:cstheme="majorHAnsi"/>
                <w:color w:val="000000"/>
                <w:sz w:val="22"/>
                <w:szCs w:val="22"/>
              </w:rPr>
              <w:t xml:space="preserve">the underlying </w:t>
            </w:r>
            <w:r w:rsidRPr="00AD41FE">
              <w:rPr>
                <w:rFonts w:asciiTheme="majorHAnsi" w:hAnsiTheme="majorHAnsi" w:cstheme="majorHAnsi"/>
                <w:color w:val="000000"/>
                <w:sz w:val="22"/>
                <w:szCs w:val="22"/>
              </w:rPr>
              <w:t xml:space="preserve">ACMG variant interpretation standards and guidelines. </w:t>
            </w:r>
            <w:r w:rsidR="00114C0D">
              <w:rPr>
                <w:rFonts w:asciiTheme="majorHAnsi" w:hAnsiTheme="majorHAnsi" w:cstheme="majorHAnsi"/>
                <w:color w:val="000000"/>
                <w:sz w:val="22"/>
                <w:szCs w:val="22"/>
              </w:rPr>
              <w:t>Though improving through data sharing initiatives,</w:t>
            </w:r>
            <w:r w:rsidRPr="00AD41FE">
              <w:rPr>
                <w:rFonts w:asciiTheme="majorHAnsi" w:hAnsiTheme="majorHAnsi" w:cstheme="majorHAnsi"/>
                <w:color w:val="000000"/>
                <w:sz w:val="22"/>
                <w:szCs w:val="22"/>
              </w:rPr>
              <w:t xml:space="preserve"> testing laboratories </w:t>
            </w:r>
            <w:r w:rsidR="00114C0D">
              <w:rPr>
                <w:rFonts w:asciiTheme="majorHAnsi" w:hAnsiTheme="majorHAnsi" w:cstheme="majorHAnsi"/>
                <w:color w:val="000000"/>
                <w:sz w:val="22"/>
                <w:szCs w:val="22"/>
              </w:rPr>
              <w:t xml:space="preserve">can </w:t>
            </w:r>
            <w:r w:rsidRPr="00AD41FE">
              <w:rPr>
                <w:rFonts w:asciiTheme="majorHAnsi" w:hAnsiTheme="majorHAnsi" w:cstheme="majorHAnsi"/>
                <w:color w:val="000000"/>
                <w:sz w:val="22"/>
                <w:szCs w:val="22"/>
              </w:rPr>
              <w:t xml:space="preserve">lack inter-laboratory interpretation consensus (Amendola, L. M  et al 2016, Harrison, S. M., et al. </w:t>
            </w:r>
            <w:r w:rsidRPr="00AD41FE">
              <w:rPr>
                <w:rFonts w:asciiTheme="majorHAnsi" w:hAnsiTheme="majorHAnsi" w:cstheme="majorHAnsi"/>
                <w:color w:val="000000"/>
                <w:sz w:val="22"/>
                <w:szCs w:val="22"/>
              </w:rPr>
              <w:lastRenderedPageBreak/>
              <w:t xml:space="preserve">2017). While these evidence codes apply to each variant </w:t>
            </w:r>
            <w:r w:rsidR="00114C0D">
              <w:rPr>
                <w:rFonts w:asciiTheme="majorHAnsi" w:hAnsiTheme="majorHAnsi" w:cstheme="majorHAnsi"/>
                <w:color w:val="000000"/>
                <w:sz w:val="22"/>
                <w:szCs w:val="22"/>
              </w:rPr>
              <w:t xml:space="preserve">and ancestry group </w:t>
            </w:r>
            <w:r w:rsidRPr="00AD41FE">
              <w:rPr>
                <w:rFonts w:asciiTheme="majorHAnsi" w:hAnsiTheme="majorHAnsi" w:cstheme="majorHAnsi"/>
                <w:color w:val="000000"/>
                <w:sz w:val="22"/>
                <w:szCs w:val="22"/>
              </w:rPr>
              <w:t>equally</w:t>
            </w:r>
            <w:r w:rsidR="00114C0D">
              <w:rPr>
                <w:rFonts w:asciiTheme="majorHAnsi" w:hAnsiTheme="majorHAnsi" w:cstheme="majorHAnsi"/>
                <w:color w:val="000000"/>
                <w:sz w:val="22"/>
                <w:szCs w:val="22"/>
              </w:rPr>
              <w:t xml:space="preserve">, </w:t>
            </w:r>
            <w:r w:rsidRPr="00AD41FE">
              <w:rPr>
                <w:rFonts w:asciiTheme="majorHAnsi" w:hAnsiTheme="majorHAnsi" w:cstheme="majorHAnsi"/>
                <w:color w:val="000000"/>
                <w:sz w:val="22"/>
                <w:szCs w:val="22"/>
              </w:rPr>
              <w:t xml:space="preserve">they retain the potential to propagate disparate </w:t>
            </w:r>
            <w:r w:rsidR="00114C0D">
              <w:rPr>
                <w:rFonts w:asciiTheme="majorHAnsi" w:hAnsiTheme="majorHAnsi" w:cstheme="majorHAnsi"/>
                <w:color w:val="000000"/>
                <w:sz w:val="22"/>
                <w:szCs w:val="22"/>
              </w:rPr>
              <w:t xml:space="preserve">impacts; </w:t>
            </w:r>
            <w:r w:rsidRPr="00AD41FE">
              <w:rPr>
                <w:rFonts w:asciiTheme="majorHAnsi" w:hAnsiTheme="majorHAnsi" w:cstheme="majorHAnsi"/>
                <w:color w:val="000000"/>
                <w:sz w:val="22"/>
                <w:szCs w:val="22"/>
              </w:rPr>
              <w:t xml:space="preserve">it is possible that a lack of </w:t>
            </w:r>
            <w:r w:rsidR="00114C0D">
              <w:rPr>
                <w:rFonts w:asciiTheme="majorHAnsi" w:hAnsiTheme="majorHAnsi" w:cstheme="majorHAnsi"/>
                <w:color w:val="000000"/>
                <w:sz w:val="22"/>
                <w:szCs w:val="22"/>
              </w:rPr>
              <w:t>underlying data from the literature</w:t>
            </w:r>
            <w:r w:rsidRPr="00AD41FE">
              <w:rPr>
                <w:rFonts w:asciiTheme="majorHAnsi" w:hAnsiTheme="majorHAnsi" w:cstheme="majorHAnsi"/>
                <w:color w:val="000000"/>
                <w:sz w:val="22"/>
                <w:szCs w:val="22"/>
              </w:rPr>
              <w:t xml:space="preserve"> in variants unique to individuals of a variety of ancestral origins may cause ACMG evidence codes to apply to different populations disproportionately. This could be a driver of disparities in genetic medicine. </w:t>
            </w:r>
          </w:p>
          <w:p w14:paraId="0E812278" w14:textId="77777777" w:rsidR="00114C0D" w:rsidRPr="00AD41FE" w:rsidRDefault="00114C0D" w:rsidP="00AD41FE">
            <w:pPr>
              <w:rPr>
                <w:rFonts w:asciiTheme="majorHAnsi" w:hAnsiTheme="majorHAnsi" w:cstheme="majorHAnsi"/>
                <w:color w:val="000000"/>
                <w:sz w:val="22"/>
                <w:szCs w:val="22"/>
              </w:rPr>
            </w:pPr>
          </w:p>
          <w:p w14:paraId="3CD7DE62" w14:textId="61552E40" w:rsidR="0093273D" w:rsidRPr="008673B8" w:rsidRDefault="00AD41FE" w:rsidP="00AD41FE">
            <w:pPr>
              <w:rPr>
                <w:rFonts w:asciiTheme="majorHAnsi" w:hAnsiTheme="majorHAnsi" w:cstheme="majorHAnsi"/>
                <w:color w:val="000000"/>
                <w:sz w:val="22"/>
                <w:szCs w:val="22"/>
              </w:rPr>
            </w:pPr>
            <w:r w:rsidRPr="00AD41FE">
              <w:rPr>
                <w:rFonts w:asciiTheme="majorHAnsi" w:hAnsiTheme="majorHAnsi" w:cstheme="majorHAnsi"/>
                <w:color w:val="000000"/>
                <w:sz w:val="22"/>
                <w:szCs w:val="22"/>
              </w:rPr>
              <w:tab/>
              <w:t xml:space="preserve">The goal of this study is to investigate whether there are disparities in clinical variant interpretation due to varying applicability of ACMG variant interpretation standards in different self-reported races, disease domains, and pathogenicity. Understanding different rates of </w:t>
            </w:r>
            <w:r w:rsidR="00114C0D">
              <w:rPr>
                <w:rFonts w:asciiTheme="majorHAnsi" w:hAnsiTheme="majorHAnsi" w:cstheme="majorHAnsi"/>
                <w:color w:val="000000"/>
                <w:sz w:val="22"/>
                <w:szCs w:val="22"/>
              </w:rPr>
              <w:t>criteria</w:t>
            </w:r>
            <w:r w:rsidRPr="00AD41FE">
              <w:rPr>
                <w:rFonts w:asciiTheme="majorHAnsi" w:hAnsiTheme="majorHAnsi" w:cstheme="majorHAnsi"/>
                <w:color w:val="000000"/>
                <w:sz w:val="22"/>
                <w:szCs w:val="22"/>
              </w:rPr>
              <w:t xml:space="preserve"> use has the potential to identify</w:t>
            </w:r>
            <w:r w:rsidR="00114C0D">
              <w:rPr>
                <w:rFonts w:asciiTheme="majorHAnsi" w:hAnsiTheme="majorHAnsi" w:cstheme="majorHAnsi"/>
                <w:color w:val="000000"/>
                <w:sz w:val="22"/>
                <w:szCs w:val="22"/>
              </w:rPr>
              <w:t xml:space="preserve"> any structural biases in the design and implementation of ACMG evidence rules to improve their applicability in future revisions.</w:t>
            </w:r>
            <w:r w:rsidRPr="00AD41FE">
              <w:rPr>
                <w:rFonts w:asciiTheme="majorHAnsi" w:hAnsiTheme="majorHAnsi" w:cstheme="majorHAnsi"/>
                <w:color w:val="000000"/>
                <w:sz w:val="22"/>
                <w:szCs w:val="22"/>
              </w:rPr>
              <w:t xml:space="preserve">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6989B03F" w:rsidR="0093273D" w:rsidRDefault="0093273D" w:rsidP="00CF0D06">
            <w:pPr>
              <w:rPr>
                <w:rFonts w:asciiTheme="majorHAnsi" w:hAnsiTheme="majorHAnsi" w:cstheme="majorHAnsi"/>
                <w:sz w:val="22"/>
                <w:szCs w:val="22"/>
              </w:rPr>
            </w:pPr>
          </w:p>
          <w:p w14:paraId="623B406B" w14:textId="2354B8A5" w:rsidR="00551875" w:rsidRDefault="00551875" w:rsidP="0055187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collect/re-engineer ACMG criteria used for all reported variants</w:t>
            </w:r>
          </w:p>
          <w:p w14:paraId="043C626B" w14:textId="0F27171C" w:rsidR="00551875" w:rsidRDefault="00551875" w:rsidP="0055187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harmonize criteria, stratify by disease domain and self-reported race</w:t>
            </w:r>
          </w:p>
          <w:p w14:paraId="69AE3F72" w14:textId="1B222C02" w:rsidR="00551875" w:rsidRDefault="00551875" w:rsidP="00551875">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per-criteria statistical analysis comparing usage frequencies by disease domain across races</w:t>
            </w:r>
          </w:p>
          <w:p w14:paraId="08FF0C3E" w14:textId="371EEAE5" w:rsidR="00551875" w:rsidRPr="00551875" w:rsidRDefault="00551875" w:rsidP="00551875">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down-sample findings in Whites to match numbers among non-whites, bootstrap</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2867129" w:rsidR="00C367EC" w:rsidRPr="00700246" w:rsidRDefault="00767264"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B85F1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009878D2" w:rsidR="00B845FF"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FAFE07" w14:textId="77777777" w:rsidR="00B168AF" w:rsidRDefault="00B168AF" w:rsidP="000B7654">
            <w:pPr>
              <w:rPr>
                <w:rFonts w:asciiTheme="majorHAnsi" w:hAnsiTheme="majorHAnsi" w:cstheme="majorHAnsi"/>
                <w:iCs/>
                <w:sz w:val="22"/>
                <w:szCs w:val="22"/>
              </w:rPr>
            </w:pPr>
          </w:p>
          <w:p w14:paraId="2C947254" w14:textId="77777777" w:rsidR="0025109A" w:rsidRDefault="00B168AF" w:rsidP="000B7654">
            <w:pPr>
              <w:rPr>
                <w:rFonts w:asciiTheme="majorHAnsi" w:hAnsiTheme="majorHAnsi" w:cstheme="majorHAnsi"/>
                <w:iCs/>
                <w:sz w:val="22"/>
                <w:szCs w:val="22"/>
              </w:rPr>
            </w:pPr>
            <w:r>
              <w:rPr>
                <w:rFonts w:asciiTheme="majorHAnsi" w:hAnsiTheme="majorHAnsi" w:cstheme="majorHAnsi"/>
                <w:iCs/>
                <w:sz w:val="22"/>
                <w:szCs w:val="22"/>
              </w:rPr>
              <w:t>‘Evidence summary’ text for all reported (P/LP) variants in eMERGE-III</w:t>
            </w:r>
          </w:p>
          <w:p w14:paraId="01DCE786" w14:textId="3A51C574" w:rsidR="00551875" w:rsidRPr="00B168AF" w:rsidRDefault="00551875" w:rsidP="000B7654">
            <w:pPr>
              <w:rPr>
                <w:rFonts w:asciiTheme="majorHAnsi" w:hAnsiTheme="majorHAnsi" w:cstheme="majorHAnsi"/>
                <w:iCs/>
                <w:sz w:val="22"/>
                <w:szCs w:val="22"/>
              </w:rPr>
            </w:pPr>
            <w:r>
              <w:rPr>
                <w:rFonts w:asciiTheme="majorHAnsi" w:hAnsiTheme="majorHAnsi" w:cstheme="majorHAnsi"/>
                <w:iCs/>
                <w:sz w:val="22"/>
                <w:szCs w:val="22"/>
              </w:rPr>
              <w:t>Criteria used for each variant interpretation, where available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0566FC1C" w:rsidR="00376326"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B168AF">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24142C49" w:rsidR="0063131E" w:rsidRPr="00700246" w:rsidRDefault="00767264"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B168AF">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8EFD397" w14:textId="76DA8318" w:rsidR="0093273D" w:rsidRDefault="000D606B" w:rsidP="00CF0D06">
            <w:pPr>
              <w:rPr>
                <w:rFonts w:asciiTheme="majorHAnsi" w:hAnsiTheme="majorHAnsi" w:cstheme="majorHAnsi"/>
                <w:sz w:val="22"/>
                <w:szCs w:val="22"/>
              </w:rPr>
            </w:pPr>
            <w:r>
              <w:rPr>
                <w:rFonts w:asciiTheme="majorHAnsi" w:hAnsiTheme="majorHAnsi" w:cstheme="majorHAnsi"/>
                <w:sz w:val="22"/>
                <w:szCs w:val="22"/>
              </w:rPr>
              <w:t xml:space="preserve">Chi-square, to measure statistical significance for comparisons of stratified frequencies of criteria usage </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5FBEE2B7" w:rsidR="0093273D" w:rsidRPr="008673B8" w:rsidRDefault="000D606B" w:rsidP="00CF0D06">
            <w:pPr>
              <w:rPr>
                <w:rFonts w:asciiTheme="majorHAnsi" w:hAnsiTheme="majorHAnsi" w:cstheme="majorHAnsi"/>
                <w:sz w:val="22"/>
                <w:szCs w:val="22"/>
              </w:rPr>
            </w:pPr>
            <w:r>
              <w:rPr>
                <w:rFonts w:asciiTheme="majorHAnsi" w:hAnsiTheme="majorHAnsi" w:cstheme="majorHAnsi"/>
                <w:sz w:val="22"/>
                <w:szCs w:val="22"/>
              </w:rPr>
              <w:t>n/a</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28616598" w:rsidR="000A12A3" w:rsidRPr="008673B8" w:rsidRDefault="00FE1549" w:rsidP="00CF0D06">
            <w:pPr>
              <w:rPr>
                <w:rFonts w:asciiTheme="majorHAnsi" w:hAnsiTheme="majorHAnsi" w:cstheme="majorHAnsi"/>
                <w:sz w:val="22"/>
                <w:szCs w:val="22"/>
              </w:rPr>
            </w:pPr>
            <w:r>
              <w:rPr>
                <w:rFonts w:asciiTheme="majorHAnsi" w:hAnsiTheme="majorHAnsi" w:cstheme="majorHAnsi"/>
                <w:sz w:val="22"/>
                <w:szCs w:val="22"/>
              </w:rPr>
              <w:t>Genetics in Medicine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1131F3FE" w14:textId="2D17B07E" w:rsidR="0093273D" w:rsidRDefault="00551875" w:rsidP="00CF0D06">
            <w:pPr>
              <w:rPr>
                <w:rFonts w:asciiTheme="majorHAnsi" w:hAnsiTheme="majorHAnsi" w:cstheme="majorHAnsi"/>
                <w:sz w:val="22"/>
                <w:szCs w:val="22"/>
              </w:rPr>
            </w:pPr>
            <w:r>
              <w:rPr>
                <w:rFonts w:asciiTheme="majorHAnsi" w:hAnsiTheme="majorHAnsi" w:cstheme="majorHAnsi"/>
                <w:sz w:val="22"/>
                <w:szCs w:val="22"/>
              </w:rPr>
              <w:t>Collect/re-engineer criteria = March/April 2020</w:t>
            </w:r>
          </w:p>
          <w:p w14:paraId="00DA8B8C" w14:textId="3ED6FEF6" w:rsidR="00551875" w:rsidRDefault="00551875" w:rsidP="00CF0D06">
            <w:pPr>
              <w:rPr>
                <w:rFonts w:asciiTheme="majorHAnsi" w:hAnsiTheme="majorHAnsi" w:cstheme="majorHAnsi"/>
                <w:sz w:val="22"/>
                <w:szCs w:val="22"/>
              </w:rPr>
            </w:pPr>
            <w:r>
              <w:rPr>
                <w:rFonts w:asciiTheme="majorHAnsi" w:hAnsiTheme="majorHAnsi" w:cstheme="majorHAnsi"/>
                <w:sz w:val="22"/>
                <w:szCs w:val="22"/>
              </w:rPr>
              <w:t>Statistical analysis = April 2020</w:t>
            </w:r>
          </w:p>
          <w:p w14:paraId="58FFF9D5" w14:textId="71AEAD8E" w:rsidR="00551875" w:rsidRDefault="00551875" w:rsidP="00CF0D06">
            <w:pPr>
              <w:rPr>
                <w:rFonts w:asciiTheme="majorHAnsi" w:hAnsiTheme="majorHAnsi" w:cstheme="majorHAnsi"/>
                <w:sz w:val="22"/>
                <w:szCs w:val="22"/>
              </w:rPr>
            </w:pPr>
            <w:r>
              <w:rPr>
                <w:rFonts w:asciiTheme="majorHAnsi" w:hAnsiTheme="majorHAnsi" w:cstheme="majorHAnsi"/>
                <w:sz w:val="22"/>
                <w:szCs w:val="22"/>
              </w:rPr>
              <w:t>Manuscript prep = May 2020</w:t>
            </w:r>
          </w:p>
          <w:p w14:paraId="4089201E" w14:textId="527FF049" w:rsidR="00551875" w:rsidRPr="008673B8" w:rsidRDefault="00551875" w:rsidP="00CF0D06">
            <w:pPr>
              <w:rPr>
                <w:rFonts w:asciiTheme="majorHAnsi" w:hAnsiTheme="majorHAnsi" w:cstheme="majorHAnsi"/>
                <w:sz w:val="22"/>
                <w:szCs w:val="22"/>
              </w:rPr>
            </w:pPr>
          </w:p>
        </w:tc>
      </w:tr>
    </w:tbl>
    <w:p w14:paraId="4BF2BAC8" w14:textId="77777777" w:rsidR="002142B6" w:rsidRDefault="0076726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775C" w14:textId="77777777" w:rsidR="007900A1" w:rsidRDefault="007900A1" w:rsidP="0093273D">
      <w:r>
        <w:separator/>
      </w:r>
    </w:p>
  </w:endnote>
  <w:endnote w:type="continuationSeparator" w:id="0">
    <w:p w14:paraId="06CF5241" w14:textId="77777777" w:rsidR="007900A1" w:rsidRDefault="007900A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4373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0AB5" w14:textId="77777777" w:rsidR="007900A1" w:rsidRDefault="007900A1" w:rsidP="0093273D">
      <w:r>
        <w:separator/>
      </w:r>
    </w:p>
  </w:footnote>
  <w:footnote w:type="continuationSeparator" w:id="0">
    <w:p w14:paraId="54BEADEC" w14:textId="77777777" w:rsidR="007900A1" w:rsidRDefault="007900A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605D"/>
    <w:multiLevelType w:val="hybridMultilevel"/>
    <w:tmpl w:val="42588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bAwMLM0MTQ1tbRU0lEKTi0uzszPAykwrAUAhbJpVCwAAAA="/>
  </w:docVars>
  <w:rsids>
    <w:rsidRoot w:val="0093273D"/>
    <w:rsid w:val="00081095"/>
    <w:rsid w:val="000A12A3"/>
    <w:rsid w:val="000B7654"/>
    <w:rsid w:val="000D606B"/>
    <w:rsid w:val="00114C0D"/>
    <w:rsid w:val="00117500"/>
    <w:rsid w:val="001F3540"/>
    <w:rsid w:val="0025109A"/>
    <w:rsid w:val="00335C72"/>
    <w:rsid w:val="00376326"/>
    <w:rsid w:val="003F367E"/>
    <w:rsid w:val="004D7F55"/>
    <w:rsid w:val="00551875"/>
    <w:rsid w:val="00571D40"/>
    <w:rsid w:val="00594CF3"/>
    <w:rsid w:val="00595E27"/>
    <w:rsid w:val="00614403"/>
    <w:rsid w:val="006166BF"/>
    <w:rsid w:val="00625689"/>
    <w:rsid w:val="0063131E"/>
    <w:rsid w:val="006576CB"/>
    <w:rsid w:val="00700246"/>
    <w:rsid w:val="00702039"/>
    <w:rsid w:val="00767264"/>
    <w:rsid w:val="007900A1"/>
    <w:rsid w:val="007F3F81"/>
    <w:rsid w:val="008673B8"/>
    <w:rsid w:val="008B0CE2"/>
    <w:rsid w:val="00900D3C"/>
    <w:rsid w:val="0093273D"/>
    <w:rsid w:val="00954A77"/>
    <w:rsid w:val="00A14096"/>
    <w:rsid w:val="00A43734"/>
    <w:rsid w:val="00A674F0"/>
    <w:rsid w:val="00A726E3"/>
    <w:rsid w:val="00AA5552"/>
    <w:rsid w:val="00AD41FE"/>
    <w:rsid w:val="00AF586E"/>
    <w:rsid w:val="00B168AF"/>
    <w:rsid w:val="00B44D3E"/>
    <w:rsid w:val="00B67A4E"/>
    <w:rsid w:val="00B845FF"/>
    <w:rsid w:val="00B85F17"/>
    <w:rsid w:val="00C367EC"/>
    <w:rsid w:val="00C9311D"/>
    <w:rsid w:val="00D93D28"/>
    <w:rsid w:val="00FD49BF"/>
    <w:rsid w:val="00FE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29E2-5AC2-4C32-9B5D-3EBEB567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13</cp:revision>
  <dcterms:created xsi:type="dcterms:W3CDTF">2019-12-11T21:06:00Z</dcterms:created>
  <dcterms:modified xsi:type="dcterms:W3CDTF">2020-02-24T18:00:00Z</dcterms:modified>
</cp:coreProperties>
</file>