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15F75D44" w:rsidR="0093273D" w:rsidRPr="008673B8" w:rsidRDefault="00C86C6E" w:rsidP="00CF0D06">
            <w:pPr>
              <w:rPr>
                <w:rFonts w:asciiTheme="majorHAnsi" w:hAnsiTheme="majorHAnsi" w:cstheme="majorHAnsi"/>
                <w:sz w:val="22"/>
                <w:szCs w:val="22"/>
              </w:rPr>
            </w:pPr>
            <w:r>
              <w:rPr>
                <w:rFonts w:asciiTheme="majorHAnsi" w:hAnsiTheme="majorHAnsi" w:cstheme="majorHAnsi"/>
                <w:sz w:val="22"/>
                <w:szCs w:val="22"/>
              </w:rPr>
              <w:t>NT386</w:t>
            </w:r>
            <w:bookmarkStart w:id="0" w:name="_GoBack"/>
            <w:bookmarkEnd w:id="0"/>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50456D02" w:rsidR="0093273D" w:rsidRPr="008673B8" w:rsidRDefault="00AC10C7" w:rsidP="00AC10C7">
            <w:pPr>
              <w:rPr>
                <w:rFonts w:asciiTheme="majorHAnsi" w:hAnsiTheme="majorHAnsi" w:cstheme="majorHAnsi"/>
                <w:sz w:val="22"/>
                <w:szCs w:val="22"/>
              </w:rPr>
            </w:pPr>
            <w:r>
              <w:rPr>
                <w:rFonts w:asciiTheme="majorHAnsi" w:hAnsiTheme="majorHAnsi" w:cstheme="majorHAnsi"/>
                <w:sz w:val="22"/>
                <w:szCs w:val="22"/>
              </w:rPr>
              <w:t xml:space="preserve">April 8, </w:t>
            </w:r>
            <w:r w:rsidR="00733FC3">
              <w:rPr>
                <w:rFonts w:asciiTheme="majorHAnsi" w:hAnsiTheme="majorHAnsi" w:cstheme="majorHAnsi"/>
                <w:sz w:val="22"/>
                <w:szCs w:val="22"/>
              </w:rPr>
              <w:t>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3F916E2E" w:rsidR="0093273D" w:rsidRPr="008673B8" w:rsidRDefault="00A21D73" w:rsidP="00CF0D06">
            <w:pPr>
              <w:rPr>
                <w:rFonts w:asciiTheme="majorHAnsi" w:hAnsiTheme="majorHAnsi" w:cstheme="majorHAnsi"/>
                <w:sz w:val="22"/>
                <w:szCs w:val="22"/>
              </w:rPr>
            </w:pPr>
            <w:r w:rsidRPr="00A21D73">
              <w:rPr>
                <w:rFonts w:asciiTheme="majorHAnsi" w:hAnsiTheme="majorHAnsi" w:cstheme="majorHAnsi"/>
                <w:sz w:val="22"/>
                <w:szCs w:val="22"/>
              </w:rPr>
              <w:t>Genetic determinant of primary non-response to Anti-TNF therapy in patients with Inflammatory Bowel Disease</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6403F28" w:rsidR="0093273D" w:rsidRPr="008673B8" w:rsidRDefault="006C3388" w:rsidP="00CF0D06">
            <w:pPr>
              <w:rPr>
                <w:rFonts w:asciiTheme="majorHAnsi" w:hAnsiTheme="majorHAnsi" w:cstheme="majorHAnsi"/>
                <w:sz w:val="22"/>
                <w:szCs w:val="22"/>
              </w:rPr>
            </w:pPr>
            <w:r>
              <w:rPr>
                <w:rFonts w:asciiTheme="majorHAnsi" w:hAnsiTheme="majorHAnsi" w:cstheme="majorHAnsi"/>
                <w:sz w:val="22"/>
                <w:szCs w:val="22"/>
              </w:rPr>
              <w:t>Tanima De</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51598BF2" w:rsidR="0093273D" w:rsidRPr="008673B8" w:rsidRDefault="006C3388" w:rsidP="00CF0D06">
            <w:pPr>
              <w:rPr>
                <w:rFonts w:asciiTheme="majorHAnsi" w:hAnsiTheme="majorHAnsi" w:cstheme="majorHAnsi"/>
                <w:sz w:val="22"/>
                <w:szCs w:val="22"/>
              </w:rPr>
            </w:pPr>
            <w:r>
              <w:rPr>
                <w:rFonts w:asciiTheme="majorHAnsi" w:hAnsiTheme="majorHAnsi" w:cstheme="majorHAnsi"/>
                <w:sz w:val="22"/>
                <w:szCs w:val="22"/>
              </w:rPr>
              <w:t>Minoli A</w:t>
            </w:r>
            <w:r w:rsidR="007E05CE">
              <w:rPr>
                <w:rFonts w:asciiTheme="majorHAnsi" w:hAnsiTheme="majorHAnsi" w:cstheme="majorHAnsi"/>
                <w:sz w:val="22"/>
                <w:szCs w:val="22"/>
              </w:rPr>
              <w:t>.</w:t>
            </w:r>
            <w:r>
              <w:rPr>
                <w:rFonts w:asciiTheme="majorHAnsi" w:hAnsiTheme="majorHAnsi" w:cstheme="majorHAnsi"/>
                <w:sz w:val="22"/>
                <w:szCs w:val="22"/>
              </w:rPr>
              <w:t xml:space="preserve"> Perera</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36893" w14:textId="66EB6B59" w:rsidR="0093273D" w:rsidRPr="008673B8" w:rsidRDefault="00A21D73" w:rsidP="006C3388">
            <w:pPr>
              <w:spacing w:line="256" w:lineRule="auto"/>
              <w:rPr>
                <w:rFonts w:asciiTheme="majorHAnsi" w:hAnsiTheme="majorHAnsi" w:cstheme="majorHAnsi"/>
                <w:sz w:val="22"/>
                <w:szCs w:val="22"/>
              </w:rPr>
            </w:pPr>
            <w:r w:rsidRPr="00A7091E">
              <w:t xml:space="preserve">T. De, H. Zhang, C. Alarcon, B. Lec, J. Avitia, E. Smithberger, Chuyu Chen, M. Horvath, </w:t>
            </w:r>
            <w:r w:rsidRPr="00A21D73">
              <w:t>S. Kwan</w:t>
            </w:r>
            <w:r>
              <w:rPr>
                <w:vertAlign w:val="superscript"/>
              </w:rPr>
              <w:t>,</w:t>
            </w:r>
            <w:r w:rsidRPr="00A21D73">
              <w:t xml:space="preserve"> M. Young, S. Adhikari, J. Kwon, J. Pacheco, </w:t>
            </w:r>
            <w:r w:rsidRPr="00A21D73">
              <w:rPr>
                <w:color w:val="FF0000"/>
              </w:rPr>
              <w:t>eMERGE collaborators</w:t>
            </w:r>
            <w:r w:rsidRPr="00A21D73">
              <w:t>, Loukia Parisiadou, Minoli A. Perera</w:t>
            </w: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7777777" w:rsidR="0093273D" w:rsidRPr="008673B8" w:rsidRDefault="0093273D" w:rsidP="00CF0D06">
            <w:pPr>
              <w:rPr>
                <w:rFonts w:asciiTheme="majorHAnsi" w:hAnsiTheme="majorHAnsi" w:cstheme="majorHAnsi"/>
                <w:sz w:val="22"/>
                <w:szCs w:val="22"/>
              </w:rPr>
            </w:pPr>
          </w:p>
          <w:p w14:paraId="07C5FDB2" w14:textId="0D897FEA" w:rsidR="0093273D" w:rsidRPr="008673B8" w:rsidRDefault="006C3388" w:rsidP="00CF0D06">
            <w:pPr>
              <w:rPr>
                <w:rFonts w:asciiTheme="majorHAnsi" w:hAnsiTheme="majorHAnsi" w:cstheme="majorHAnsi"/>
                <w:sz w:val="22"/>
                <w:szCs w:val="22"/>
              </w:rPr>
            </w:pPr>
            <w:r>
              <w:rPr>
                <w:rFonts w:asciiTheme="majorHAnsi" w:hAnsiTheme="majorHAnsi" w:cstheme="majorHAnsi"/>
                <w:sz w:val="22"/>
                <w:szCs w:val="22"/>
              </w:rPr>
              <w:t>Northwestern University and other</w:t>
            </w:r>
            <w:r w:rsidR="00DA4072">
              <w:rPr>
                <w:rFonts w:asciiTheme="majorHAnsi" w:hAnsiTheme="majorHAnsi" w:cstheme="majorHAnsi"/>
                <w:sz w:val="22"/>
                <w:szCs w:val="22"/>
              </w:rPr>
              <w:t xml:space="preserve"> eMERGE</w:t>
            </w:r>
            <w:r>
              <w:rPr>
                <w:rFonts w:asciiTheme="majorHAnsi" w:hAnsiTheme="majorHAnsi" w:cstheme="majorHAnsi"/>
                <w:sz w:val="22"/>
                <w:szCs w:val="22"/>
              </w:rPr>
              <w:t xml:space="preserve"> sites </w:t>
            </w: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C7416DF" w14:textId="77777777" w:rsidR="00B87F1D" w:rsidRDefault="007E05CE" w:rsidP="007E05CE">
            <w:r w:rsidRPr="00AE4301">
              <w:t>Inflammatory bowel disease (IBD) is a chronic relapsing and remitting disease of the gastrointestinal tract producing debilitating symptoms of diarrhea, abdominal pain and malnutrition. This disorder has two main clinical presentations, Crohn’s Disease (CD) and ulcerative colitis (UC). As with many autoimmune disorders, it is thought that the immune system, genetics, and the environment may all play roles in the predisposition to and severity of IBD. Advances in treatment have led to the development of biologically selective agents targeting tumor necrosis factor alpha (TNF</w:t>
            </w:r>
            <w:r w:rsidRPr="00AE4301">
              <w:sym w:font="Symbol" w:char="F061"/>
            </w:r>
            <w:r w:rsidRPr="00AE4301">
              <w:t xml:space="preserve">), a cytokine that plays a central role in the pathogenesis of these disorders. Monoclonal antibody drugs have dramatically improved the ability to treat patients with CD and UC and altered the long-term course and complications of these chronic </w:t>
            </w:r>
            <w:r>
              <w:t>IBDs</w:t>
            </w:r>
            <w:r w:rsidRPr="00AE4301">
              <w:t>. While most patients achieve a clinical response with these agents, approximately 20% of individuals do not respond after initiation of therapy. These individuals are characterized as primary non-responders. Anti-TNF</w:t>
            </w:r>
            <w:r w:rsidRPr="00AE4301">
              <w:sym w:font="Symbol" w:char="F061"/>
            </w:r>
            <w:r w:rsidRPr="00AE4301">
              <w:t xml:space="preserve"> agents are expensive and are associated with significant risks including serious infections, malignancies, and autoimmune complications. Therefore, the ability to predict which patients would most likely benefit from these biologic therapies is of paramount importance and relevance. </w:t>
            </w:r>
            <w:r>
              <w:t>We therefore conducted the first GWAS on primary non-response to anti-TNF</w:t>
            </w:r>
            <w:r>
              <w:sym w:font="Symbol" w:char="F061"/>
            </w:r>
            <w:r>
              <w:t xml:space="preserve"> agents in IBD and identified a clinically significant variant that can predict patients that are unlikely to respond anti-TNF</w:t>
            </w:r>
            <w:r>
              <w:sym w:font="Symbol" w:char="F061"/>
            </w:r>
            <w:r>
              <w:t xml:space="preserve"> agents. </w:t>
            </w:r>
          </w:p>
          <w:p w14:paraId="1A868AD2" w14:textId="3FED453C" w:rsidR="007E05CE" w:rsidRPr="00AE4301" w:rsidRDefault="007E05CE" w:rsidP="007E05CE">
            <w:r>
              <w:t xml:space="preserve">We now plan on testing these variants across a wide range of phenotypes by PheWAS using the eMERGE cohort, </w:t>
            </w:r>
            <w:r w:rsidRPr="00A7091E">
              <w:t>to determine cross-phenotype associations and clinical relevance</w:t>
            </w:r>
            <w:r w:rsidR="00B87F1D">
              <w:t>, using the ICD diagnosis data that has already been collected across the eMERGE network</w:t>
            </w:r>
            <w:r w:rsidRPr="00A7091E">
              <w:t>.</w:t>
            </w:r>
          </w:p>
          <w:p w14:paraId="3CD7DE62" w14:textId="77777777" w:rsidR="0093273D" w:rsidRPr="008673B8" w:rsidRDefault="0093273D" w:rsidP="00CF0D06">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B519F3" w14:textId="0712D889" w:rsidR="00F65092" w:rsidRPr="007C1A9B" w:rsidRDefault="00F65092" w:rsidP="00453B16">
            <w:pPr>
              <w:rPr>
                <w:iCs/>
              </w:rPr>
            </w:pPr>
            <w:r>
              <w:rPr>
                <w:iCs/>
              </w:rPr>
              <w:t xml:space="preserve">The only </w:t>
            </w:r>
            <w:r w:rsidR="00A75036">
              <w:rPr>
                <w:iCs/>
              </w:rPr>
              <w:t xml:space="preserve">request </w:t>
            </w:r>
            <w:r w:rsidR="00585327">
              <w:rPr>
                <w:iCs/>
              </w:rPr>
              <w:t>f</w:t>
            </w:r>
            <w:r w:rsidR="00765481">
              <w:rPr>
                <w:iCs/>
              </w:rPr>
              <w:t>or this project from</w:t>
            </w:r>
            <w:r>
              <w:rPr>
                <w:iCs/>
              </w:rPr>
              <w:t xml:space="preserve"> eMERGE is the use of the existing genotype and common variable phenotype data to perform a PheWAS (step iii in outline below), i.e., no new data is being requested.</w:t>
            </w:r>
          </w:p>
          <w:p w14:paraId="4BCF0C02" w14:textId="77B16BEE" w:rsidR="00733FC3" w:rsidRDefault="00C070A7" w:rsidP="00733FC3">
            <w:pPr>
              <w:pStyle w:val="ListParagraph"/>
              <w:numPr>
                <w:ilvl w:val="0"/>
                <w:numId w:val="7"/>
              </w:numPr>
              <w:rPr>
                <w:iCs/>
              </w:rPr>
            </w:pPr>
            <w:r>
              <w:lastRenderedPageBreak/>
              <w:t>Genome-wide g</w:t>
            </w:r>
            <w:r w:rsidRPr="00C070A7">
              <w:t>enotyp</w:t>
            </w:r>
            <w:r>
              <w:t>ing</w:t>
            </w:r>
            <w:r w:rsidRPr="00C070A7">
              <w:t xml:space="preserve"> data was obtained on </w:t>
            </w:r>
            <w:r w:rsidRPr="00733FC3">
              <w:rPr>
                <w:iCs/>
              </w:rPr>
              <w:t xml:space="preserve">589 IBD patients </w:t>
            </w:r>
            <w:r w:rsidR="00733FC3" w:rsidRPr="00733FC3">
              <w:rPr>
                <w:iCs/>
              </w:rPr>
              <w:t xml:space="preserve">and </w:t>
            </w:r>
            <w:r w:rsidR="00733FC3" w:rsidRPr="00C070A7">
              <w:t>genome-wide association</w:t>
            </w:r>
            <w:r w:rsidR="00733FC3" w:rsidRPr="00733FC3">
              <w:rPr>
                <w:iCs/>
              </w:rPr>
              <w:t xml:space="preserve"> study was performed by logistic regression. </w:t>
            </w:r>
          </w:p>
          <w:p w14:paraId="749603EB" w14:textId="77777777" w:rsidR="00733FC3" w:rsidRDefault="00733FC3" w:rsidP="00733FC3">
            <w:pPr>
              <w:pStyle w:val="ListParagraph"/>
              <w:numPr>
                <w:ilvl w:val="0"/>
                <w:numId w:val="7"/>
              </w:numPr>
              <w:rPr>
                <w:iCs/>
              </w:rPr>
            </w:pPr>
            <w:r w:rsidRPr="00733FC3">
              <w:rPr>
                <w:iCs/>
              </w:rPr>
              <w:t>The</w:t>
            </w:r>
            <w:r w:rsidR="00C070A7" w:rsidRPr="00733FC3">
              <w:rPr>
                <w:iCs/>
              </w:rPr>
              <w:t xml:space="preserve"> associations were replicated in an independent cohort of 293 patients</w:t>
            </w:r>
            <w:r>
              <w:rPr>
                <w:iCs/>
              </w:rPr>
              <w:t>.</w:t>
            </w:r>
            <w:r w:rsidR="00C070A7" w:rsidRPr="00733FC3">
              <w:rPr>
                <w:iCs/>
              </w:rPr>
              <w:t xml:space="preserve"> </w:t>
            </w:r>
          </w:p>
          <w:p w14:paraId="7130D48C" w14:textId="3A214F8C" w:rsidR="00C070A7" w:rsidRPr="00733FC3" w:rsidRDefault="00C070A7" w:rsidP="00733FC3">
            <w:pPr>
              <w:pStyle w:val="ListParagraph"/>
              <w:numPr>
                <w:ilvl w:val="0"/>
                <w:numId w:val="7"/>
              </w:numPr>
              <w:rPr>
                <w:iCs/>
              </w:rPr>
            </w:pPr>
            <w:r w:rsidRPr="00733FC3">
              <w:rPr>
                <w:iCs/>
              </w:rPr>
              <w:t>The significant variant</w:t>
            </w:r>
            <w:r w:rsidR="00733FC3">
              <w:rPr>
                <w:iCs/>
              </w:rPr>
              <w:t>s</w:t>
            </w:r>
            <w:r w:rsidRPr="00733FC3">
              <w:rPr>
                <w:iCs/>
              </w:rPr>
              <w:t xml:space="preserve"> will be tested across wide range of phenotypes by Phenome-wide Association Study (PheWAS), using the eMERGE PheWAS cohort. Logistic regression will be used for PheWAS association analyses. </w:t>
            </w:r>
          </w:p>
          <w:p w14:paraId="40461DB7" w14:textId="7956F086" w:rsidR="000A12A3" w:rsidRPr="00C070A7" w:rsidRDefault="000A12A3" w:rsidP="00C070A7">
            <w:pPr>
              <w:pStyle w:val="ListParagraph"/>
              <w:numPr>
                <w:ilvl w:val="0"/>
                <w:numId w:val="6"/>
              </w:num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7C645DFA" w:rsidR="00C367EC" w:rsidRPr="00F17F66" w:rsidRDefault="00F17F66" w:rsidP="00F17F6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C367EC" w:rsidRPr="00F17F66">
              <w:rPr>
                <w:rFonts w:asciiTheme="majorHAnsi" w:hAnsiTheme="majorHAnsi" w:cstheme="majorHAnsi"/>
                <w:sz w:val="22"/>
                <w:szCs w:val="22"/>
              </w:rPr>
              <w:t xml:space="preserve">Demographics                               </w:t>
            </w:r>
          </w:p>
          <w:p w14:paraId="1611A790" w14:textId="3F3F31EA" w:rsidR="00C367EC" w:rsidRPr="00F17F66" w:rsidRDefault="00F17F66" w:rsidP="00F17F6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C367EC" w:rsidRPr="00F17F66">
              <w:rPr>
                <w:rFonts w:asciiTheme="majorHAnsi" w:hAnsiTheme="majorHAnsi" w:cstheme="majorHAnsi"/>
                <w:sz w:val="22"/>
                <w:szCs w:val="22"/>
              </w:rPr>
              <w:t>ICD</w:t>
            </w:r>
            <w:r w:rsidR="001F3540" w:rsidRPr="00F17F66">
              <w:rPr>
                <w:rFonts w:asciiTheme="majorHAnsi" w:hAnsiTheme="majorHAnsi" w:cstheme="majorHAnsi"/>
                <w:sz w:val="22"/>
                <w:szCs w:val="22"/>
              </w:rPr>
              <w:t>9/10</w:t>
            </w:r>
            <w:r w:rsidR="00C367EC" w:rsidRPr="00F17F66">
              <w:rPr>
                <w:rFonts w:asciiTheme="majorHAnsi" w:hAnsiTheme="majorHAnsi" w:cstheme="majorHAnsi"/>
                <w:sz w:val="22"/>
                <w:szCs w:val="22"/>
              </w:rPr>
              <w:t xml:space="preserve"> codes</w:t>
            </w:r>
          </w:p>
          <w:p w14:paraId="3E560944" w14:textId="77777777" w:rsidR="00C367EC" w:rsidRDefault="00C367EC"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CPT codes</w:t>
            </w:r>
          </w:p>
          <w:p w14:paraId="05AE5A43" w14:textId="5AB62316" w:rsidR="00C367EC" w:rsidRPr="00F17F66" w:rsidRDefault="00F17F66" w:rsidP="00F17F6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C367EC" w:rsidRPr="00F17F66">
              <w:rPr>
                <w:rFonts w:asciiTheme="majorHAnsi" w:hAnsiTheme="majorHAnsi" w:cstheme="majorHAnsi"/>
                <w:sz w:val="22"/>
                <w:szCs w:val="22"/>
              </w:rPr>
              <w:t>Phecodes</w:t>
            </w:r>
          </w:p>
          <w:p w14:paraId="3A9ACBE3" w14:textId="7E553DAA" w:rsidR="00B845FF" w:rsidRPr="00B845FF" w:rsidRDefault="00C367EC" w:rsidP="0025109A">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BMI</w:t>
            </w:r>
          </w:p>
        </w:tc>
        <w:tc>
          <w:tcPr>
            <w:tcW w:w="4132" w:type="dxa"/>
          </w:tcPr>
          <w:p w14:paraId="2574C661" w14:textId="0C453F1E" w:rsidR="00C367EC" w:rsidRPr="00376326" w:rsidRDefault="008B0CE2"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Common Variable</w:t>
            </w:r>
            <w:r w:rsidR="00702039">
              <w:rPr>
                <w:rFonts w:asciiTheme="majorHAnsi" w:hAnsiTheme="majorHAnsi" w:cstheme="majorHAnsi"/>
                <w:sz w:val="22"/>
                <w:szCs w:val="22"/>
              </w:rPr>
              <w:t xml:space="preserve"> </w:t>
            </w:r>
            <w:r w:rsidR="00C367EC">
              <w:rPr>
                <w:rFonts w:asciiTheme="majorHAnsi" w:hAnsiTheme="majorHAnsi" w:cstheme="majorHAnsi"/>
                <w:sz w:val="22"/>
                <w:szCs w:val="22"/>
              </w:rPr>
              <w:t>Labs</w:t>
            </w:r>
          </w:p>
          <w:p w14:paraId="0BEB2E50" w14:textId="0DDF4760" w:rsidR="00C367EC" w:rsidRDefault="00702039"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Common Variable Meds</w:t>
            </w:r>
          </w:p>
          <w:p w14:paraId="585C79F2" w14:textId="4C5735BC" w:rsidR="00C367EC" w:rsidRDefault="00B845FF" w:rsidP="00376326">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Other: </w:t>
            </w:r>
            <w:r w:rsidR="00C367E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7C65BA3A" w:rsidR="0025109A" w:rsidRPr="006B3450" w:rsidRDefault="0025109A" w:rsidP="000B7654">
            <w:pPr>
              <w:rPr>
                <w:rFonts w:asciiTheme="majorHAnsi" w:hAnsiTheme="majorHAnsi" w:cstheme="majorHAnsi"/>
                <w:sz w:val="22"/>
                <w:szCs w:val="22"/>
              </w:rPr>
            </w:pP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8E15885" w:rsidR="0093273D" w:rsidRPr="001F1106" w:rsidRDefault="001F1106" w:rsidP="001F110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376326" w:rsidRPr="001F1106">
              <w:rPr>
                <w:rFonts w:asciiTheme="majorHAnsi" w:hAnsiTheme="majorHAnsi" w:cstheme="majorHAnsi"/>
                <w:sz w:val="22"/>
                <w:szCs w:val="22"/>
              </w:rPr>
              <w:t>eMERGE I-III Merged set (HRC imputed, GWAS)</w:t>
            </w:r>
          </w:p>
          <w:p w14:paraId="0175EB89" w14:textId="426E8E57" w:rsidR="00376326" w:rsidRPr="001F1106" w:rsidRDefault="001F1106" w:rsidP="001F110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A14096" w:rsidRPr="001F1106">
              <w:rPr>
                <w:rFonts w:asciiTheme="majorHAnsi" w:hAnsiTheme="majorHAnsi" w:cstheme="majorHAnsi"/>
                <w:sz w:val="22"/>
                <w:szCs w:val="22"/>
              </w:rPr>
              <w:t xml:space="preserve">eMERGE PGx/PGRNseq data set </w:t>
            </w:r>
          </w:p>
          <w:p w14:paraId="23D993BB" w14:textId="063FD214" w:rsidR="00376326" w:rsidRPr="001F1106" w:rsidRDefault="001F1106" w:rsidP="001F110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376326" w:rsidRPr="001F1106">
              <w:rPr>
                <w:rFonts w:asciiTheme="majorHAnsi" w:hAnsiTheme="majorHAnsi" w:cstheme="majorHAnsi"/>
                <w:sz w:val="22"/>
                <w:szCs w:val="22"/>
              </w:rPr>
              <w:t>eMERGEseq data set (Phase III)</w:t>
            </w:r>
          </w:p>
          <w:p w14:paraId="6D051FCF" w14:textId="69139CA5" w:rsidR="00376326" w:rsidRPr="001F1106" w:rsidRDefault="001F1106" w:rsidP="001F110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376326" w:rsidRPr="001F1106">
              <w:rPr>
                <w:rFonts w:asciiTheme="majorHAnsi" w:hAnsiTheme="majorHAnsi" w:cstheme="majorHAnsi"/>
                <w:sz w:val="22"/>
                <w:szCs w:val="22"/>
              </w:rPr>
              <w:t>eMERGE Wh</w:t>
            </w:r>
            <w:r w:rsidR="0025109A" w:rsidRPr="001F1106">
              <w:rPr>
                <w:rFonts w:asciiTheme="majorHAnsi" w:hAnsiTheme="majorHAnsi" w:cstheme="majorHAnsi"/>
                <w:sz w:val="22"/>
                <w:szCs w:val="22"/>
              </w:rPr>
              <w:t>o</w:t>
            </w:r>
            <w:r w:rsidR="00376326" w:rsidRPr="001F1106">
              <w:rPr>
                <w:rFonts w:asciiTheme="majorHAnsi" w:hAnsiTheme="majorHAnsi" w:cstheme="majorHAnsi"/>
                <w:sz w:val="22"/>
                <w:szCs w:val="22"/>
              </w:rPr>
              <w:t>le Genome sequencing data set</w:t>
            </w:r>
          </w:p>
          <w:p w14:paraId="78A23A59"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Exome chip data set</w:t>
            </w:r>
          </w:p>
          <w:p w14:paraId="4C7B91CA" w14:textId="77777777" w:rsidR="00376326" w:rsidRDefault="00376326"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eMERGE Whole Exome sequencing data set</w:t>
            </w:r>
          </w:p>
          <w:p w14:paraId="02A57161" w14:textId="788DFA12" w:rsidR="00571D40" w:rsidRPr="00376326" w:rsidRDefault="00571D40" w:rsidP="00376326">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3AA8DED" w:rsidR="0063131E" w:rsidRDefault="0063131E" w:rsidP="0063131E">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 xml:space="preserve">Yes, if so please list                               </w:t>
            </w:r>
          </w:p>
          <w:p w14:paraId="2C71B567" w14:textId="562A7AD2" w:rsidR="0063131E" w:rsidRPr="00F17F66" w:rsidRDefault="00F17F66" w:rsidP="00F17F66">
            <w:pPr>
              <w:ind w:left="360"/>
              <w:rPr>
                <w:rFonts w:asciiTheme="majorHAnsi" w:hAnsiTheme="majorHAnsi" w:cstheme="majorHAnsi"/>
                <w:sz w:val="22"/>
                <w:szCs w:val="22"/>
              </w:rPr>
            </w:pPr>
            <w:r>
              <w:rPr>
                <w:rFonts w:ascii="Symbol" w:hAnsi="Symbol" w:cstheme="majorHAnsi"/>
                <w:sz w:val="22"/>
                <w:szCs w:val="22"/>
                <w:highlight w:val="lightGray"/>
              </w:rPr>
              <w:sym w:font="Wingdings" w:char="F0FE"/>
            </w:r>
            <w:r w:rsidR="0063131E" w:rsidRPr="00F17F6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3950299" w14:textId="08E8AE34" w:rsidR="0093273D" w:rsidRPr="008673B8" w:rsidRDefault="00114DDE" w:rsidP="006C3388">
            <w:pPr>
              <w:spacing w:line="256" w:lineRule="auto"/>
              <w:rPr>
                <w:rFonts w:asciiTheme="majorHAnsi" w:hAnsiTheme="majorHAnsi" w:cstheme="majorHAnsi"/>
                <w:sz w:val="22"/>
                <w:szCs w:val="22"/>
              </w:rPr>
            </w:pPr>
            <w:r>
              <w:rPr>
                <w:rFonts w:asciiTheme="majorHAnsi" w:hAnsiTheme="majorHAnsi" w:cstheme="majorHAnsi"/>
                <w:sz w:val="22"/>
                <w:szCs w:val="22"/>
              </w:rPr>
              <w:t>As described above for steps i &amp; ii completed, &amp; a PheWAS</w:t>
            </w:r>
            <w:r w:rsidR="00750198">
              <w:rPr>
                <w:rFonts w:asciiTheme="majorHAnsi" w:hAnsiTheme="majorHAnsi" w:cstheme="majorHAnsi"/>
                <w:sz w:val="22"/>
                <w:szCs w:val="22"/>
              </w:rPr>
              <w:t>, using logistic regression as stated in outline above</w:t>
            </w:r>
            <w:r>
              <w:rPr>
                <w:rFonts w:asciiTheme="majorHAnsi" w:hAnsiTheme="majorHAnsi" w:cstheme="majorHAnsi"/>
                <w:sz w:val="22"/>
                <w:szCs w:val="22"/>
              </w:rPr>
              <w:t>.</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E264CE2" w14:textId="2D2FC371" w:rsidR="0093273D" w:rsidRPr="008673B8" w:rsidRDefault="006C3388" w:rsidP="00CF0D06">
            <w:pPr>
              <w:rPr>
                <w:rFonts w:asciiTheme="majorHAnsi" w:hAnsiTheme="majorHAnsi" w:cstheme="majorHAnsi"/>
                <w:sz w:val="22"/>
                <w:szCs w:val="22"/>
              </w:rPr>
            </w:pPr>
            <w:r>
              <w:rPr>
                <w:rFonts w:asciiTheme="majorHAnsi" w:hAnsiTheme="majorHAnsi" w:cstheme="majorHAnsi"/>
                <w:sz w:val="22"/>
                <w:szCs w:val="22"/>
              </w:rPr>
              <w:t>This is a retrospective study with no direct interaction with subjects. There will be no loss of confidentiality as the data will be stored in a secured environment and password protected and encrypted computer maintained per NU policy that only the investigators will be able to access. There are no direct benefits to the patients for their participation in this study. However, our research findings may benefit other patients</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3A923C7" w:rsidR="000A12A3" w:rsidRPr="008673B8" w:rsidRDefault="00D31AB1" w:rsidP="00CF0D06">
            <w:pPr>
              <w:rPr>
                <w:rFonts w:asciiTheme="majorHAnsi" w:hAnsiTheme="majorHAnsi" w:cstheme="majorHAnsi"/>
                <w:sz w:val="22"/>
                <w:szCs w:val="22"/>
              </w:rPr>
            </w:pPr>
            <w:r>
              <w:rPr>
                <w:rFonts w:asciiTheme="majorHAnsi" w:hAnsiTheme="majorHAnsi" w:cstheme="majorHAnsi"/>
                <w:sz w:val="22"/>
                <w:szCs w:val="22"/>
              </w:rPr>
              <w:t>Gut</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769E30" w14:textId="07A38B0A" w:rsidR="000557D9" w:rsidRPr="00E2417D" w:rsidRDefault="000557D9" w:rsidP="000557D9">
            <w:pPr>
              <w:jc w:val="both"/>
              <w:rPr>
                <w:rFonts w:asciiTheme="majorHAnsi" w:hAnsiTheme="majorHAnsi" w:cstheme="majorHAnsi"/>
                <w:sz w:val="22"/>
                <w:szCs w:val="22"/>
              </w:rPr>
            </w:pPr>
            <w:r w:rsidRPr="00E2417D">
              <w:rPr>
                <w:rFonts w:asciiTheme="majorHAnsi" w:hAnsiTheme="majorHAnsi" w:cstheme="majorHAnsi"/>
                <w:sz w:val="22"/>
                <w:szCs w:val="22"/>
              </w:rPr>
              <w:t xml:space="preserve">Project Approval </w:t>
            </w:r>
            <w:r>
              <w:rPr>
                <w:rFonts w:asciiTheme="majorHAnsi" w:hAnsiTheme="majorHAnsi" w:cstheme="majorHAnsi"/>
                <w:sz w:val="22"/>
                <w:szCs w:val="22"/>
              </w:rPr>
              <w:t>–</w:t>
            </w:r>
            <w:r w:rsidRPr="00E2417D">
              <w:rPr>
                <w:rFonts w:asciiTheme="majorHAnsi" w:hAnsiTheme="majorHAnsi" w:cstheme="majorHAnsi"/>
                <w:sz w:val="22"/>
                <w:szCs w:val="22"/>
              </w:rPr>
              <w:t xml:space="preserve"> </w:t>
            </w:r>
            <w:r w:rsidR="00AA3B70">
              <w:rPr>
                <w:rFonts w:asciiTheme="majorHAnsi" w:hAnsiTheme="majorHAnsi" w:cstheme="majorHAnsi"/>
                <w:sz w:val="22"/>
                <w:szCs w:val="22"/>
              </w:rPr>
              <w:t>April</w:t>
            </w:r>
            <w:r w:rsidR="002B514F">
              <w:rPr>
                <w:rFonts w:asciiTheme="majorHAnsi" w:hAnsiTheme="majorHAnsi" w:cstheme="majorHAnsi"/>
                <w:sz w:val="22"/>
                <w:szCs w:val="22"/>
              </w:rPr>
              <w:t xml:space="preserve"> </w:t>
            </w:r>
            <w:r w:rsidR="00F327F8">
              <w:rPr>
                <w:rFonts w:asciiTheme="majorHAnsi" w:hAnsiTheme="majorHAnsi" w:cstheme="majorHAnsi"/>
                <w:sz w:val="22"/>
                <w:szCs w:val="22"/>
              </w:rPr>
              <w:t>9-</w:t>
            </w:r>
            <w:r w:rsidR="00E5184F">
              <w:rPr>
                <w:rFonts w:asciiTheme="majorHAnsi" w:hAnsiTheme="majorHAnsi" w:cstheme="majorHAnsi"/>
                <w:sz w:val="22"/>
                <w:szCs w:val="22"/>
              </w:rPr>
              <w:t xml:space="preserve">16, </w:t>
            </w:r>
            <w:r w:rsidR="002B514F">
              <w:rPr>
                <w:rFonts w:asciiTheme="majorHAnsi" w:hAnsiTheme="majorHAnsi" w:cstheme="majorHAnsi"/>
                <w:sz w:val="22"/>
                <w:szCs w:val="22"/>
              </w:rPr>
              <w:t>20</w:t>
            </w:r>
            <w:r w:rsidR="00F47B8B">
              <w:rPr>
                <w:rFonts w:asciiTheme="majorHAnsi" w:hAnsiTheme="majorHAnsi" w:cstheme="majorHAnsi"/>
                <w:sz w:val="22"/>
                <w:szCs w:val="22"/>
              </w:rPr>
              <w:t>20</w:t>
            </w:r>
          </w:p>
          <w:p w14:paraId="1F9F7ADF" w14:textId="1153EE18" w:rsidR="000557D9" w:rsidRPr="00E2417D" w:rsidRDefault="000557D9" w:rsidP="000557D9">
            <w:pPr>
              <w:jc w:val="both"/>
              <w:rPr>
                <w:rFonts w:asciiTheme="majorHAnsi" w:hAnsiTheme="majorHAnsi" w:cstheme="majorHAnsi"/>
                <w:sz w:val="22"/>
                <w:szCs w:val="22"/>
              </w:rPr>
            </w:pPr>
            <w:r w:rsidRPr="00E2417D">
              <w:rPr>
                <w:rFonts w:asciiTheme="majorHAnsi" w:hAnsiTheme="majorHAnsi" w:cstheme="majorHAnsi"/>
                <w:sz w:val="22"/>
                <w:szCs w:val="22"/>
              </w:rPr>
              <w:t xml:space="preserve">Project duration </w:t>
            </w:r>
            <w:r>
              <w:rPr>
                <w:rFonts w:asciiTheme="majorHAnsi" w:hAnsiTheme="majorHAnsi" w:cstheme="majorHAnsi"/>
                <w:sz w:val="22"/>
                <w:szCs w:val="22"/>
              </w:rPr>
              <w:t>–</w:t>
            </w:r>
            <w:r w:rsidRPr="00E2417D">
              <w:rPr>
                <w:rFonts w:asciiTheme="majorHAnsi" w:hAnsiTheme="majorHAnsi" w:cstheme="majorHAnsi"/>
                <w:sz w:val="22"/>
                <w:szCs w:val="22"/>
              </w:rPr>
              <w:t xml:space="preserve"> </w:t>
            </w:r>
            <w:r w:rsidR="00F47B8B">
              <w:rPr>
                <w:rFonts w:asciiTheme="majorHAnsi" w:hAnsiTheme="majorHAnsi" w:cstheme="majorHAnsi"/>
                <w:sz w:val="22"/>
                <w:szCs w:val="22"/>
              </w:rPr>
              <w:t xml:space="preserve">March </w:t>
            </w:r>
            <w:r w:rsidR="002B514F">
              <w:rPr>
                <w:rFonts w:asciiTheme="majorHAnsi" w:hAnsiTheme="majorHAnsi" w:cstheme="majorHAnsi"/>
                <w:sz w:val="22"/>
                <w:szCs w:val="22"/>
              </w:rPr>
              <w:t>2019</w:t>
            </w:r>
            <w:r>
              <w:rPr>
                <w:rFonts w:asciiTheme="majorHAnsi" w:hAnsiTheme="majorHAnsi" w:cstheme="majorHAnsi"/>
                <w:sz w:val="22"/>
                <w:szCs w:val="22"/>
              </w:rPr>
              <w:t xml:space="preserve"> to </w:t>
            </w:r>
            <w:r w:rsidR="00F47B8B">
              <w:rPr>
                <w:rFonts w:asciiTheme="majorHAnsi" w:hAnsiTheme="majorHAnsi" w:cstheme="majorHAnsi"/>
                <w:sz w:val="22"/>
                <w:szCs w:val="22"/>
              </w:rPr>
              <w:t>April</w:t>
            </w:r>
            <w:r w:rsidR="002B514F">
              <w:rPr>
                <w:rFonts w:asciiTheme="majorHAnsi" w:hAnsiTheme="majorHAnsi" w:cstheme="majorHAnsi"/>
                <w:sz w:val="22"/>
                <w:szCs w:val="22"/>
              </w:rPr>
              <w:t xml:space="preserve"> 20</w:t>
            </w:r>
            <w:r w:rsidR="00F47B8B">
              <w:rPr>
                <w:rFonts w:asciiTheme="majorHAnsi" w:hAnsiTheme="majorHAnsi" w:cstheme="majorHAnsi"/>
                <w:sz w:val="22"/>
                <w:szCs w:val="22"/>
              </w:rPr>
              <w:t>20</w:t>
            </w:r>
          </w:p>
          <w:p w14:paraId="6DAA7CF8" w14:textId="1754EDED" w:rsidR="0093273D" w:rsidRDefault="000557D9" w:rsidP="000557D9">
            <w:pPr>
              <w:rPr>
                <w:rFonts w:asciiTheme="majorHAnsi" w:hAnsiTheme="majorHAnsi" w:cstheme="majorHAnsi"/>
                <w:sz w:val="22"/>
                <w:szCs w:val="22"/>
              </w:rPr>
            </w:pPr>
            <w:r w:rsidRPr="00E2417D">
              <w:rPr>
                <w:rFonts w:asciiTheme="majorHAnsi" w:hAnsiTheme="majorHAnsi" w:cstheme="majorHAnsi"/>
                <w:sz w:val="22"/>
                <w:szCs w:val="22"/>
              </w:rPr>
              <w:t xml:space="preserve">Manuscript </w:t>
            </w:r>
            <w:r>
              <w:rPr>
                <w:rFonts w:asciiTheme="majorHAnsi" w:hAnsiTheme="majorHAnsi" w:cstheme="majorHAnsi"/>
                <w:sz w:val="22"/>
                <w:szCs w:val="22"/>
              </w:rPr>
              <w:t>first draft</w:t>
            </w:r>
            <w:r w:rsidR="003E35B0">
              <w:rPr>
                <w:rFonts w:asciiTheme="majorHAnsi" w:hAnsiTheme="majorHAnsi" w:cstheme="majorHAnsi"/>
                <w:sz w:val="22"/>
                <w:szCs w:val="22"/>
              </w:rPr>
              <w:t xml:space="preserve"> sent to all co-authors</w:t>
            </w:r>
            <w:r w:rsidRPr="00E2417D">
              <w:rPr>
                <w:rFonts w:asciiTheme="majorHAnsi" w:hAnsiTheme="majorHAnsi" w:cstheme="majorHAnsi"/>
                <w:sz w:val="22"/>
                <w:szCs w:val="22"/>
              </w:rPr>
              <w:t xml:space="preserve"> </w:t>
            </w:r>
            <w:r>
              <w:rPr>
                <w:rFonts w:asciiTheme="majorHAnsi" w:hAnsiTheme="majorHAnsi" w:cstheme="majorHAnsi"/>
                <w:sz w:val="22"/>
                <w:szCs w:val="22"/>
              </w:rPr>
              <w:t>–</w:t>
            </w:r>
            <w:r w:rsidRPr="00E2417D">
              <w:rPr>
                <w:rFonts w:asciiTheme="majorHAnsi" w:hAnsiTheme="majorHAnsi" w:cstheme="majorHAnsi"/>
                <w:sz w:val="22"/>
                <w:szCs w:val="22"/>
              </w:rPr>
              <w:t xml:space="preserve"> </w:t>
            </w:r>
            <w:r w:rsidR="00F47B8B">
              <w:rPr>
                <w:rFonts w:asciiTheme="majorHAnsi" w:hAnsiTheme="majorHAnsi" w:cstheme="majorHAnsi"/>
                <w:sz w:val="22"/>
                <w:szCs w:val="22"/>
              </w:rPr>
              <w:t xml:space="preserve">April </w:t>
            </w:r>
            <w:r w:rsidR="00F327F8">
              <w:rPr>
                <w:rFonts w:asciiTheme="majorHAnsi" w:hAnsiTheme="majorHAnsi" w:cstheme="majorHAnsi"/>
                <w:sz w:val="22"/>
                <w:szCs w:val="22"/>
              </w:rPr>
              <w:t>23-</w:t>
            </w:r>
            <w:r w:rsidR="00C35977">
              <w:rPr>
                <w:rFonts w:asciiTheme="majorHAnsi" w:hAnsiTheme="majorHAnsi" w:cstheme="majorHAnsi"/>
                <w:sz w:val="22"/>
                <w:szCs w:val="22"/>
              </w:rPr>
              <w:t>30</w:t>
            </w:r>
            <w:r>
              <w:rPr>
                <w:rFonts w:asciiTheme="majorHAnsi" w:hAnsiTheme="majorHAnsi" w:cstheme="majorHAnsi"/>
                <w:sz w:val="22"/>
                <w:szCs w:val="22"/>
              </w:rPr>
              <w:t>, 20</w:t>
            </w:r>
            <w:r w:rsidR="00F47B8B">
              <w:rPr>
                <w:rFonts w:asciiTheme="majorHAnsi" w:hAnsiTheme="majorHAnsi" w:cstheme="majorHAnsi"/>
                <w:sz w:val="22"/>
                <w:szCs w:val="22"/>
              </w:rPr>
              <w:t>20</w:t>
            </w:r>
          </w:p>
          <w:p w14:paraId="76E9BF2F" w14:textId="2AFE39E5" w:rsidR="00C35977" w:rsidRDefault="00C35977" w:rsidP="000557D9">
            <w:pPr>
              <w:rPr>
                <w:rFonts w:asciiTheme="majorHAnsi" w:hAnsiTheme="majorHAnsi" w:cstheme="majorHAnsi"/>
                <w:sz w:val="22"/>
                <w:szCs w:val="22"/>
              </w:rPr>
            </w:pPr>
            <w:r>
              <w:rPr>
                <w:rFonts w:asciiTheme="majorHAnsi" w:hAnsiTheme="majorHAnsi" w:cstheme="majorHAnsi"/>
                <w:sz w:val="22"/>
                <w:szCs w:val="22"/>
              </w:rPr>
              <w:t xml:space="preserve">Co-authors deadline to reply with edits: May </w:t>
            </w:r>
            <w:r w:rsidR="00F327F8">
              <w:rPr>
                <w:rFonts w:asciiTheme="majorHAnsi" w:hAnsiTheme="majorHAnsi" w:cstheme="majorHAnsi"/>
                <w:sz w:val="22"/>
                <w:szCs w:val="22"/>
              </w:rPr>
              <w:t>7-</w:t>
            </w:r>
            <w:r>
              <w:rPr>
                <w:rFonts w:asciiTheme="majorHAnsi" w:hAnsiTheme="majorHAnsi" w:cstheme="majorHAnsi"/>
                <w:sz w:val="22"/>
                <w:szCs w:val="22"/>
              </w:rPr>
              <w:t>14, 2020</w:t>
            </w:r>
          </w:p>
          <w:p w14:paraId="7A15F24F" w14:textId="7D483A2C" w:rsidR="000557D9" w:rsidRDefault="000557D9" w:rsidP="000557D9">
            <w:pPr>
              <w:rPr>
                <w:rFonts w:asciiTheme="majorHAnsi" w:hAnsiTheme="majorHAnsi" w:cstheme="majorHAnsi"/>
                <w:sz w:val="22"/>
                <w:szCs w:val="22"/>
              </w:rPr>
            </w:pPr>
            <w:r w:rsidRPr="000557D9">
              <w:rPr>
                <w:rFonts w:asciiTheme="majorHAnsi" w:hAnsiTheme="majorHAnsi" w:cstheme="majorHAnsi"/>
                <w:sz w:val="22"/>
                <w:szCs w:val="22"/>
              </w:rPr>
              <w:t>Final draft of manuscript</w:t>
            </w:r>
            <w:r w:rsidR="004D748E">
              <w:rPr>
                <w:rFonts w:asciiTheme="majorHAnsi" w:hAnsiTheme="majorHAnsi" w:cstheme="majorHAnsi"/>
                <w:sz w:val="22"/>
                <w:szCs w:val="22"/>
              </w:rPr>
              <w:t xml:space="preserve"> sent to all co-authors</w:t>
            </w:r>
            <w:r>
              <w:rPr>
                <w:rFonts w:asciiTheme="majorHAnsi" w:hAnsiTheme="majorHAnsi" w:cstheme="majorHAnsi"/>
                <w:sz w:val="22"/>
                <w:szCs w:val="22"/>
              </w:rPr>
              <w:t xml:space="preserve">– </w:t>
            </w:r>
            <w:r w:rsidR="00C35977">
              <w:rPr>
                <w:rFonts w:asciiTheme="majorHAnsi" w:hAnsiTheme="majorHAnsi" w:cstheme="majorHAnsi"/>
                <w:sz w:val="22"/>
                <w:szCs w:val="22"/>
              </w:rPr>
              <w:t xml:space="preserve">May </w:t>
            </w:r>
            <w:r w:rsidR="00F327F8">
              <w:rPr>
                <w:rFonts w:asciiTheme="majorHAnsi" w:hAnsiTheme="majorHAnsi" w:cstheme="majorHAnsi"/>
                <w:sz w:val="22"/>
                <w:szCs w:val="22"/>
              </w:rPr>
              <w:t>14-</w:t>
            </w:r>
            <w:r w:rsidR="00C35977">
              <w:rPr>
                <w:rFonts w:asciiTheme="majorHAnsi" w:hAnsiTheme="majorHAnsi" w:cstheme="majorHAnsi"/>
                <w:sz w:val="22"/>
                <w:szCs w:val="22"/>
              </w:rPr>
              <w:t>21</w:t>
            </w:r>
            <w:r>
              <w:rPr>
                <w:rFonts w:asciiTheme="majorHAnsi" w:hAnsiTheme="majorHAnsi" w:cstheme="majorHAnsi"/>
                <w:sz w:val="22"/>
                <w:szCs w:val="22"/>
              </w:rPr>
              <w:t>, 20</w:t>
            </w:r>
            <w:r w:rsidR="00F47B8B">
              <w:rPr>
                <w:rFonts w:asciiTheme="majorHAnsi" w:hAnsiTheme="majorHAnsi" w:cstheme="majorHAnsi"/>
                <w:sz w:val="22"/>
                <w:szCs w:val="22"/>
              </w:rPr>
              <w:t>20</w:t>
            </w:r>
          </w:p>
          <w:p w14:paraId="5FA39903" w14:textId="62163B76" w:rsidR="000557D9" w:rsidRPr="008673B8" w:rsidRDefault="000557D9" w:rsidP="000557D9">
            <w:pPr>
              <w:rPr>
                <w:rFonts w:asciiTheme="majorHAnsi" w:hAnsiTheme="majorHAnsi" w:cstheme="majorHAnsi"/>
                <w:sz w:val="22"/>
                <w:szCs w:val="22"/>
              </w:rPr>
            </w:pPr>
            <w:r>
              <w:rPr>
                <w:rFonts w:asciiTheme="majorHAnsi" w:hAnsiTheme="majorHAnsi" w:cstheme="majorHAnsi"/>
                <w:sz w:val="22"/>
                <w:szCs w:val="22"/>
              </w:rPr>
              <w:t xml:space="preserve">Manuscript submission to journal- </w:t>
            </w:r>
            <w:r w:rsidR="00C35977">
              <w:rPr>
                <w:rFonts w:asciiTheme="majorHAnsi" w:hAnsiTheme="majorHAnsi" w:cstheme="majorHAnsi"/>
                <w:sz w:val="22"/>
                <w:szCs w:val="22"/>
              </w:rPr>
              <w:t>May 2</w:t>
            </w:r>
            <w:r w:rsidR="00F327F8">
              <w:rPr>
                <w:rFonts w:asciiTheme="majorHAnsi" w:hAnsiTheme="majorHAnsi" w:cstheme="majorHAnsi"/>
                <w:sz w:val="22"/>
                <w:szCs w:val="22"/>
              </w:rPr>
              <w:t>1-2</w:t>
            </w:r>
            <w:r w:rsidR="0093457F">
              <w:rPr>
                <w:rFonts w:asciiTheme="majorHAnsi" w:hAnsiTheme="majorHAnsi" w:cstheme="majorHAnsi"/>
                <w:sz w:val="22"/>
                <w:szCs w:val="22"/>
              </w:rPr>
              <w:t>8</w:t>
            </w:r>
            <w:r>
              <w:rPr>
                <w:rFonts w:asciiTheme="majorHAnsi" w:hAnsiTheme="majorHAnsi" w:cstheme="majorHAnsi"/>
                <w:sz w:val="22"/>
                <w:szCs w:val="22"/>
              </w:rPr>
              <w:t>, 20</w:t>
            </w:r>
            <w:r w:rsidR="00F47B8B">
              <w:rPr>
                <w:rFonts w:asciiTheme="majorHAnsi" w:hAnsiTheme="majorHAnsi" w:cstheme="majorHAnsi"/>
                <w:sz w:val="22"/>
                <w:szCs w:val="22"/>
              </w:rPr>
              <w:t>20</w:t>
            </w:r>
          </w:p>
          <w:p w14:paraId="4089201E" w14:textId="698DDE30" w:rsidR="0093273D" w:rsidRPr="008673B8" w:rsidRDefault="0093273D" w:rsidP="00CF0D06">
            <w:pPr>
              <w:rPr>
                <w:rFonts w:asciiTheme="majorHAnsi" w:hAnsiTheme="majorHAnsi" w:cstheme="majorHAnsi"/>
                <w:sz w:val="22"/>
                <w:szCs w:val="22"/>
              </w:rPr>
            </w:pPr>
          </w:p>
        </w:tc>
      </w:tr>
    </w:tbl>
    <w:p w14:paraId="4BF2BAC8" w14:textId="77777777" w:rsidR="002142B6" w:rsidRDefault="00C86C6E"/>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(repeated values &amp; age at event): ICD, CPT, Phecodes</w:t>
      </w:r>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lastRenderedPageBreak/>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66097C55"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p>
    <w:p w14:paraId="68117FC0" w14:textId="2088F653"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p>
    <w:p w14:paraId="0999B423" w14:textId="18B4F297" w:rsidR="00571D40" w:rsidRPr="00733FC3" w:rsidRDefault="00B845FF" w:rsidP="0089262D">
      <w:pPr>
        <w:pStyle w:val="ListParagraph"/>
        <w:numPr>
          <w:ilvl w:val="0"/>
          <w:numId w:val="4"/>
        </w:numPr>
        <w:rPr>
          <w:rFonts w:asciiTheme="majorHAnsi" w:hAnsiTheme="majorHAnsi"/>
          <w:i/>
          <w:sz w:val="22"/>
        </w:rPr>
      </w:pPr>
      <w:r w:rsidRPr="00733FC3">
        <w:rPr>
          <w:rFonts w:asciiTheme="majorHAnsi" w:hAnsiTheme="majorHAnsi" w:cstheme="majorHAnsi"/>
          <w:sz w:val="22"/>
          <w:szCs w:val="22"/>
          <w:u w:val="single"/>
        </w:rPr>
        <w:t>Other: Case/Control status on Phase I and Phase II phenotype:</w:t>
      </w:r>
      <w:r w:rsidRPr="00733FC3">
        <w:rPr>
          <w:rFonts w:asciiTheme="majorHAnsi" w:hAnsiTheme="majorHAnsi" w:cstheme="majorHAnsi"/>
          <w:sz w:val="22"/>
          <w:szCs w:val="22"/>
        </w:rPr>
        <w:t xml:space="preserve"> </w:t>
      </w:r>
    </w:p>
    <w:sectPr w:rsidR="00571D40" w:rsidRPr="00733FC3"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50D12" w14:textId="77777777" w:rsidR="00CC17A2" w:rsidRDefault="00CC17A2" w:rsidP="0093273D">
      <w:r>
        <w:separator/>
      </w:r>
    </w:p>
  </w:endnote>
  <w:endnote w:type="continuationSeparator" w:id="0">
    <w:p w14:paraId="331510C1" w14:textId="77777777" w:rsidR="00CC17A2" w:rsidRDefault="00CC17A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FC87B4E"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CC17A2">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58E52" w14:textId="77777777" w:rsidR="00CC17A2" w:rsidRDefault="00CC17A2" w:rsidP="0093273D">
      <w:r>
        <w:separator/>
      </w:r>
    </w:p>
  </w:footnote>
  <w:footnote w:type="continuationSeparator" w:id="0">
    <w:p w14:paraId="0EBF6137" w14:textId="77777777" w:rsidR="00CC17A2" w:rsidRDefault="00CC17A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93CBC"/>
    <w:multiLevelType w:val="hybridMultilevel"/>
    <w:tmpl w:val="393069AE"/>
    <w:lvl w:ilvl="0" w:tplc="4D484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B651E"/>
    <w:multiLevelType w:val="hybridMultilevel"/>
    <w:tmpl w:val="C23E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557D9"/>
    <w:rsid w:val="00092E5F"/>
    <w:rsid w:val="000A12A3"/>
    <w:rsid w:val="000B7654"/>
    <w:rsid w:val="00114DDE"/>
    <w:rsid w:val="00117500"/>
    <w:rsid w:val="001F1106"/>
    <w:rsid w:val="001F3540"/>
    <w:rsid w:val="00230DC1"/>
    <w:rsid w:val="0025109A"/>
    <w:rsid w:val="002B514F"/>
    <w:rsid w:val="002F5FC6"/>
    <w:rsid w:val="00376326"/>
    <w:rsid w:val="003E35B0"/>
    <w:rsid w:val="003F367E"/>
    <w:rsid w:val="00453B16"/>
    <w:rsid w:val="00461AA0"/>
    <w:rsid w:val="004D748E"/>
    <w:rsid w:val="004D7F55"/>
    <w:rsid w:val="00571D40"/>
    <w:rsid w:val="00585327"/>
    <w:rsid w:val="00594CF3"/>
    <w:rsid w:val="00595E27"/>
    <w:rsid w:val="00614403"/>
    <w:rsid w:val="006166BF"/>
    <w:rsid w:val="00625689"/>
    <w:rsid w:val="0063131E"/>
    <w:rsid w:val="006B3450"/>
    <w:rsid w:val="006C3388"/>
    <w:rsid w:val="006C7A82"/>
    <w:rsid w:val="00702039"/>
    <w:rsid w:val="00733FC3"/>
    <w:rsid w:val="00750198"/>
    <w:rsid w:val="00760704"/>
    <w:rsid w:val="00765481"/>
    <w:rsid w:val="007E05CE"/>
    <w:rsid w:val="007F3F81"/>
    <w:rsid w:val="008673B8"/>
    <w:rsid w:val="008B0CE2"/>
    <w:rsid w:val="00900D3C"/>
    <w:rsid w:val="0093273D"/>
    <w:rsid w:val="0093457F"/>
    <w:rsid w:val="00A14096"/>
    <w:rsid w:val="00A21D73"/>
    <w:rsid w:val="00A674F0"/>
    <w:rsid w:val="00A726E3"/>
    <w:rsid w:val="00A75036"/>
    <w:rsid w:val="00AA3B70"/>
    <w:rsid w:val="00AC10C7"/>
    <w:rsid w:val="00AF586E"/>
    <w:rsid w:val="00B67A4E"/>
    <w:rsid w:val="00B845FF"/>
    <w:rsid w:val="00B87F1D"/>
    <w:rsid w:val="00BF7CCA"/>
    <w:rsid w:val="00C070A7"/>
    <w:rsid w:val="00C35977"/>
    <w:rsid w:val="00C367EC"/>
    <w:rsid w:val="00C86C6E"/>
    <w:rsid w:val="00CC17A2"/>
    <w:rsid w:val="00CF558C"/>
    <w:rsid w:val="00D31AB1"/>
    <w:rsid w:val="00D662DB"/>
    <w:rsid w:val="00D93D28"/>
    <w:rsid w:val="00DA4072"/>
    <w:rsid w:val="00E5184F"/>
    <w:rsid w:val="00E92E3A"/>
    <w:rsid w:val="00EC0C5B"/>
    <w:rsid w:val="00F17F66"/>
    <w:rsid w:val="00F327F8"/>
    <w:rsid w:val="00F47B8B"/>
    <w:rsid w:val="00F65092"/>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3759">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977682292">
      <w:bodyDiv w:val="1"/>
      <w:marLeft w:val="0"/>
      <w:marRight w:val="0"/>
      <w:marTop w:val="0"/>
      <w:marBottom w:val="0"/>
      <w:divBdr>
        <w:top w:val="none" w:sz="0" w:space="0" w:color="auto"/>
        <w:left w:val="none" w:sz="0" w:space="0" w:color="auto"/>
        <w:bottom w:val="none" w:sz="0" w:space="0" w:color="auto"/>
        <w:right w:val="none" w:sz="0" w:space="0" w:color="auto"/>
      </w:divBdr>
    </w:div>
    <w:div w:id="999848913">
      <w:bodyDiv w:val="1"/>
      <w:marLeft w:val="0"/>
      <w:marRight w:val="0"/>
      <w:marTop w:val="0"/>
      <w:marBottom w:val="0"/>
      <w:divBdr>
        <w:top w:val="none" w:sz="0" w:space="0" w:color="auto"/>
        <w:left w:val="none" w:sz="0" w:space="0" w:color="auto"/>
        <w:bottom w:val="none" w:sz="0" w:space="0" w:color="auto"/>
        <w:right w:val="none" w:sz="0" w:space="0" w:color="auto"/>
      </w:divBdr>
    </w:div>
    <w:div w:id="1961917149">
      <w:bodyDiv w:val="1"/>
      <w:marLeft w:val="0"/>
      <w:marRight w:val="0"/>
      <w:marTop w:val="0"/>
      <w:marBottom w:val="0"/>
      <w:divBdr>
        <w:top w:val="none" w:sz="0" w:space="0" w:color="auto"/>
        <w:left w:val="none" w:sz="0" w:space="0" w:color="auto"/>
        <w:bottom w:val="none" w:sz="0" w:space="0" w:color="auto"/>
        <w:right w:val="none" w:sz="0" w:space="0" w:color="auto"/>
      </w:divBdr>
    </w:div>
    <w:div w:id="2119248544">
      <w:bodyDiv w:val="1"/>
      <w:marLeft w:val="0"/>
      <w:marRight w:val="0"/>
      <w:marTop w:val="0"/>
      <w:marBottom w:val="0"/>
      <w:divBdr>
        <w:top w:val="none" w:sz="0" w:space="0" w:color="auto"/>
        <w:left w:val="none" w:sz="0" w:space="0" w:color="auto"/>
        <w:bottom w:val="none" w:sz="0" w:space="0" w:color="auto"/>
        <w:right w:val="none" w:sz="0" w:space="0" w:color="auto"/>
      </w:divBdr>
    </w:div>
    <w:div w:id="214592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Michelle</cp:lastModifiedBy>
  <cp:revision>24</cp:revision>
  <dcterms:created xsi:type="dcterms:W3CDTF">2020-04-08T20:55:00Z</dcterms:created>
  <dcterms:modified xsi:type="dcterms:W3CDTF">2020-04-10T15:04:00Z</dcterms:modified>
</cp:coreProperties>
</file>