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251" w:type="dxa"/>
        <w:tblInd w:w="-180" w:type="dxa"/>
        <w:tblLayout w:type="fixed"/>
        <w:tblLook w:val="01E0" w:firstRow="1" w:lastRow="1" w:firstColumn="1" w:lastColumn="1" w:noHBand="0" w:noVBand="0"/>
      </w:tblPr>
      <w:tblGrid>
        <w:gridCol w:w="2700"/>
        <w:gridCol w:w="4140"/>
        <w:gridCol w:w="4411"/>
      </w:tblGrid>
      <w:tr w:rsidR="0093273D" w:rsidRPr="005F7C97" w14:paraId="34433960" w14:textId="77777777" w:rsidTr="001A40D2">
        <w:trPr>
          <w:trHeight w:val="231"/>
        </w:trPr>
        <w:tc>
          <w:tcPr>
            <w:tcW w:w="11251" w:type="dxa"/>
            <w:gridSpan w:val="3"/>
            <w:tcBorders>
              <w:top w:val="double" w:sz="4" w:space="0" w:color="E7E6E6" w:themeColor="background2"/>
            </w:tcBorders>
            <w:shd w:val="clear" w:color="auto" w:fill="008BCC"/>
            <w:vAlign w:val="center"/>
          </w:tcPr>
          <w:p w14:paraId="38E4955F" w14:textId="1FC93EF7" w:rsidR="0093273D" w:rsidRPr="00A726E3" w:rsidRDefault="0093273D" w:rsidP="00A726E3">
            <w:pPr>
              <w:spacing w:before="120"/>
              <w:jc w:val="center"/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</w:pPr>
            <w:r w:rsidRPr="00A726E3"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  <w:t>eMERGE Network: Manuscript Concept Sheet</w:t>
            </w:r>
          </w:p>
        </w:tc>
      </w:tr>
      <w:tr w:rsidR="0093273D" w:rsidRPr="005F7C97" w14:paraId="0EF615D6" w14:textId="77777777" w:rsidTr="001A40D2">
        <w:trPr>
          <w:trHeight w:val="216"/>
        </w:trPr>
        <w:tc>
          <w:tcPr>
            <w:tcW w:w="2700" w:type="dxa"/>
            <w:tcBorders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69AC5F2" w14:textId="77777777" w:rsidR="00B845FF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Reference Number</w:t>
            </w:r>
            <w:r w:rsidR="00B845FF">
              <w:rPr>
                <w:rFonts w:ascii="Calibri Light" w:hAnsi="Calibri Light"/>
                <w:b/>
                <w:sz w:val="22"/>
              </w:rPr>
              <w:t xml:space="preserve"> </w:t>
            </w:r>
          </w:p>
          <w:p w14:paraId="11FCE5E1" w14:textId="7B2D0C08" w:rsidR="0093273D" w:rsidRPr="00B845FF" w:rsidRDefault="00B845FF" w:rsidP="00CF0D06">
            <w:pPr>
              <w:rPr>
                <w:rFonts w:ascii="Calibri Light" w:hAnsi="Calibri Light"/>
                <w:sz w:val="22"/>
              </w:rPr>
            </w:pPr>
            <w:r w:rsidRPr="00B845FF">
              <w:rPr>
                <w:rFonts w:ascii="Calibri Light" w:hAnsi="Calibri Light"/>
                <w:i/>
                <w:sz w:val="22"/>
              </w:rPr>
              <w:t>(</w:t>
            </w:r>
            <w:r>
              <w:rPr>
                <w:rFonts w:ascii="Calibri Light" w:hAnsi="Calibri Light"/>
                <w:i/>
                <w:sz w:val="22"/>
              </w:rPr>
              <w:t xml:space="preserve">to be </w:t>
            </w:r>
            <w:r w:rsidRPr="00B845FF">
              <w:rPr>
                <w:rFonts w:ascii="Calibri Light" w:hAnsi="Calibri Light"/>
                <w:i/>
                <w:sz w:val="22"/>
              </w:rPr>
              <w:t>assigned by CC)</w:t>
            </w:r>
          </w:p>
        </w:tc>
        <w:tc>
          <w:tcPr>
            <w:tcW w:w="8551" w:type="dxa"/>
            <w:gridSpan w:val="2"/>
            <w:tcBorders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2E0B9F96" w14:textId="58818ECE" w:rsidR="0093273D" w:rsidRPr="008673B8" w:rsidRDefault="001860FA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NT405</w:t>
            </w:r>
          </w:p>
        </w:tc>
      </w:tr>
      <w:tr w:rsidR="0093273D" w:rsidRPr="005F7C97" w14:paraId="584ED434" w14:textId="77777777" w:rsidTr="001A40D2">
        <w:trPr>
          <w:trHeight w:val="56"/>
        </w:trPr>
        <w:tc>
          <w:tcPr>
            <w:tcW w:w="2700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11B06C24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Submission Date</w:t>
            </w:r>
          </w:p>
        </w:tc>
        <w:tc>
          <w:tcPr>
            <w:tcW w:w="8551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83159CD" w14:textId="132BE6BD" w:rsidR="0093273D" w:rsidRPr="008673B8" w:rsidRDefault="001860FA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10/01/2020</w:t>
            </w:r>
          </w:p>
        </w:tc>
      </w:tr>
      <w:tr w:rsidR="0093273D" w:rsidRPr="005F7C97" w14:paraId="525A5C75" w14:textId="77777777" w:rsidTr="001A40D2">
        <w:trPr>
          <w:trHeight w:val="386"/>
        </w:trPr>
        <w:tc>
          <w:tcPr>
            <w:tcW w:w="2700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632FBAB6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Project Title</w:t>
            </w:r>
          </w:p>
        </w:tc>
        <w:tc>
          <w:tcPr>
            <w:tcW w:w="8551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91AC091" w14:textId="6AB985A2" w:rsidR="0093273D" w:rsidRPr="008673B8" w:rsidRDefault="008E369F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Considerations for return of polygenic risk scores to pediatric research participants</w:t>
            </w:r>
            <w:r w:rsidR="00B70BE7">
              <w:rPr>
                <w:rFonts w:asciiTheme="majorHAnsi" w:hAnsiTheme="majorHAnsi" w:cstheme="majorHAnsi"/>
                <w:sz w:val="22"/>
                <w:szCs w:val="22"/>
              </w:rPr>
              <w:t xml:space="preserve"> in eMERGE4.</w:t>
            </w:r>
          </w:p>
        </w:tc>
      </w:tr>
      <w:tr w:rsidR="0093273D" w:rsidRPr="005F7C97" w14:paraId="3A5D37BF" w14:textId="77777777" w:rsidTr="001A40D2">
        <w:trPr>
          <w:trHeight w:val="377"/>
        </w:trPr>
        <w:tc>
          <w:tcPr>
            <w:tcW w:w="2700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6F99CFEA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Tentative Lead Investigator </w:t>
            </w:r>
            <w:r w:rsidRPr="0074111E">
              <w:rPr>
                <w:rFonts w:ascii="Calibri Light" w:hAnsi="Calibri Light"/>
                <w:i/>
                <w:sz w:val="22"/>
              </w:rPr>
              <w:t>(first author)</w:t>
            </w:r>
          </w:p>
        </w:tc>
        <w:tc>
          <w:tcPr>
            <w:tcW w:w="8551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7ACA34EC" w14:textId="58BA4FAE" w:rsidR="0093273D" w:rsidRPr="008673B8" w:rsidRDefault="008E369F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Sharice Wood (CCHMC) and </w:t>
            </w:r>
            <w:r w:rsidRPr="008E369F">
              <w:rPr>
                <w:rFonts w:asciiTheme="majorHAnsi" w:hAnsiTheme="majorHAnsi" w:cstheme="majorHAnsi"/>
                <w:sz w:val="22"/>
                <w:szCs w:val="22"/>
              </w:rPr>
              <w:t>Elizabeth Bhoj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(CHOP) – co-first authors, contributing equally</w:t>
            </w:r>
          </w:p>
        </w:tc>
      </w:tr>
      <w:tr w:rsidR="0093273D" w:rsidRPr="005F7C97" w14:paraId="7FD899A7" w14:textId="77777777" w:rsidTr="000F7F5A">
        <w:trPr>
          <w:trHeight w:val="70"/>
        </w:trPr>
        <w:tc>
          <w:tcPr>
            <w:tcW w:w="2700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5307786" w14:textId="77777777" w:rsidR="0093273D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Tentative Senior Author </w:t>
            </w:r>
          </w:p>
          <w:p w14:paraId="4F66210D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i/>
                <w:sz w:val="22"/>
              </w:rPr>
              <w:t>(last author)</w:t>
            </w:r>
          </w:p>
        </w:tc>
        <w:tc>
          <w:tcPr>
            <w:tcW w:w="8551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1C0ED39B" w14:textId="4B75B495" w:rsidR="0093273D" w:rsidRPr="008673B8" w:rsidRDefault="008E369F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Sara Van D</w:t>
            </w:r>
            <w:r w:rsidR="00B70BE7">
              <w:rPr>
                <w:rFonts w:asciiTheme="majorHAnsi" w:hAnsiTheme="majorHAnsi" w:cstheme="majorHAnsi"/>
                <w:sz w:val="22"/>
                <w:szCs w:val="22"/>
              </w:rPr>
              <w:t>r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iest (VUMC</w:t>
            </w:r>
            <w:r w:rsidR="00B70BE7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</w:tc>
      </w:tr>
      <w:tr w:rsidR="0093273D" w:rsidRPr="005F7C97" w14:paraId="16BFBEAC" w14:textId="77777777" w:rsidTr="001A40D2">
        <w:trPr>
          <w:trHeight w:val="179"/>
        </w:trPr>
        <w:tc>
          <w:tcPr>
            <w:tcW w:w="2700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338B8C49" w14:textId="77777777" w:rsidR="0093273D" w:rsidRPr="0074111E" w:rsidRDefault="0093273D" w:rsidP="00900D3C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All </w:t>
            </w:r>
            <w:r w:rsidR="00900D3C">
              <w:rPr>
                <w:rFonts w:ascii="Calibri Light" w:hAnsi="Calibri Light"/>
                <w:b/>
                <w:sz w:val="22"/>
              </w:rPr>
              <w:t>Other A</w:t>
            </w:r>
            <w:r w:rsidRPr="0074111E">
              <w:rPr>
                <w:rFonts w:ascii="Calibri Light" w:hAnsi="Calibri Light"/>
                <w:b/>
                <w:sz w:val="22"/>
              </w:rPr>
              <w:t xml:space="preserve">uthors </w:t>
            </w:r>
          </w:p>
        </w:tc>
        <w:tc>
          <w:tcPr>
            <w:tcW w:w="8551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0B91A6A9" w14:textId="7763E8D5" w:rsidR="0093273D" w:rsidRPr="008673B8" w:rsidRDefault="008E369F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All interested members of the e</w:t>
            </w:r>
            <w:r w:rsidR="00B70BE7">
              <w:rPr>
                <w:rFonts w:asciiTheme="majorHAnsi" w:hAnsiTheme="majorHAnsi" w:cstheme="majorHAnsi"/>
                <w:sz w:val="22"/>
                <w:szCs w:val="22"/>
              </w:rPr>
              <w:t>MERGE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4</w:t>
            </w:r>
            <w:r w:rsidR="00B70BE7">
              <w:rPr>
                <w:rFonts w:asciiTheme="majorHAnsi" w:hAnsiTheme="majorHAnsi" w:cstheme="majorHAnsi"/>
                <w:sz w:val="22"/>
                <w:szCs w:val="22"/>
              </w:rPr>
              <w:t xml:space="preserve"> (e4)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Pediatric Subgroup</w:t>
            </w:r>
            <w:r w:rsidR="009250BF">
              <w:rPr>
                <w:rFonts w:asciiTheme="majorHAnsi" w:hAnsiTheme="majorHAnsi" w:cstheme="majorHAnsi"/>
                <w:sz w:val="22"/>
                <w:szCs w:val="22"/>
              </w:rPr>
              <w:t xml:space="preserve"> of the sIRB Workgroup</w:t>
            </w:r>
          </w:p>
          <w:p w14:paraId="6DB36893" w14:textId="77777777" w:rsidR="0093273D" w:rsidRPr="008673B8" w:rsidRDefault="0093273D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3273D" w:rsidRPr="005F7C97" w14:paraId="51A2580D" w14:textId="77777777" w:rsidTr="001A40D2">
        <w:trPr>
          <w:trHeight w:val="809"/>
        </w:trPr>
        <w:tc>
          <w:tcPr>
            <w:tcW w:w="2700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5029C48" w14:textId="6223DCE1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Sites </w:t>
            </w:r>
            <w:r w:rsidR="00D93D28">
              <w:rPr>
                <w:rFonts w:ascii="Calibri Light" w:hAnsi="Calibri Light"/>
                <w:b/>
                <w:sz w:val="22"/>
              </w:rPr>
              <w:t>Participating</w:t>
            </w:r>
          </w:p>
        </w:tc>
        <w:tc>
          <w:tcPr>
            <w:tcW w:w="8551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60326127" w14:textId="2AC014BE" w:rsidR="0093273D" w:rsidRPr="008673B8" w:rsidRDefault="00B70BE7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All sites represented by the</w:t>
            </w:r>
            <w:r>
              <w:t xml:space="preserve"> </w:t>
            </w:r>
            <w:r w:rsidRPr="00B70BE7">
              <w:rPr>
                <w:rFonts w:asciiTheme="majorHAnsi" w:hAnsiTheme="majorHAnsi" w:cstheme="majorHAnsi"/>
                <w:sz w:val="22"/>
                <w:szCs w:val="22"/>
              </w:rPr>
              <w:t>e4 Pediatric Subgroup of the sIRB Workgroup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  <w:r w:rsidR="008E369F">
              <w:rPr>
                <w:rFonts w:asciiTheme="majorHAnsi" w:hAnsiTheme="majorHAnsi" w:cstheme="majorHAnsi"/>
                <w:sz w:val="22"/>
                <w:szCs w:val="22"/>
              </w:rPr>
              <w:t>Coordinating Center, NHGRI, CHOP, Columbia, CCHMC, UW, VUMC, Mayo, Northwestern, Mt. Sinai (based on roster</w:t>
            </w:r>
            <w:r w:rsidR="005935E2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8E369F">
              <w:rPr>
                <w:rFonts w:asciiTheme="majorHAnsi" w:hAnsiTheme="majorHAnsi" w:cstheme="majorHAnsi"/>
                <w:sz w:val="22"/>
                <w:szCs w:val="22"/>
              </w:rPr>
              <w:t>9/22/2020)</w:t>
            </w:r>
          </w:p>
          <w:p w14:paraId="07C5FDB2" w14:textId="77777777" w:rsidR="0093273D" w:rsidRPr="008673B8" w:rsidRDefault="0093273D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3273D" w:rsidRPr="005F7C97" w14:paraId="407B21A7" w14:textId="77777777" w:rsidTr="001A40D2">
        <w:trPr>
          <w:trHeight w:val="1241"/>
        </w:trPr>
        <w:tc>
          <w:tcPr>
            <w:tcW w:w="2700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C18C203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Background / Significance</w:t>
            </w:r>
          </w:p>
        </w:tc>
        <w:tc>
          <w:tcPr>
            <w:tcW w:w="8551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2A9C185A" w14:textId="41AF7FA9" w:rsidR="0093273D" w:rsidRDefault="008E369F" w:rsidP="00CF0D06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 major goal of e4 is to return calculated polygenic risk scores</w:t>
            </w:r>
            <w:r w:rsidR="007C6C1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(PRS)</w:t>
            </w:r>
            <w:r w:rsidR="00C1401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within the context of a comprehensive risk assessment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to a diverse cohort of research participants, including pediatric participants. </w:t>
            </w:r>
            <w:r w:rsidR="007C6C1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PRS methods are relatively novel, and PRS have been predominantly developed for diseases affecting adults, using data from adults.</w:t>
            </w:r>
            <w:r w:rsidR="008468E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="007C6C1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Guidance for determining </w:t>
            </w:r>
            <w:r w:rsidR="009250BF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which PRS may be appropriate for return to pediatric research participants are lacking.</w:t>
            </w:r>
            <w:r w:rsidR="0038153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="004918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Guidance is also lacking for returning PRS within the context of a comprehensive risk assessment that includes family history risk</w:t>
            </w:r>
            <w:r w:rsidR="00EC320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,</w:t>
            </w:r>
            <w:r w:rsidR="004918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clinical risk measures</w:t>
            </w:r>
            <w:r w:rsidR="00EC320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, and </w:t>
            </w:r>
            <w:r w:rsidR="00FE1A1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therapeutic recommendations to reduce risk</w:t>
            </w:r>
            <w:r w:rsidR="00EC320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. </w:t>
            </w:r>
          </w:p>
          <w:p w14:paraId="3CD7DE62" w14:textId="098ABDB2" w:rsidR="009250BF" w:rsidRPr="008673B8" w:rsidRDefault="009250BF" w:rsidP="00CF0D06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93273D" w:rsidRPr="005F7C97" w14:paraId="5CEECB7F" w14:textId="77777777" w:rsidTr="000C7750">
        <w:trPr>
          <w:trHeight w:val="1322"/>
        </w:trPr>
        <w:tc>
          <w:tcPr>
            <w:tcW w:w="2700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EC6EB85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Outline of Project</w:t>
            </w:r>
          </w:p>
        </w:tc>
        <w:tc>
          <w:tcPr>
            <w:tcW w:w="8551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5E8575EB" w14:textId="2DA8FC9C" w:rsidR="0000600E" w:rsidRDefault="009250BF" w:rsidP="009250B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The goal of this project is to develop a consensus statement of the considerations for evaluating PRS for return to pediatric research participants</w:t>
            </w:r>
            <w:r w:rsidR="00B70BE7">
              <w:rPr>
                <w:rFonts w:asciiTheme="majorHAnsi" w:hAnsiTheme="majorHAnsi" w:cstheme="majorHAnsi"/>
                <w:sz w:val="22"/>
                <w:szCs w:val="22"/>
              </w:rPr>
              <w:t xml:space="preserve"> with examples of returnable and non-returnable phenotypes for various pediatric age groups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. We will summarize and organize the discussions of the Pediatric Subgroup as we define the age ranges of actionability for each </w:t>
            </w:r>
            <w:r w:rsidR="00BF1599">
              <w:rPr>
                <w:rFonts w:asciiTheme="majorHAnsi" w:hAnsiTheme="majorHAnsi" w:cstheme="majorHAnsi"/>
                <w:sz w:val="22"/>
                <w:szCs w:val="22"/>
              </w:rPr>
              <w:t xml:space="preserve">phenotype targeted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PRS under consideration.</w:t>
            </w:r>
            <w:r w:rsidR="00BF159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We will report the </w:t>
            </w:r>
            <w:r w:rsidR="001A40D2">
              <w:rPr>
                <w:rFonts w:asciiTheme="majorHAnsi" w:hAnsiTheme="majorHAnsi" w:cstheme="majorHAnsi"/>
                <w:sz w:val="22"/>
                <w:szCs w:val="22"/>
              </w:rPr>
              <w:t>criteria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to be evaluated to determine whether a</w:t>
            </w:r>
            <w:r w:rsidR="005935E2">
              <w:rPr>
                <w:rFonts w:asciiTheme="majorHAnsi" w:hAnsiTheme="majorHAnsi" w:cstheme="majorHAnsi"/>
                <w:sz w:val="22"/>
                <w:szCs w:val="22"/>
              </w:rPr>
              <w:t xml:space="preserve"> PRS (or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E14D06">
              <w:rPr>
                <w:rFonts w:asciiTheme="majorHAnsi" w:hAnsiTheme="majorHAnsi" w:cstheme="majorHAnsi"/>
                <w:sz w:val="22"/>
                <w:szCs w:val="22"/>
              </w:rPr>
              <w:t xml:space="preserve">phenotype targeted comprehensive risk assessment, which includes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PRS</w:t>
            </w:r>
            <w:r w:rsidR="005935E2">
              <w:rPr>
                <w:rFonts w:asciiTheme="majorHAnsi" w:hAnsiTheme="majorHAnsi" w:cstheme="majorHAnsi"/>
                <w:sz w:val="22"/>
                <w:szCs w:val="22"/>
              </w:rPr>
              <w:t>, depending on the focus of the workgroup)</w:t>
            </w:r>
            <w:r w:rsidR="009F4E8C"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is potentially returnable to pediatric participants</w:t>
            </w:r>
            <w:r w:rsidR="0000600E">
              <w:rPr>
                <w:rFonts w:asciiTheme="majorHAnsi" w:hAnsiTheme="majorHAnsi" w:cstheme="majorHAnsi"/>
                <w:sz w:val="22"/>
                <w:szCs w:val="22"/>
              </w:rPr>
              <w:t>.</w:t>
            </w:r>
            <w:r w:rsidR="001A40D2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1262E8">
              <w:rPr>
                <w:rFonts w:asciiTheme="majorHAnsi" w:hAnsiTheme="majorHAnsi" w:cstheme="majorHAnsi"/>
                <w:sz w:val="22"/>
                <w:szCs w:val="22"/>
              </w:rPr>
              <w:t xml:space="preserve">We will share expert deliberation regarding when to return </w:t>
            </w:r>
            <w:r w:rsidR="00674AB9"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 w:rsidR="005935E2">
              <w:rPr>
                <w:rFonts w:asciiTheme="majorHAnsi" w:hAnsiTheme="majorHAnsi" w:cstheme="majorHAnsi"/>
                <w:sz w:val="22"/>
                <w:szCs w:val="22"/>
              </w:rPr>
              <w:t xml:space="preserve"> PRS or</w:t>
            </w:r>
            <w:r w:rsidR="00674AB9">
              <w:rPr>
                <w:rFonts w:asciiTheme="majorHAnsi" w:hAnsiTheme="majorHAnsi" w:cstheme="majorHAnsi"/>
                <w:sz w:val="22"/>
                <w:szCs w:val="22"/>
              </w:rPr>
              <w:t xml:space="preserve"> comprehensive risk that includes multiple combinations of high, </w:t>
            </w:r>
            <w:r w:rsidR="00BF1599">
              <w:rPr>
                <w:rFonts w:asciiTheme="majorHAnsi" w:hAnsiTheme="majorHAnsi" w:cstheme="majorHAnsi"/>
                <w:sz w:val="22"/>
                <w:szCs w:val="22"/>
              </w:rPr>
              <w:t>“</w:t>
            </w:r>
            <w:r w:rsidR="00674AB9">
              <w:rPr>
                <w:rFonts w:asciiTheme="majorHAnsi" w:hAnsiTheme="majorHAnsi" w:cstheme="majorHAnsi"/>
                <w:sz w:val="22"/>
                <w:szCs w:val="22"/>
              </w:rPr>
              <w:t>not high risk</w:t>
            </w:r>
            <w:r w:rsidR="00BF1599">
              <w:rPr>
                <w:rFonts w:asciiTheme="majorHAnsi" w:hAnsiTheme="majorHAnsi" w:cstheme="majorHAnsi"/>
                <w:sz w:val="22"/>
                <w:szCs w:val="22"/>
              </w:rPr>
              <w:t>”</w:t>
            </w:r>
            <w:r w:rsidR="000111E1">
              <w:rPr>
                <w:rFonts w:asciiTheme="majorHAnsi" w:hAnsiTheme="majorHAnsi" w:cstheme="majorHAnsi"/>
                <w:sz w:val="22"/>
                <w:szCs w:val="22"/>
              </w:rPr>
              <w:t xml:space="preserve"> as determined by</w:t>
            </w:r>
            <w:r w:rsidR="00674AB9">
              <w:rPr>
                <w:rFonts w:asciiTheme="majorHAnsi" w:hAnsiTheme="majorHAnsi" w:cstheme="majorHAnsi"/>
                <w:sz w:val="22"/>
                <w:szCs w:val="22"/>
              </w:rPr>
              <w:t xml:space="preserve"> PRS, family history and clinical factors. </w:t>
            </w:r>
          </w:p>
          <w:p w14:paraId="29519B3C" w14:textId="77777777" w:rsidR="0000600E" w:rsidRDefault="0000600E" w:rsidP="009250B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2D7EFA0" w14:textId="0D93D05A" w:rsidR="004C47E9" w:rsidRDefault="0000600E" w:rsidP="009250B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70BE7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The</w:t>
            </w:r>
            <w:r w:rsidR="001A40D2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 criteria to consider </w:t>
            </w:r>
            <w:r w:rsidRPr="00B70BE7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may include but are not limited to</w:t>
            </w:r>
            <w:r w:rsidR="005935E2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 ethical, practical, and scientific considerations such as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="001A40D2">
              <w:rPr>
                <w:rFonts w:asciiTheme="majorHAnsi" w:hAnsiTheme="majorHAnsi" w:cstheme="majorHAnsi"/>
                <w:sz w:val="22"/>
                <w:szCs w:val="22"/>
              </w:rPr>
              <w:t>Validation of the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PRS in pediatric patients OR reasonable expectation of concordance of adult and pediatric disease mechanism / pathogenesis</w:t>
            </w:r>
            <w:r w:rsidR="001A40D2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3CC4A0E7" w14:textId="23AED538" w:rsidR="008468E4" w:rsidRDefault="001A40D2" w:rsidP="009250B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Actionability of </w:t>
            </w:r>
            <w:r w:rsidR="0000600E">
              <w:rPr>
                <w:rFonts w:asciiTheme="majorHAnsi" w:hAnsiTheme="majorHAnsi" w:cstheme="majorHAnsi"/>
                <w:sz w:val="22"/>
                <w:szCs w:val="22"/>
              </w:rPr>
              <w:t xml:space="preserve">a high </w:t>
            </w:r>
            <w:r w:rsidR="00FF69F1">
              <w:rPr>
                <w:rFonts w:asciiTheme="majorHAnsi" w:hAnsiTheme="majorHAnsi" w:cstheme="majorHAnsi"/>
                <w:sz w:val="22"/>
                <w:szCs w:val="22"/>
              </w:rPr>
              <w:t>comprehensive risk</w:t>
            </w:r>
            <w:r w:rsidR="0000600E">
              <w:rPr>
                <w:rFonts w:asciiTheme="majorHAnsi" w:hAnsiTheme="majorHAnsi" w:cstheme="majorHAnsi"/>
                <w:sz w:val="22"/>
                <w:szCs w:val="22"/>
              </w:rPr>
              <w:t xml:space="preserve"> for the specific age group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096E9765" w14:textId="1889B0E6" w:rsidR="008468E4" w:rsidRDefault="001A40D2" w:rsidP="009250B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Ability to measure the </w:t>
            </w:r>
            <w:r w:rsidR="0000600E">
              <w:rPr>
                <w:rFonts w:asciiTheme="majorHAnsi" w:hAnsiTheme="majorHAnsi" w:cstheme="majorHAnsi"/>
                <w:sz w:val="22"/>
                <w:szCs w:val="22"/>
              </w:rPr>
              <w:t>recommended action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within e4.</w:t>
            </w:r>
          </w:p>
          <w:p w14:paraId="36A0E2C6" w14:textId="5E61E51C" w:rsidR="008468E4" w:rsidRDefault="001A40D2" w:rsidP="009250B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Anticipated r</w:t>
            </w:r>
            <w:r w:rsidR="008468E4">
              <w:rPr>
                <w:rFonts w:asciiTheme="majorHAnsi" w:hAnsiTheme="majorHAnsi" w:cstheme="majorHAnsi"/>
                <w:sz w:val="22"/>
                <w:szCs w:val="22"/>
              </w:rPr>
              <w:t>isk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DC18BA">
              <w:rPr>
                <w:rFonts w:asciiTheme="majorHAnsi" w:hAnsiTheme="majorHAnsi" w:cstheme="majorHAnsi"/>
                <w:sz w:val="22"/>
                <w:szCs w:val="22"/>
              </w:rPr>
              <w:t xml:space="preserve">of the recommended action for </w:t>
            </w:r>
            <w:r w:rsidR="008468E4">
              <w:rPr>
                <w:rFonts w:asciiTheme="majorHAnsi" w:hAnsiTheme="majorHAnsi" w:cstheme="majorHAnsi"/>
                <w:sz w:val="22"/>
                <w:szCs w:val="22"/>
              </w:rPr>
              <w:t>the participant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and family.</w:t>
            </w:r>
          </w:p>
          <w:p w14:paraId="51304869" w14:textId="4456BBF6" w:rsidR="008468E4" w:rsidRDefault="008468E4" w:rsidP="009250B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E75A1B6" w14:textId="625DBE52" w:rsidR="008468E4" w:rsidRDefault="008468E4" w:rsidP="009250B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The phenotypes being considered by e4 provide concrete examples to be</w:t>
            </w:r>
            <w:r w:rsidR="001A40D2">
              <w:rPr>
                <w:rFonts w:asciiTheme="majorHAnsi" w:hAnsiTheme="majorHAnsi" w:cstheme="majorHAnsi"/>
                <w:sz w:val="22"/>
                <w:szCs w:val="22"/>
              </w:rPr>
              <w:t xml:space="preserve"> evaluated using the criteria we generate and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discussed in the manuscript.</w:t>
            </w:r>
          </w:p>
          <w:p w14:paraId="0FBC0A3D" w14:textId="77777777" w:rsidR="009250BF" w:rsidRDefault="009250BF" w:rsidP="009250B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0461DB7" w14:textId="2167DB7C" w:rsidR="000F7F5A" w:rsidRPr="008673B8" w:rsidRDefault="000F7F5A" w:rsidP="009250B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Of note, w</w:t>
            </w:r>
            <w:r w:rsidRPr="000F7F5A">
              <w:rPr>
                <w:rFonts w:asciiTheme="majorHAnsi" w:hAnsiTheme="majorHAnsi" w:cstheme="majorHAnsi"/>
                <w:sz w:val="22"/>
                <w:szCs w:val="22"/>
              </w:rPr>
              <w:t xml:space="preserve">e will start with the assumption that there is a published, validated PRS for each of the considered phenotypes. We will NOT evaluate the validity of specific PRS as a part of this </w:t>
            </w:r>
            <w:r w:rsidRPr="000F7F5A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manuscript effort, as that is beyond scope.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Likewise, we will not define metrics of PRS validity, nor thresholds for defining “high risk” for PRS, family history, or clinical risk measures.</w:t>
            </w:r>
          </w:p>
        </w:tc>
      </w:tr>
      <w:tr w:rsidR="00C367EC" w:rsidRPr="005F7C97" w14:paraId="324812E9" w14:textId="77777777" w:rsidTr="00B70BE7">
        <w:trPr>
          <w:trHeight w:val="1033"/>
        </w:trPr>
        <w:tc>
          <w:tcPr>
            <w:tcW w:w="2700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001B50E" w14:textId="09DA56E4" w:rsidR="00C367EC" w:rsidRPr="0074111E" w:rsidRDefault="00C367EC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lastRenderedPageBreak/>
              <w:t>Desired</w:t>
            </w:r>
            <w:r w:rsidR="00FD49BF">
              <w:rPr>
                <w:rFonts w:ascii="Calibri Light" w:hAnsi="Calibri Light"/>
                <w:b/>
                <w:sz w:val="22"/>
              </w:rPr>
              <w:t xml:space="preserve"> </w:t>
            </w:r>
            <w:r w:rsidR="00D93D28">
              <w:rPr>
                <w:rFonts w:ascii="Calibri Light" w:hAnsi="Calibri Light"/>
                <w:b/>
                <w:sz w:val="22"/>
              </w:rPr>
              <w:t xml:space="preserve">Data - </w:t>
            </w:r>
            <w:r w:rsidR="00FD49BF">
              <w:rPr>
                <w:rFonts w:ascii="Calibri Light" w:hAnsi="Calibri Light"/>
                <w:b/>
                <w:sz w:val="22"/>
              </w:rPr>
              <w:t>Common</w:t>
            </w:r>
            <w:r w:rsidR="00B845FF">
              <w:rPr>
                <w:rFonts w:ascii="Calibri Light" w:hAnsi="Calibri Light"/>
                <w:b/>
                <w:sz w:val="22"/>
              </w:rPr>
              <w:t xml:space="preserve"> Variables* </w:t>
            </w:r>
          </w:p>
          <w:p w14:paraId="49315DDC" w14:textId="593972D6" w:rsidR="00C367EC" w:rsidRPr="000B7654" w:rsidRDefault="0025109A" w:rsidP="00CF0D06">
            <w:pPr>
              <w:rPr>
                <w:rFonts w:ascii="Calibri Light" w:hAnsi="Calibri Light"/>
                <w:i/>
                <w:sz w:val="22"/>
              </w:rPr>
            </w:pPr>
            <w:r w:rsidRPr="000B7654">
              <w:rPr>
                <w:rFonts w:ascii="Calibri Light" w:hAnsi="Calibri Light"/>
                <w:i/>
                <w:sz w:val="22"/>
              </w:rPr>
              <w:t>(Available from the CC)</w:t>
            </w:r>
          </w:p>
        </w:tc>
        <w:tc>
          <w:tcPr>
            <w:tcW w:w="414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05EAA6E7" w14:textId="25AC6216" w:rsidR="00C367EC" w:rsidRPr="00F456AD" w:rsidRDefault="001860FA" w:rsidP="00F456AD">
            <w:pPr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362954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6AD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F456A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C367EC" w:rsidRPr="00F456AD">
              <w:rPr>
                <w:rFonts w:asciiTheme="majorHAnsi" w:hAnsiTheme="majorHAnsi" w:cstheme="majorHAnsi"/>
                <w:sz w:val="22"/>
                <w:szCs w:val="22"/>
              </w:rPr>
              <w:t xml:space="preserve">Demographics                               </w:t>
            </w:r>
          </w:p>
          <w:p w14:paraId="1611A790" w14:textId="13A05740" w:rsidR="00C367EC" w:rsidRPr="00F456AD" w:rsidRDefault="001860FA" w:rsidP="00F456AD">
            <w:pPr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2034295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6AD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F456A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C367EC" w:rsidRPr="00F456AD">
              <w:rPr>
                <w:rFonts w:asciiTheme="majorHAnsi" w:hAnsiTheme="majorHAnsi" w:cstheme="majorHAnsi"/>
                <w:sz w:val="22"/>
                <w:szCs w:val="22"/>
              </w:rPr>
              <w:t>ICD</w:t>
            </w:r>
            <w:r w:rsidR="001F3540" w:rsidRPr="00F456AD">
              <w:rPr>
                <w:rFonts w:asciiTheme="majorHAnsi" w:hAnsiTheme="majorHAnsi" w:cstheme="majorHAnsi"/>
                <w:sz w:val="22"/>
                <w:szCs w:val="22"/>
              </w:rPr>
              <w:t>9/10</w:t>
            </w:r>
            <w:r w:rsidR="00C367EC" w:rsidRPr="00F456AD">
              <w:rPr>
                <w:rFonts w:asciiTheme="majorHAnsi" w:hAnsiTheme="majorHAnsi" w:cstheme="majorHAnsi"/>
                <w:sz w:val="22"/>
                <w:szCs w:val="22"/>
              </w:rPr>
              <w:t xml:space="preserve"> codes</w:t>
            </w:r>
          </w:p>
          <w:p w14:paraId="3E560944" w14:textId="18036E80" w:rsidR="00C367EC" w:rsidRPr="00F456AD" w:rsidRDefault="001860FA" w:rsidP="00F456AD">
            <w:pPr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28593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6AD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F456A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C367EC" w:rsidRPr="00F456AD">
              <w:rPr>
                <w:rFonts w:asciiTheme="majorHAnsi" w:hAnsiTheme="majorHAnsi" w:cstheme="majorHAnsi"/>
                <w:sz w:val="22"/>
                <w:szCs w:val="22"/>
              </w:rPr>
              <w:t>CPT codes</w:t>
            </w:r>
          </w:p>
          <w:p w14:paraId="05AE5A43" w14:textId="7BD5500C" w:rsidR="00C367EC" w:rsidRPr="00F456AD" w:rsidRDefault="001860FA" w:rsidP="00F456AD">
            <w:pPr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469555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6AD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F456A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C367EC" w:rsidRPr="00F456AD">
              <w:rPr>
                <w:rFonts w:asciiTheme="majorHAnsi" w:hAnsiTheme="majorHAnsi" w:cstheme="majorHAnsi"/>
                <w:sz w:val="22"/>
                <w:szCs w:val="22"/>
              </w:rPr>
              <w:t>Phecodes</w:t>
            </w:r>
          </w:p>
          <w:p w14:paraId="3A9ACBE3" w14:textId="3BC77A9E" w:rsidR="00B845FF" w:rsidRPr="00F456AD" w:rsidRDefault="001860FA" w:rsidP="00F456AD">
            <w:pPr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540967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6AD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F456A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C367EC" w:rsidRPr="00F456AD">
              <w:rPr>
                <w:rFonts w:asciiTheme="majorHAnsi" w:hAnsiTheme="majorHAnsi" w:cstheme="majorHAnsi"/>
                <w:sz w:val="22"/>
                <w:szCs w:val="22"/>
              </w:rPr>
              <w:t>BMI</w:t>
            </w:r>
          </w:p>
        </w:tc>
        <w:tc>
          <w:tcPr>
            <w:tcW w:w="4411" w:type="dxa"/>
          </w:tcPr>
          <w:p w14:paraId="2574C661" w14:textId="72D1C2DC" w:rsidR="00C367EC" w:rsidRPr="00F456AD" w:rsidRDefault="001860FA" w:rsidP="00F456AD">
            <w:pPr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44403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6AD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F456A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8B0CE2" w:rsidRPr="00F456AD">
              <w:rPr>
                <w:rFonts w:asciiTheme="majorHAnsi" w:hAnsiTheme="majorHAnsi" w:cstheme="majorHAnsi"/>
                <w:sz w:val="22"/>
                <w:szCs w:val="22"/>
              </w:rPr>
              <w:t>Common Variable</w:t>
            </w:r>
            <w:r w:rsidR="00702039" w:rsidRPr="00F456A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C367EC" w:rsidRPr="00F456AD">
              <w:rPr>
                <w:rFonts w:asciiTheme="majorHAnsi" w:hAnsiTheme="majorHAnsi" w:cstheme="majorHAnsi"/>
                <w:sz w:val="22"/>
                <w:szCs w:val="22"/>
              </w:rPr>
              <w:t>Labs</w:t>
            </w:r>
          </w:p>
          <w:p w14:paraId="0BEB2E50" w14:textId="349B579D" w:rsidR="00C367EC" w:rsidRPr="00F456AD" w:rsidRDefault="001860FA" w:rsidP="00F456AD">
            <w:pPr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492557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6AD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F456A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702039" w:rsidRPr="00F456AD">
              <w:rPr>
                <w:rFonts w:asciiTheme="majorHAnsi" w:hAnsiTheme="majorHAnsi" w:cstheme="majorHAnsi"/>
                <w:sz w:val="22"/>
                <w:szCs w:val="22"/>
              </w:rPr>
              <w:t>Common Variable Meds</w:t>
            </w:r>
          </w:p>
          <w:p w14:paraId="07492892" w14:textId="77777777" w:rsidR="00C367EC" w:rsidRDefault="001860FA" w:rsidP="008468E4">
            <w:pPr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155493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6AD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F456A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B845FF" w:rsidRPr="00F456AD">
              <w:rPr>
                <w:rFonts w:asciiTheme="majorHAnsi" w:hAnsiTheme="majorHAnsi" w:cstheme="majorHAnsi"/>
                <w:sz w:val="22"/>
                <w:szCs w:val="22"/>
              </w:rPr>
              <w:t xml:space="preserve">Other: </w:t>
            </w:r>
            <w:r w:rsidR="00F456AD">
              <w:rPr>
                <w:rFonts w:asciiTheme="majorHAnsi" w:hAnsiTheme="majorHAnsi" w:cstheme="majorHAnsi"/>
                <w:sz w:val="22"/>
                <w:szCs w:val="22"/>
              </w:rPr>
              <w:t xml:space="preserve">Case/Control status on Phase I </w:t>
            </w:r>
            <w:r w:rsidR="00C367EC" w:rsidRPr="00F456A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088770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6AD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F456A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C367EC" w:rsidRPr="00F456AD">
              <w:rPr>
                <w:rFonts w:asciiTheme="majorHAnsi" w:hAnsiTheme="majorHAnsi" w:cstheme="majorHAnsi"/>
                <w:sz w:val="22"/>
                <w:szCs w:val="22"/>
              </w:rPr>
              <w:t>and Phase II phenotypes</w:t>
            </w:r>
          </w:p>
          <w:p w14:paraId="6EBF0C4F" w14:textId="1F226E68" w:rsidR="008468E4" w:rsidRPr="00376326" w:rsidRDefault="008468E4" w:rsidP="008468E4">
            <w:pPr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  <w:r w:rsidRPr="008468E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one</w:t>
            </w:r>
          </w:p>
        </w:tc>
      </w:tr>
      <w:tr w:rsidR="0025109A" w:rsidRPr="005F7C97" w14:paraId="12AAA7B2" w14:textId="77777777" w:rsidTr="00B70BE7">
        <w:trPr>
          <w:trHeight w:val="1033"/>
        </w:trPr>
        <w:tc>
          <w:tcPr>
            <w:tcW w:w="2700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C0C0EEA" w14:textId="13354544" w:rsidR="0025109A" w:rsidRPr="0074111E" w:rsidRDefault="003F367E" w:rsidP="00CF0D06">
            <w:pPr>
              <w:rPr>
                <w:rFonts w:ascii="Calibri Light" w:hAnsi="Calibri Light"/>
                <w:b/>
                <w:sz w:val="22"/>
              </w:rPr>
            </w:pPr>
            <w:r>
              <w:rPr>
                <w:rFonts w:ascii="Calibri Light" w:hAnsi="Calibri Light"/>
                <w:b/>
                <w:sz w:val="22"/>
              </w:rPr>
              <w:t xml:space="preserve">Other Desired </w:t>
            </w:r>
            <w:r w:rsidR="00D93D28">
              <w:rPr>
                <w:rFonts w:ascii="Calibri Light" w:hAnsi="Calibri Light"/>
                <w:b/>
                <w:sz w:val="22"/>
              </w:rPr>
              <w:t xml:space="preserve">Data </w:t>
            </w:r>
            <w:r w:rsidR="00D93D28" w:rsidRPr="00A726E3">
              <w:rPr>
                <w:rFonts w:ascii="Calibri Light" w:hAnsi="Calibri Light"/>
                <w:b/>
                <w:i/>
                <w:sz w:val="22"/>
              </w:rPr>
              <w:t>(Available from participating sites)</w:t>
            </w:r>
          </w:p>
        </w:tc>
        <w:tc>
          <w:tcPr>
            <w:tcW w:w="8551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12142A15" w14:textId="77777777" w:rsidR="0025109A" w:rsidRDefault="0025109A" w:rsidP="000B7654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0B765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Please specifically list out any </w:t>
            </w:r>
            <w:r w:rsidR="00D93D28">
              <w:rPr>
                <w:rFonts w:asciiTheme="majorHAnsi" w:hAnsiTheme="majorHAnsi" w:cstheme="majorHAnsi"/>
                <w:i/>
                <w:sz w:val="22"/>
                <w:szCs w:val="22"/>
              </w:rPr>
              <w:t>data elements</w:t>
            </w:r>
            <w:r w:rsidR="00D93D28" w:rsidRPr="000B765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</w:t>
            </w:r>
            <w:r w:rsidRPr="000B765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that </w:t>
            </w:r>
            <w:r w:rsidR="00D93D28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participating sites would collect or extract from clinical or other sources for this project </w:t>
            </w:r>
            <w:r w:rsidRPr="000B765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(i.e. not common variables above) </w:t>
            </w:r>
          </w:p>
          <w:p w14:paraId="01DCE786" w14:textId="1738EBE3" w:rsidR="008468E4" w:rsidRPr="008468E4" w:rsidRDefault="008468E4" w:rsidP="000B7654">
            <w:p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8468E4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None</w:t>
            </w: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– this is not a data analysis project</w:t>
            </w:r>
          </w:p>
        </w:tc>
      </w:tr>
      <w:tr w:rsidR="0093273D" w:rsidRPr="005F7C97" w14:paraId="1FFB5242" w14:textId="77777777" w:rsidTr="000C7750">
        <w:trPr>
          <w:trHeight w:val="2375"/>
        </w:trPr>
        <w:tc>
          <w:tcPr>
            <w:tcW w:w="2700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120A30D1" w14:textId="272B9566" w:rsidR="0093273D" w:rsidRPr="0074111E" w:rsidRDefault="0093273D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Desired </w:t>
            </w:r>
            <w:r w:rsidR="003F367E">
              <w:rPr>
                <w:rFonts w:ascii="Calibri Light" w:hAnsi="Calibri Light"/>
                <w:b/>
                <w:sz w:val="22"/>
              </w:rPr>
              <w:t xml:space="preserve">Genetic </w:t>
            </w:r>
            <w:r w:rsidR="00900D3C">
              <w:rPr>
                <w:rFonts w:ascii="Calibri Light" w:hAnsi="Calibri Light"/>
                <w:b/>
                <w:sz w:val="22"/>
              </w:rPr>
              <w:t>D</w:t>
            </w:r>
            <w:r w:rsidRPr="0074111E">
              <w:rPr>
                <w:rFonts w:ascii="Calibri Light" w:hAnsi="Calibri Light"/>
                <w:b/>
                <w:sz w:val="22"/>
              </w:rPr>
              <w:t>ata</w:t>
            </w:r>
          </w:p>
        </w:tc>
        <w:tc>
          <w:tcPr>
            <w:tcW w:w="8551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2BFF6FEF" w14:textId="6726249B" w:rsidR="0093273D" w:rsidRPr="00F456AD" w:rsidRDefault="001860FA" w:rsidP="00F456AD">
            <w:pPr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814146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6AD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F456A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376326" w:rsidRPr="00F456AD">
              <w:rPr>
                <w:rFonts w:asciiTheme="majorHAnsi" w:hAnsiTheme="majorHAnsi" w:cstheme="majorHAnsi"/>
                <w:sz w:val="22"/>
                <w:szCs w:val="22"/>
              </w:rPr>
              <w:t>eMERGE I-III Merged set (HRC imputed, GWAS)</w:t>
            </w:r>
          </w:p>
          <w:p w14:paraId="0175EB89" w14:textId="12C25C0B" w:rsidR="00376326" w:rsidRPr="00F456AD" w:rsidRDefault="001860FA" w:rsidP="00F456AD">
            <w:pPr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2041110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6AD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F456A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A14096" w:rsidRPr="00F456AD">
              <w:rPr>
                <w:rFonts w:asciiTheme="majorHAnsi" w:hAnsiTheme="majorHAnsi" w:cstheme="majorHAnsi"/>
                <w:sz w:val="22"/>
                <w:szCs w:val="22"/>
              </w:rPr>
              <w:t xml:space="preserve">eMERGE PGx/PGRNseq data set </w:t>
            </w:r>
          </w:p>
          <w:p w14:paraId="23D993BB" w14:textId="74BD27BF" w:rsidR="00376326" w:rsidRPr="00F456AD" w:rsidRDefault="001860FA" w:rsidP="00F456AD">
            <w:pPr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69794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6AD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F456A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376326" w:rsidRPr="00F456AD">
              <w:rPr>
                <w:rFonts w:asciiTheme="majorHAnsi" w:hAnsiTheme="majorHAnsi" w:cstheme="majorHAnsi"/>
                <w:sz w:val="22"/>
                <w:szCs w:val="22"/>
              </w:rPr>
              <w:t>eMERGEseq data set (Phase III)</w:t>
            </w:r>
          </w:p>
          <w:p w14:paraId="6D051FCF" w14:textId="5AE61600" w:rsidR="00376326" w:rsidRPr="00F456AD" w:rsidRDefault="001860FA" w:rsidP="00F456AD">
            <w:pPr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2075962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6AD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F456A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376326" w:rsidRPr="00F456AD">
              <w:rPr>
                <w:rFonts w:asciiTheme="majorHAnsi" w:hAnsiTheme="majorHAnsi" w:cstheme="majorHAnsi"/>
                <w:sz w:val="22"/>
                <w:szCs w:val="22"/>
              </w:rPr>
              <w:t>eMERGE Wh</w:t>
            </w:r>
            <w:r w:rsidR="0025109A" w:rsidRPr="00F456AD">
              <w:rPr>
                <w:rFonts w:asciiTheme="majorHAnsi" w:hAnsiTheme="majorHAnsi" w:cstheme="majorHAnsi"/>
                <w:sz w:val="22"/>
                <w:szCs w:val="22"/>
              </w:rPr>
              <w:t>o</w:t>
            </w:r>
            <w:r w:rsidR="00376326" w:rsidRPr="00F456AD">
              <w:rPr>
                <w:rFonts w:asciiTheme="majorHAnsi" w:hAnsiTheme="majorHAnsi" w:cstheme="majorHAnsi"/>
                <w:sz w:val="22"/>
                <w:szCs w:val="22"/>
              </w:rPr>
              <w:t>le Genome sequencing data set</w:t>
            </w:r>
          </w:p>
          <w:p w14:paraId="78A23A59" w14:textId="721E362A" w:rsidR="00376326" w:rsidRPr="00F456AD" w:rsidRDefault="001860FA" w:rsidP="00F456AD">
            <w:pPr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520283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6AD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F456A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376326" w:rsidRPr="00F456AD">
              <w:rPr>
                <w:rFonts w:asciiTheme="majorHAnsi" w:hAnsiTheme="majorHAnsi" w:cstheme="majorHAnsi"/>
                <w:sz w:val="22"/>
                <w:szCs w:val="22"/>
              </w:rPr>
              <w:t>eMERGE Exome chip data set</w:t>
            </w:r>
          </w:p>
          <w:p w14:paraId="4C7B91CA" w14:textId="793A136C" w:rsidR="00376326" w:rsidRPr="00F456AD" w:rsidRDefault="001860FA" w:rsidP="00F456AD">
            <w:pPr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788090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6AD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F456A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376326" w:rsidRPr="00F456AD">
              <w:rPr>
                <w:rFonts w:asciiTheme="majorHAnsi" w:hAnsiTheme="majorHAnsi" w:cstheme="majorHAnsi"/>
                <w:sz w:val="22"/>
                <w:szCs w:val="22"/>
              </w:rPr>
              <w:t>eMERGE Whole Exome sequencing data set</w:t>
            </w:r>
          </w:p>
          <w:p w14:paraId="50DD7644" w14:textId="77777777" w:rsidR="008468E4" w:rsidRDefault="001860FA" w:rsidP="00F456AD">
            <w:pPr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059011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6AD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F456A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571D40" w:rsidRPr="00F456AD">
              <w:rPr>
                <w:rFonts w:asciiTheme="majorHAnsi" w:hAnsiTheme="majorHAnsi" w:cstheme="majorHAnsi"/>
                <w:sz w:val="22"/>
                <w:szCs w:val="22"/>
              </w:rPr>
              <w:t>Other (not listed above):</w:t>
            </w:r>
            <w:r w:rsidR="008468E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02A57161" w14:textId="6FF83C2D" w:rsidR="00DC18BA" w:rsidRPr="008468E4" w:rsidRDefault="008468E4" w:rsidP="000C7750">
            <w:pPr>
              <w:ind w:left="36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468E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None</w:t>
            </w:r>
          </w:p>
        </w:tc>
      </w:tr>
      <w:tr w:rsidR="0063131E" w:rsidRPr="005F7C97" w14:paraId="214903AA" w14:textId="77777777" w:rsidTr="00B70BE7">
        <w:trPr>
          <w:trHeight w:val="669"/>
        </w:trPr>
        <w:tc>
          <w:tcPr>
            <w:tcW w:w="2700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312346B" w14:textId="2D0AED8F" w:rsidR="0063131E" w:rsidRPr="0074111E" w:rsidRDefault="0063131E" w:rsidP="00CF0D06">
            <w:pPr>
              <w:rPr>
                <w:rFonts w:ascii="Calibri Light" w:hAnsi="Calibri Light"/>
                <w:b/>
                <w:sz w:val="22"/>
              </w:rPr>
            </w:pPr>
            <w:r>
              <w:rPr>
                <w:rFonts w:ascii="Calibri Light" w:hAnsi="Calibri Light"/>
                <w:b/>
                <w:sz w:val="22"/>
              </w:rPr>
              <w:t>Does project pertain to an existing eMERGE Phenotype</w:t>
            </w:r>
            <w:r w:rsidR="00595E27">
              <w:rPr>
                <w:rFonts w:ascii="Calibri Light" w:hAnsi="Calibri Light"/>
                <w:b/>
                <w:sz w:val="22"/>
              </w:rPr>
              <w:t>?</w:t>
            </w:r>
          </w:p>
        </w:tc>
        <w:tc>
          <w:tcPr>
            <w:tcW w:w="8551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DC2A592" w14:textId="2C4759F8" w:rsidR="0063131E" w:rsidRPr="00F456AD" w:rsidRDefault="001860FA" w:rsidP="00F456AD">
            <w:pPr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871606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6AD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F456A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63131E" w:rsidRPr="00F456AD">
              <w:rPr>
                <w:rFonts w:asciiTheme="majorHAnsi" w:hAnsiTheme="majorHAnsi" w:cstheme="majorHAnsi"/>
                <w:sz w:val="22"/>
                <w:szCs w:val="22"/>
              </w:rPr>
              <w:t xml:space="preserve">Yes, if so please list                               </w:t>
            </w:r>
          </w:p>
          <w:p w14:paraId="2C71B567" w14:textId="171E27E5" w:rsidR="0063131E" w:rsidRPr="00F456AD" w:rsidRDefault="001860FA" w:rsidP="00F456AD">
            <w:pPr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6952670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8E4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F456A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63131E" w:rsidRPr="00F456AD">
              <w:rPr>
                <w:rFonts w:asciiTheme="majorHAnsi" w:hAnsiTheme="majorHAnsi" w:cstheme="majorHAnsi"/>
                <w:sz w:val="22"/>
                <w:szCs w:val="22"/>
              </w:rPr>
              <w:t>No</w:t>
            </w:r>
          </w:p>
        </w:tc>
      </w:tr>
      <w:tr w:rsidR="0093273D" w:rsidRPr="005F7C97" w14:paraId="46919102" w14:textId="77777777" w:rsidTr="00DC18BA">
        <w:trPr>
          <w:trHeight w:val="260"/>
        </w:trPr>
        <w:tc>
          <w:tcPr>
            <w:tcW w:w="2700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078F746A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Planned Statistical Analyses</w:t>
            </w:r>
          </w:p>
        </w:tc>
        <w:tc>
          <w:tcPr>
            <w:tcW w:w="8551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43950299" w14:textId="791E9B52" w:rsidR="0093273D" w:rsidRPr="008673B8" w:rsidRDefault="008468E4" w:rsidP="00DC18B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468E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None</w:t>
            </w:r>
            <w:r w:rsidR="00DC18BA">
              <w:rPr>
                <w:rFonts w:asciiTheme="majorHAnsi" w:hAnsiTheme="majorHAnsi" w:cstheme="majorHAnsi"/>
                <w:sz w:val="22"/>
                <w:szCs w:val="22"/>
              </w:rPr>
              <w:t xml:space="preserve">. </w:t>
            </w:r>
          </w:p>
        </w:tc>
      </w:tr>
      <w:tr w:rsidR="0093273D" w:rsidRPr="005F7C97" w14:paraId="2E60689F" w14:textId="77777777" w:rsidTr="00B70BE7">
        <w:trPr>
          <w:trHeight w:val="669"/>
        </w:trPr>
        <w:tc>
          <w:tcPr>
            <w:tcW w:w="2700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974C301" w14:textId="77777777" w:rsidR="0093273D" w:rsidRPr="0074111E" w:rsidRDefault="0093273D" w:rsidP="00900D3C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Ethical </w:t>
            </w:r>
            <w:r w:rsidR="00900D3C">
              <w:rPr>
                <w:rFonts w:ascii="Calibri Light" w:hAnsi="Calibri Light"/>
                <w:b/>
                <w:sz w:val="22"/>
              </w:rPr>
              <w:t>C</w:t>
            </w:r>
            <w:r w:rsidRPr="0074111E">
              <w:rPr>
                <w:rFonts w:ascii="Calibri Light" w:hAnsi="Calibri Light"/>
                <w:b/>
                <w:sz w:val="22"/>
              </w:rPr>
              <w:t>onsiderations</w:t>
            </w:r>
          </w:p>
        </w:tc>
        <w:tc>
          <w:tcPr>
            <w:tcW w:w="8551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4D7DC613" w14:textId="77777777" w:rsidR="0093273D" w:rsidRDefault="008468E4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This manuscript </w:t>
            </w:r>
            <w:r w:rsidR="00F744E4">
              <w:rPr>
                <w:rFonts w:asciiTheme="majorHAnsi" w:hAnsiTheme="majorHAnsi" w:cstheme="majorHAnsi"/>
                <w:sz w:val="22"/>
                <w:szCs w:val="22"/>
              </w:rPr>
              <w:t>will generate an ethical guideline for return of PRS information for pediatric participants</w:t>
            </w:r>
            <w:r w:rsidR="00DC18BA">
              <w:rPr>
                <w:rFonts w:asciiTheme="majorHAnsi" w:hAnsiTheme="majorHAnsi" w:cstheme="majorHAnsi"/>
                <w:sz w:val="22"/>
                <w:szCs w:val="22"/>
              </w:rPr>
              <w:t xml:space="preserve"> in research studies such as e4, and may serve as a template for return to other participant populations (e.g. minorities, age groups in the adult age range, etc.)</w:t>
            </w:r>
            <w:r w:rsidR="00F744E4">
              <w:rPr>
                <w:rFonts w:asciiTheme="majorHAnsi" w:hAnsiTheme="majorHAnsi" w:cstheme="majorHAnsi"/>
                <w:sz w:val="22"/>
                <w:szCs w:val="22"/>
              </w:rPr>
              <w:t>.</w:t>
            </w:r>
            <w:r w:rsidR="00DC18BA">
              <w:rPr>
                <w:rFonts w:asciiTheme="majorHAnsi" w:hAnsiTheme="majorHAnsi" w:cstheme="majorHAnsi"/>
                <w:sz w:val="22"/>
                <w:szCs w:val="22"/>
              </w:rPr>
              <w:t xml:space="preserve"> There are also commercial entities planning to return PRS data to parents of young children; while this manuscript will focus on return within the context of a research study, we may also provide insights for clinical and commercial efforts.</w:t>
            </w:r>
          </w:p>
          <w:p w14:paraId="4E264CE2" w14:textId="188BFD36" w:rsidR="00DC18BA" w:rsidRPr="008673B8" w:rsidRDefault="00DC18BA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3273D" w:rsidRPr="005F7C97" w14:paraId="72C6FF4B" w14:textId="77777777" w:rsidTr="00DC18BA">
        <w:trPr>
          <w:trHeight w:val="341"/>
        </w:trPr>
        <w:tc>
          <w:tcPr>
            <w:tcW w:w="2700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39A7287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Target Journal</w:t>
            </w:r>
          </w:p>
        </w:tc>
        <w:tc>
          <w:tcPr>
            <w:tcW w:w="8551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098C9F46" w14:textId="1C930BD7" w:rsidR="00DC18BA" w:rsidRPr="008673B8" w:rsidRDefault="00F744E4" w:rsidP="00B70BE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To be discussed by authors</w:t>
            </w:r>
            <w:r w:rsidR="00B70BE7">
              <w:rPr>
                <w:rFonts w:asciiTheme="majorHAnsi" w:hAnsiTheme="majorHAnsi" w:cstheme="majorHAnsi"/>
                <w:sz w:val="22"/>
                <w:szCs w:val="22"/>
              </w:rPr>
              <w:t xml:space="preserve">; potentially </w:t>
            </w:r>
            <w:r w:rsidRPr="00B70BE7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Genetics in Medicine</w:t>
            </w:r>
            <w:r w:rsidR="000C7750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 </w:t>
            </w:r>
            <w:r w:rsidR="000C7750">
              <w:rPr>
                <w:rFonts w:asciiTheme="majorHAnsi" w:hAnsiTheme="majorHAnsi" w:cstheme="majorHAnsi"/>
                <w:sz w:val="22"/>
                <w:szCs w:val="22"/>
              </w:rPr>
              <w:t>vs a pediatric journal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</w:tr>
      <w:tr w:rsidR="0093273D" w:rsidRPr="005F7C97" w14:paraId="67A1F9A2" w14:textId="77777777" w:rsidTr="000C7750">
        <w:trPr>
          <w:trHeight w:val="1070"/>
        </w:trPr>
        <w:tc>
          <w:tcPr>
            <w:tcW w:w="2700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73CC94B" w14:textId="77777777" w:rsidR="00376326" w:rsidRDefault="00376326" w:rsidP="00CF0D06">
            <w:pPr>
              <w:rPr>
                <w:rFonts w:ascii="Calibri Light" w:hAnsi="Calibri Light"/>
                <w:b/>
                <w:sz w:val="22"/>
              </w:rPr>
            </w:pPr>
          </w:p>
          <w:p w14:paraId="5DF07AF9" w14:textId="38107E6E" w:rsidR="00376326" w:rsidRPr="0074111E" w:rsidRDefault="00376326" w:rsidP="00DC18BA">
            <w:pPr>
              <w:rPr>
                <w:rFonts w:ascii="Calibri Light" w:hAnsi="Calibri Light"/>
                <w:b/>
                <w:sz w:val="22"/>
              </w:rPr>
            </w:pPr>
            <w:r>
              <w:rPr>
                <w:rFonts w:ascii="Calibri Light" w:hAnsi="Calibri Light"/>
                <w:b/>
                <w:sz w:val="22"/>
              </w:rPr>
              <w:t>Milestones</w:t>
            </w:r>
          </w:p>
        </w:tc>
        <w:tc>
          <w:tcPr>
            <w:tcW w:w="8551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6DAA7CF8" w14:textId="431DE20E" w:rsidR="0093273D" w:rsidRDefault="00B70BE7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September and October 2020 – Pediatric Subgroup Meetings</w:t>
            </w:r>
          </w:p>
          <w:p w14:paraId="6C760641" w14:textId="68B089D3" w:rsidR="00B70BE7" w:rsidRDefault="00B70BE7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November and December 2020 – Generation of First Draft of Manuscript by Writing Group</w:t>
            </w:r>
          </w:p>
          <w:p w14:paraId="57A44C1A" w14:textId="50E20352" w:rsidR="00B70BE7" w:rsidRDefault="00B70BE7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January 202</w:t>
            </w:r>
            <w:r w:rsidR="005935E2">
              <w:rPr>
                <w:rFonts w:asciiTheme="majorHAnsi" w:hAnsiTheme="majorHAnsi" w:cstheme="majorHAnsi"/>
                <w:sz w:val="22"/>
                <w:szCs w:val="22"/>
              </w:rPr>
              <w:t>1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– Circulation of Manuscript to All Authors</w:t>
            </w:r>
          </w:p>
          <w:p w14:paraId="4089201E" w14:textId="6BCF0F36" w:rsidR="0093273D" w:rsidRPr="008673B8" w:rsidRDefault="00B70BE7" w:rsidP="000C775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Februar</w:t>
            </w:r>
            <w:r w:rsidR="00F73D44">
              <w:rPr>
                <w:rFonts w:asciiTheme="majorHAnsi" w:hAnsiTheme="majorHAnsi" w:cstheme="majorHAnsi"/>
                <w:sz w:val="22"/>
                <w:szCs w:val="22"/>
              </w:rPr>
              <w:t>y 202</w:t>
            </w:r>
            <w:r w:rsidR="005935E2">
              <w:rPr>
                <w:rFonts w:asciiTheme="majorHAnsi" w:hAnsiTheme="majorHAnsi" w:cstheme="majorHAnsi"/>
                <w:sz w:val="22"/>
                <w:szCs w:val="22"/>
              </w:rPr>
              <w:t>1</w:t>
            </w:r>
            <w:r w:rsidR="00F73D44">
              <w:rPr>
                <w:rFonts w:asciiTheme="majorHAnsi" w:hAnsiTheme="majorHAnsi" w:cstheme="majorHAnsi"/>
                <w:sz w:val="22"/>
                <w:szCs w:val="22"/>
              </w:rPr>
              <w:t xml:space="preserve"> – Manuscript Submission to Journal</w:t>
            </w:r>
          </w:p>
        </w:tc>
      </w:tr>
    </w:tbl>
    <w:p w14:paraId="125B978C" w14:textId="2D7CF443" w:rsidR="00B845FF" w:rsidRPr="00B845FF" w:rsidRDefault="00B845FF" w:rsidP="0093273D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*</w:t>
      </w:r>
      <w:r w:rsidRPr="00B845FF">
        <w:rPr>
          <w:rFonts w:asciiTheme="majorHAnsi" w:hAnsiTheme="majorHAnsi" w:cstheme="majorHAnsi"/>
          <w:b/>
          <w:sz w:val="22"/>
          <w:szCs w:val="22"/>
        </w:rPr>
        <w:t xml:space="preserve">Common Variables available across all datasets: </w:t>
      </w:r>
    </w:p>
    <w:p w14:paraId="7175EACE" w14:textId="05B4AA9C" w:rsidR="00B845FF" w:rsidRDefault="00B845FF" w:rsidP="00B845F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B845FF">
        <w:rPr>
          <w:rFonts w:asciiTheme="majorHAnsi" w:hAnsiTheme="majorHAnsi" w:cstheme="majorHAnsi"/>
          <w:sz w:val="22"/>
          <w:szCs w:val="22"/>
          <w:u w:val="single"/>
        </w:rPr>
        <w:t>Demographics:</w:t>
      </w:r>
      <w:r w:rsidRPr="00B845FF">
        <w:rPr>
          <w:rFonts w:asciiTheme="majorHAnsi" w:hAnsiTheme="majorHAnsi" w:cstheme="majorHAnsi"/>
          <w:sz w:val="22"/>
          <w:szCs w:val="22"/>
        </w:rPr>
        <w:t xml:space="preserve"> sex, year of birth, decade of birth</w:t>
      </w:r>
      <w:r>
        <w:rPr>
          <w:rFonts w:asciiTheme="majorHAnsi" w:hAnsiTheme="majorHAnsi" w:cstheme="majorHAnsi"/>
          <w:sz w:val="22"/>
          <w:szCs w:val="22"/>
        </w:rPr>
        <w:t>, race, ethnicity</w:t>
      </w:r>
    </w:p>
    <w:p w14:paraId="7F01D5EB" w14:textId="10864760" w:rsidR="0025109A" w:rsidRPr="000B7654" w:rsidRDefault="0025109A" w:rsidP="00B845F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0B7654">
        <w:rPr>
          <w:rFonts w:ascii="Calibri" w:hAnsi="Calibri" w:cs="Calibri"/>
          <w:bCs/>
          <w:sz w:val="22"/>
          <w:szCs w:val="22"/>
          <w:u w:val="single"/>
        </w:rPr>
        <w:t>Codes</w:t>
      </w:r>
      <w:r>
        <w:rPr>
          <w:rFonts w:ascii="Calibri" w:hAnsi="Calibri" w:cs="Calibri"/>
          <w:sz w:val="22"/>
          <w:szCs w:val="22"/>
        </w:rPr>
        <w:t>: (repeated values &amp; age at event): ICD, CPT, Phecodes</w:t>
      </w:r>
    </w:p>
    <w:p w14:paraId="6BED64D8" w14:textId="6F4E52DB" w:rsidR="0025109A" w:rsidRPr="00B845FF" w:rsidRDefault="0025109A" w:rsidP="0025109A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  <w:u w:val="single"/>
        </w:rPr>
        <w:t>BMI</w:t>
      </w:r>
      <w:r w:rsidRPr="000B7654">
        <w:rPr>
          <w:rFonts w:asciiTheme="majorHAnsi" w:hAnsiTheme="majorHAnsi" w:cstheme="majorHAnsi"/>
          <w:sz w:val="22"/>
          <w:szCs w:val="22"/>
        </w:rPr>
        <w:t>: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(repeated value &amp; age at event) height, weight, BMI</w:t>
      </w:r>
    </w:p>
    <w:p w14:paraId="086143C4" w14:textId="710618D0" w:rsidR="00B845FF" w:rsidRDefault="00B845FF" w:rsidP="00B845F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B845FF">
        <w:rPr>
          <w:rFonts w:asciiTheme="majorHAnsi" w:hAnsiTheme="majorHAnsi" w:cstheme="majorHAnsi"/>
          <w:sz w:val="22"/>
          <w:szCs w:val="22"/>
          <w:u w:val="single"/>
        </w:rPr>
        <w:t>Labs</w:t>
      </w:r>
      <w:r w:rsidRPr="000B7654">
        <w:rPr>
          <w:rFonts w:asciiTheme="majorHAnsi" w:hAnsiTheme="majorHAnsi" w:cstheme="majorHAnsi"/>
          <w:sz w:val="22"/>
          <w:szCs w:val="22"/>
        </w:rPr>
        <w:t>:</w:t>
      </w:r>
      <w:r w:rsidR="0025109A" w:rsidRPr="000B7654">
        <w:rPr>
          <w:rFonts w:asciiTheme="majorHAnsi" w:hAnsiTheme="majorHAnsi" w:cstheme="majorHAnsi"/>
          <w:sz w:val="22"/>
          <w:szCs w:val="22"/>
        </w:rPr>
        <w:t xml:space="preserve"> (lab </w:t>
      </w:r>
      <w:r w:rsidR="0025109A">
        <w:rPr>
          <w:rFonts w:ascii="Calibri" w:hAnsi="Calibri" w:cs="Calibri"/>
          <w:sz w:val="22"/>
          <w:szCs w:val="22"/>
        </w:rPr>
        <w:t>name, repeated lab value &amp; age at event)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B845FF">
        <w:rPr>
          <w:rFonts w:asciiTheme="majorHAnsi" w:hAnsiTheme="majorHAnsi" w:cstheme="majorHAnsi"/>
          <w:sz w:val="22"/>
          <w:szCs w:val="22"/>
        </w:rPr>
        <w:t>Serum total cholesterol, LDL, HDL, Triglycerides, Glucose fasting/non</w:t>
      </w:r>
      <w:r>
        <w:rPr>
          <w:rFonts w:asciiTheme="majorHAnsi" w:hAnsiTheme="majorHAnsi" w:cstheme="majorHAnsi"/>
          <w:sz w:val="22"/>
          <w:szCs w:val="22"/>
        </w:rPr>
        <w:t>-</w:t>
      </w:r>
      <w:r w:rsidRPr="00B845FF">
        <w:rPr>
          <w:rFonts w:asciiTheme="majorHAnsi" w:hAnsiTheme="majorHAnsi" w:cstheme="majorHAnsi"/>
          <w:sz w:val="22"/>
          <w:szCs w:val="22"/>
        </w:rPr>
        <w:t>fasting/unknown, &amp; White Blood Cell count</w:t>
      </w:r>
    </w:p>
    <w:p w14:paraId="68117FC0" w14:textId="2E6C0420" w:rsidR="00B845FF" w:rsidRPr="00B845FF" w:rsidRDefault="00B845FF" w:rsidP="00B845F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B845FF">
        <w:rPr>
          <w:rFonts w:asciiTheme="majorHAnsi" w:hAnsiTheme="majorHAnsi" w:cstheme="majorHAnsi"/>
          <w:sz w:val="22"/>
          <w:szCs w:val="22"/>
          <w:u w:val="single"/>
        </w:rPr>
        <w:t>Med</w:t>
      </w:r>
      <w:r w:rsidR="0025109A">
        <w:rPr>
          <w:rFonts w:asciiTheme="majorHAnsi" w:hAnsiTheme="majorHAnsi" w:cstheme="majorHAnsi"/>
          <w:sz w:val="22"/>
          <w:szCs w:val="22"/>
          <w:u w:val="single"/>
        </w:rPr>
        <w:t>ications</w:t>
      </w:r>
      <w:r w:rsidRPr="000B7654">
        <w:rPr>
          <w:rFonts w:asciiTheme="majorHAnsi" w:hAnsiTheme="majorHAnsi" w:cstheme="majorHAnsi"/>
          <w:sz w:val="22"/>
          <w:szCs w:val="22"/>
        </w:rPr>
        <w:t>:</w:t>
      </w:r>
      <w:r w:rsidR="0025109A" w:rsidRPr="000B7654">
        <w:rPr>
          <w:rFonts w:asciiTheme="majorHAnsi" w:hAnsiTheme="majorHAnsi" w:cstheme="majorHAnsi"/>
          <w:sz w:val="22"/>
          <w:szCs w:val="22"/>
        </w:rPr>
        <w:t xml:space="preserve"> (medication name, repeated, &amp; age at event)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B845FF">
        <w:rPr>
          <w:rFonts w:asciiTheme="majorHAnsi" w:hAnsiTheme="majorHAnsi" w:cstheme="majorHAnsi"/>
          <w:sz w:val="22"/>
          <w:szCs w:val="22"/>
        </w:rPr>
        <w:t xml:space="preserve">Cerivastatin sodium, Rosuvastatin, Simvastatin, Fluvastatin, Pravastatin, Lovastatin, Atorvastatin, &amp; </w:t>
      </w:r>
      <w:proofErr w:type="spellStart"/>
      <w:r w:rsidRPr="00B845FF">
        <w:rPr>
          <w:rFonts w:asciiTheme="majorHAnsi" w:hAnsiTheme="majorHAnsi" w:cstheme="majorHAnsi"/>
          <w:sz w:val="22"/>
          <w:szCs w:val="22"/>
        </w:rPr>
        <w:t>Pitavastatin</w:t>
      </w:r>
      <w:proofErr w:type="spellEnd"/>
    </w:p>
    <w:p w14:paraId="5FD06937" w14:textId="23CD52CD" w:rsidR="00571D40" w:rsidRPr="000C7750" w:rsidRDefault="00B845FF" w:rsidP="00EE5661">
      <w:pPr>
        <w:pStyle w:val="ListParagraph"/>
        <w:numPr>
          <w:ilvl w:val="0"/>
          <w:numId w:val="4"/>
        </w:numPr>
        <w:rPr>
          <w:rFonts w:asciiTheme="majorHAnsi" w:hAnsiTheme="majorHAnsi"/>
          <w:i/>
          <w:sz w:val="22"/>
        </w:rPr>
      </w:pPr>
      <w:r w:rsidRPr="000C7750">
        <w:rPr>
          <w:rFonts w:asciiTheme="majorHAnsi" w:hAnsiTheme="majorHAnsi" w:cstheme="majorHAnsi"/>
          <w:sz w:val="22"/>
          <w:szCs w:val="22"/>
          <w:u w:val="single"/>
        </w:rPr>
        <w:t>Other: Case/Control status on Phase I and Phase II phenotype:</w:t>
      </w:r>
      <w:r w:rsidRPr="000C7750">
        <w:rPr>
          <w:rFonts w:asciiTheme="majorHAnsi" w:hAnsiTheme="majorHAnsi" w:cstheme="majorHAnsi"/>
          <w:sz w:val="22"/>
          <w:szCs w:val="22"/>
        </w:rPr>
        <w:t xml:space="preserve"> only on GWAS dataset participants</w:t>
      </w:r>
    </w:p>
    <w:p w14:paraId="0999B423" w14:textId="5D9762FE" w:rsidR="00571D40" w:rsidRPr="0093273D" w:rsidRDefault="00571D40" w:rsidP="0093273D">
      <w:pPr>
        <w:rPr>
          <w:rFonts w:asciiTheme="majorHAnsi" w:hAnsiTheme="majorHAnsi"/>
          <w:i/>
          <w:sz w:val="22"/>
        </w:rPr>
      </w:pPr>
    </w:p>
    <w:sectPr w:rsidR="00571D40" w:rsidRPr="0093273D" w:rsidSect="0093273D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6239A4" w14:textId="77777777" w:rsidR="004E507B" w:rsidRDefault="004E507B" w:rsidP="0093273D">
      <w:r>
        <w:separator/>
      </w:r>
    </w:p>
  </w:endnote>
  <w:endnote w:type="continuationSeparator" w:id="0">
    <w:p w14:paraId="0FF4E19C" w14:textId="77777777" w:rsidR="004E507B" w:rsidRDefault="004E507B" w:rsidP="00932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hAnsiTheme="majorHAnsi"/>
        <w:sz w:val="22"/>
      </w:rPr>
      <w:id w:val="-8170994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EDAD3C" w14:textId="73E1FD75" w:rsidR="0093273D" w:rsidRPr="0093273D" w:rsidRDefault="0093273D">
        <w:pPr>
          <w:pStyle w:val="Footer"/>
          <w:jc w:val="center"/>
          <w:rPr>
            <w:rFonts w:asciiTheme="majorHAnsi" w:hAnsiTheme="majorHAnsi"/>
            <w:sz w:val="22"/>
          </w:rPr>
        </w:pPr>
        <w:r w:rsidRPr="0093273D">
          <w:rPr>
            <w:rFonts w:asciiTheme="majorHAnsi" w:hAnsiTheme="majorHAnsi"/>
            <w:sz w:val="22"/>
          </w:rPr>
          <w:fldChar w:fldCharType="begin"/>
        </w:r>
        <w:r w:rsidRPr="0093273D">
          <w:rPr>
            <w:rFonts w:asciiTheme="majorHAnsi" w:hAnsiTheme="majorHAnsi"/>
            <w:sz w:val="22"/>
          </w:rPr>
          <w:instrText xml:space="preserve"> PAGE   \* MERGEFORMAT </w:instrText>
        </w:r>
        <w:r w:rsidRPr="0093273D">
          <w:rPr>
            <w:rFonts w:asciiTheme="majorHAnsi" w:hAnsiTheme="majorHAnsi"/>
            <w:sz w:val="22"/>
          </w:rPr>
          <w:fldChar w:fldCharType="separate"/>
        </w:r>
        <w:r w:rsidR="00BB7DAD">
          <w:rPr>
            <w:rFonts w:asciiTheme="majorHAnsi" w:hAnsiTheme="majorHAnsi"/>
            <w:noProof/>
            <w:sz w:val="22"/>
          </w:rPr>
          <w:t>1</w:t>
        </w:r>
        <w:r w:rsidRPr="0093273D">
          <w:rPr>
            <w:rFonts w:asciiTheme="majorHAnsi" w:hAnsiTheme="majorHAnsi"/>
            <w:noProof/>
            <w:sz w:val="22"/>
          </w:rPr>
          <w:fldChar w:fldCharType="end"/>
        </w:r>
      </w:p>
    </w:sdtContent>
  </w:sdt>
  <w:p w14:paraId="6C1BB607" w14:textId="77777777" w:rsidR="0093273D" w:rsidRDefault="009327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FDC473" w14:textId="77777777" w:rsidR="004E507B" w:rsidRDefault="004E507B" w:rsidP="0093273D">
      <w:r>
        <w:separator/>
      </w:r>
    </w:p>
  </w:footnote>
  <w:footnote w:type="continuationSeparator" w:id="0">
    <w:p w14:paraId="08232F96" w14:textId="77777777" w:rsidR="004E507B" w:rsidRDefault="004E507B" w:rsidP="00932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538B53" w14:textId="77777777" w:rsidR="0093273D" w:rsidRDefault="0093273D">
    <w:pPr>
      <w:pStyle w:val="Header"/>
    </w:pPr>
    <w:r>
      <w:rPr>
        <w:noProof/>
      </w:rPr>
      <w:drawing>
        <wp:inline distT="0" distB="0" distL="0" distR="0" wp14:anchorId="3C8C5533" wp14:editId="6EAD5EFD">
          <wp:extent cx="1454263" cy="1809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ERGE logo (blue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103" cy="182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F0A7D"/>
    <w:multiLevelType w:val="hybridMultilevel"/>
    <w:tmpl w:val="1FF210B6"/>
    <w:lvl w:ilvl="0" w:tplc="06CE69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723EC"/>
    <w:multiLevelType w:val="hybridMultilevel"/>
    <w:tmpl w:val="A39E7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57AF4"/>
    <w:multiLevelType w:val="hybridMultilevel"/>
    <w:tmpl w:val="55540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4763A"/>
    <w:multiLevelType w:val="hybridMultilevel"/>
    <w:tmpl w:val="9B386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E21A6"/>
    <w:multiLevelType w:val="hybridMultilevel"/>
    <w:tmpl w:val="06C03D68"/>
    <w:lvl w:ilvl="0" w:tplc="06CE69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73D"/>
    <w:rsid w:val="0000600E"/>
    <w:rsid w:val="000111E1"/>
    <w:rsid w:val="000A12A3"/>
    <w:rsid w:val="000A4A26"/>
    <w:rsid w:val="000B7654"/>
    <w:rsid w:val="000C7750"/>
    <w:rsid w:val="000F7F5A"/>
    <w:rsid w:val="00100603"/>
    <w:rsid w:val="00117500"/>
    <w:rsid w:val="00124206"/>
    <w:rsid w:val="001262E8"/>
    <w:rsid w:val="00155AF5"/>
    <w:rsid w:val="001860FA"/>
    <w:rsid w:val="001A40D2"/>
    <w:rsid w:val="001F3540"/>
    <w:rsid w:val="0025109A"/>
    <w:rsid w:val="00376326"/>
    <w:rsid w:val="00381532"/>
    <w:rsid w:val="003F367E"/>
    <w:rsid w:val="00491854"/>
    <w:rsid w:val="004C47E9"/>
    <w:rsid w:val="004D7F55"/>
    <w:rsid w:val="004E507B"/>
    <w:rsid w:val="00571D40"/>
    <w:rsid w:val="005935E2"/>
    <w:rsid w:val="00594CF3"/>
    <w:rsid w:val="00595E27"/>
    <w:rsid w:val="00614403"/>
    <w:rsid w:val="006166BF"/>
    <w:rsid w:val="00625689"/>
    <w:rsid w:val="0063131E"/>
    <w:rsid w:val="00674AB9"/>
    <w:rsid w:val="006B222E"/>
    <w:rsid w:val="00702039"/>
    <w:rsid w:val="007C6C17"/>
    <w:rsid w:val="007F3F81"/>
    <w:rsid w:val="00813CED"/>
    <w:rsid w:val="008468E4"/>
    <w:rsid w:val="008673B8"/>
    <w:rsid w:val="008B0CE2"/>
    <w:rsid w:val="008D1124"/>
    <w:rsid w:val="008E369F"/>
    <w:rsid w:val="00900D3C"/>
    <w:rsid w:val="009250BF"/>
    <w:rsid w:val="0093273D"/>
    <w:rsid w:val="00965B8D"/>
    <w:rsid w:val="009F4E8C"/>
    <w:rsid w:val="00A14096"/>
    <w:rsid w:val="00A5267D"/>
    <w:rsid w:val="00A674F0"/>
    <w:rsid w:val="00A726E3"/>
    <w:rsid w:val="00AA5F83"/>
    <w:rsid w:val="00AF586E"/>
    <w:rsid w:val="00B44FBB"/>
    <w:rsid w:val="00B65E19"/>
    <w:rsid w:val="00B67A4E"/>
    <w:rsid w:val="00B70BE7"/>
    <w:rsid w:val="00B845FF"/>
    <w:rsid w:val="00BB7DAD"/>
    <w:rsid w:val="00BF1599"/>
    <w:rsid w:val="00C14017"/>
    <w:rsid w:val="00C367EC"/>
    <w:rsid w:val="00D80E43"/>
    <w:rsid w:val="00D93D28"/>
    <w:rsid w:val="00DC18BA"/>
    <w:rsid w:val="00DE4CB3"/>
    <w:rsid w:val="00E14D06"/>
    <w:rsid w:val="00EC320B"/>
    <w:rsid w:val="00F05B0A"/>
    <w:rsid w:val="00F231BD"/>
    <w:rsid w:val="00F456AD"/>
    <w:rsid w:val="00F73D44"/>
    <w:rsid w:val="00F744E4"/>
    <w:rsid w:val="00FD49BF"/>
    <w:rsid w:val="00FE1A15"/>
    <w:rsid w:val="00FF28E2"/>
    <w:rsid w:val="00FF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1748B2"/>
  <w15:chartTrackingRefBased/>
  <w15:docId w15:val="{8746F0F6-E1BE-41BE-A478-8FEEAB82A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27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73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27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73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763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56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6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68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6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68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6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689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594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66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Howell</dc:creator>
  <cp:keywords/>
  <dc:description/>
  <cp:lastModifiedBy>Stone, Michelle</cp:lastModifiedBy>
  <cp:revision>4</cp:revision>
  <dcterms:created xsi:type="dcterms:W3CDTF">2020-10-01T16:48:00Z</dcterms:created>
  <dcterms:modified xsi:type="dcterms:W3CDTF">2020-10-06T17:03:00Z</dcterms:modified>
</cp:coreProperties>
</file>