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E4D5126" w:rsidR="0093273D" w:rsidRPr="008673B8" w:rsidRDefault="00CA70EF" w:rsidP="00CF0D06">
            <w:pPr>
              <w:rPr>
                <w:rFonts w:asciiTheme="majorHAnsi" w:hAnsiTheme="majorHAnsi" w:cstheme="majorHAnsi"/>
                <w:sz w:val="22"/>
                <w:szCs w:val="22"/>
              </w:rPr>
            </w:pPr>
            <w:r>
              <w:rPr>
                <w:rFonts w:asciiTheme="majorHAnsi" w:hAnsiTheme="majorHAnsi" w:cstheme="majorHAnsi"/>
                <w:sz w:val="22"/>
                <w:szCs w:val="22"/>
              </w:rPr>
              <w:t>NT430</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7B9E531" w:rsidR="0093273D" w:rsidRPr="008673B8" w:rsidRDefault="0058096D" w:rsidP="00CF0D06">
            <w:pPr>
              <w:rPr>
                <w:rFonts w:asciiTheme="majorHAnsi" w:hAnsiTheme="majorHAnsi" w:cstheme="majorHAnsi"/>
                <w:sz w:val="22"/>
                <w:szCs w:val="22"/>
              </w:rPr>
            </w:pPr>
            <w:r>
              <w:rPr>
                <w:rFonts w:asciiTheme="majorHAnsi" w:hAnsiTheme="majorHAnsi" w:cstheme="majorHAnsi"/>
                <w:sz w:val="22"/>
                <w:szCs w:val="22"/>
              </w:rPr>
              <w:t>08/11/2021</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41257B48" w:rsidR="0093273D" w:rsidRPr="008673B8" w:rsidRDefault="0058096D" w:rsidP="00CF0D06">
            <w:pPr>
              <w:rPr>
                <w:rFonts w:asciiTheme="majorHAnsi" w:hAnsiTheme="majorHAnsi" w:cstheme="majorHAnsi"/>
                <w:sz w:val="22"/>
                <w:szCs w:val="22"/>
              </w:rPr>
            </w:pPr>
            <w:r>
              <w:rPr>
                <w:rFonts w:asciiTheme="majorHAnsi" w:hAnsiTheme="majorHAnsi" w:cstheme="majorHAnsi"/>
                <w:sz w:val="22"/>
                <w:szCs w:val="22"/>
              </w:rPr>
              <w:t>Carfilzomib-related cardiotoxicity</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463C284F" w:rsidR="0093273D" w:rsidRPr="008673B8" w:rsidRDefault="0058096D" w:rsidP="00CF0D06">
            <w:pPr>
              <w:rPr>
                <w:rFonts w:asciiTheme="majorHAnsi" w:hAnsiTheme="majorHAnsi" w:cstheme="majorHAnsi"/>
                <w:sz w:val="22"/>
                <w:szCs w:val="22"/>
              </w:rPr>
            </w:pPr>
            <w:r>
              <w:rPr>
                <w:rFonts w:asciiTheme="majorHAnsi" w:hAnsiTheme="majorHAnsi" w:cstheme="majorHAnsi"/>
                <w:sz w:val="22"/>
                <w:szCs w:val="22"/>
              </w:rPr>
              <w:t>Marwa Tantawy</w:t>
            </w:r>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649D0DF4" w:rsidR="009B3688" w:rsidRPr="008673B8" w:rsidRDefault="00F53737" w:rsidP="00CF0D06">
            <w:pPr>
              <w:rPr>
                <w:rFonts w:asciiTheme="majorHAnsi" w:hAnsiTheme="majorHAnsi" w:cstheme="majorHAnsi"/>
                <w:sz w:val="22"/>
                <w:szCs w:val="22"/>
              </w:rPr>
            </w:pPr>
            <w:r>
              <w:rPr>
                <w:color w:val="1F497D"/>
                <w:lang w:val="en-GB"/>
              </w:rPr>
              <w:t> </w:t>
            </w:r>
            <w:hyperlink r:id="rId8" w:history="1">
              <w:r>
                <w:rPr>
                  <w:rStyle w:val="Hyperlink"/>
                  <w:lang w:val="en-GB"/>
                </w:rPr>
                <w:t>mtantawy@cop.ufl.edu</w:t>
              </w:r>
            </w:hyperlink>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2C3809E7" w:rsidR="0093273D" w:rsidRPr="008673B8" w:rsidRDefault="0058096D" w:rsidP="00CF0D06">
            <w:pPr>
              <w:rPr>
                <w:rFonts w:asciiTheme="majorHAnsi" w:hAnsiTheme="majorHAnsi" w:cstheme="majorHAnsi"/>
                <w:sz w:val="22"/>
                <w:szCs w:val="22"/>
              </w:rPr>
            </w:pPr>
            <w:r>
              <w:rPr>
                <w:rFonts w:asciiTheme="majorHAnsi" w:hAnsiTheme="majorHAnsi" w:cstheme="majorHAnsi"/>
                <w:sz w:val="22"/>
                <w:szCs w:val="22"/>
              </w:rPr>
              <w:t>Yan Gong</w:t>
            </w:r>
            <w:r w:rsidR="001E1395">
              <w:rPr>
                <w:rFonts w:asciiTheme="majorHAnsi" w:hAnsiTheme="majorHAnsi" w:cstheme="majorHAnsi"/>
                <w:sz w:val="22"/>
                <w:szCs w:val="22"/>
              </w:rPr>
              <w:t>, gong@cop.ufl.edu</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829879" w14:textId="7379C1BC" w:rsidR="001600A1" w:rsidRDefault="001600A1" w:rsidP="00B770AE">
            <w:pPr>
              <w:spacing w:after="120"/>
              <w:jc w:val="both"/>
              <w:rPr>
                <w:rFonts w:ascii="Arial" w:hAnsi="Arial" w:cs="Arial"/>
                <w:b/>
              </w:rPr>
            </w:pPr>
            <w:r w:rsidRPr="001600A1">
              <w:rPr>
                <w:rFonts w:asciiTheme="minorHAnsi" w:hAnsiTheme="minorHAnsi" w:cstheme="minorHAnsi"/>
                <w:sz w:val="22"/>
              </w:rPr>
              <w:t>Cardiotoxicity, such as heart failure (HF), related to the proteasome inhibitor carfilzomib, is an increasingly recognized adverse event that contributes to the symptom burden and poor outcomes of multiple myeloma (MM) patients. I</w:t>
            </w:r>
            <w:r w:rsidRPr="001600A1">
              <w:rPr>
                <w:rFonts w:asciiTheme="minorHAnsi" w:hAnsiTheme="minorHAnsi" w:cstheme="minorHAnsi"/>
                <w:color w:val="000000" w:themeColor="text1"/>
                <w:sz w:val="22"/>
              </w:rPr>
              <w:t xml:space="preserve">dentification of risk factors for carfilzomib-associated cardiotoxicities could enable preemptive ascertainment of at-risk patients who would benefit from management options, including prioritizing the use of alternative agents or managing risk factors. </w:t>
            </w:r>
            <w:r w:rsidRPr="001600A1">
              <w:rPr>
                <w:rFonts w:asciiTheme="minorHAnsi" w:hAnsiTheme="minorHAnsi" w:cstheme="minorHAnsi"/>
                <w:sz w:val="22"/>
              </w:rPr>
              <w:t xml:space="preserve">Given the </w:t>
            </w:r>
            <w:r w:rsidRPr="001600A1">
              <w:rPr>
                <w:rFonts w:asciiTheme="minorHAnsi" w:hAnsiTheme="minorHAnsi" w:cstheme="minorHAnsi"/>
                <w:bCs/>
                <w:sz w:val="22"/>
              </w:rPr>
              <w:t>knowledge gap</w:t>
            </w:r>
            <w:r w:rsidRPr="001600A1">
              <w:rPr>
                <w:rFonts w:asciiTheme="minorHAnsi" w:hAnsiTheme="minorHAnsi" w:cstheme="minorHAnsi"/>
                <w:sz w:val="22"/>
              </w:rPr>
              <w:t xml:space="preserve"> in the understanding of carfilzomib-related cardiotoxicity, a pharmacogenomic approach may identify predictive pharmacogenomic/metabolomic biomarkers of cardiotoxic adverse effects and provide an opportunity to improve cardiovascular outcomes of cancer patients in a personalized manner. Our long-term goal is to identify and institute preventive strategies for MM patients at high risk for carfilzomib-related HF, </w:t>
            </w:r>
            <w:r w:rsidRPr="001600A1">
              <w:rPr>
                <w:rFonts w:asciiTheme="minorHAnsi" w:hAnsiTheme="minorHAnsi" w:cstheme="minorHAnsi"/>
                <w:i/>
                <w:iCs/>
                <w:sz w:val="22"/>
              </w:rPr>
              <w:t>prior to carfilzomib administration</w:t>
            </w:r>
            <w:r w:rsidRPr="001600A1">
              <w:rPr>
                <w:rFonts w:asciiTheme="minorHAnsi" w:hAnsiTheme="minorHAnsi" w:cstheme="minorHAnsi"/>
                <w:sz w:val="22"/>
              </w:rPr>
              <w:t>, in order to prevent or minimize such risk. The proposed work will provide tools to enable the stratification of MM patients for cardiotoxicity risk based on pharmacogenomic and provide the basis for clinical translation of these biomarkers</w:t>
            </w:r>
            <w:r>
              <w:rPr>
                <w:rFonts w:asciiTheme="minorHAnsi" w:hAnsiTheme="minorHAnsi" w:cstheme="minorHAnsi"/>
                <w:sz w:val="22"/>
              </w:rPr>
              <w:t xml:space="preserve">. </w:t>
            </w:r>
            <w:r w:rsidRPr="001600A1">
              <w:rPr>
                <w:rFonts w:asciiTheme="minorHAnsi" w:hAnsiTheme="minorHAnsi" w:cstheme="minorHAnsi"/>
                <w:sz w:val="22"/>
              </w:rPr>
              <w:t>Ultimately, our research will potentially lead to a paradigm shift in current clinical practice to better prevent cardiotoxicity and improve outcomes in the MM patient population and HF patients in general.</w:t>
            </w:r>
            <w:r w:rsidRPr="001600A1">
              <w:rPr>
                <w:rFonts w:ascii="Arial" w:hAnsi="Arial" w:cs="Arial"/>
                <w:b/>
                <w:sz w:val="22"/>
              </w:rPr>
              <w:t xml:space="preserve"> </w:t>
            </w:r>
          </w:p>
          <w:p w14:paraId="3CD7DE62" w14:textId="6D7C4797" w:rsidR="0093273D" w:rsidRPr="001600A1" w:rsidRDefault="0093273D" w:rsidP="001600A1">
            <w:pPr>
              <w:snapToGrid w:val="0"/>
              <w:spacing w:after="120"/>
              <w:jc w:val="both"/>
              <w:rPr>
                <w:rFonts w:asciiTheme="minorHAnsi" w:hAnsiTheme="minorHAnsi" w:cstheme="min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3800465" w14:textId="1D61A460" w:rsidR="000A12A3" w:rsidRDefault="00B770AE" w:rsidP="00B770AE">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GWAS/WES analysis of carfilzomib-related cardiotoxicity.</w:t>
            </w:r>
          </w:p>
          <w:p w14:paraId="6205E841" w14:textId="2735AE16" w:rsidR="00B770AE" w:rsidRPr="00B770AE" w:rsidRDefault="00B770AE" w:rsidP="00B770AE">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GWAS/WES analysis of anthracycline-related cardiotoxicity.</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E1CA3D6" w:rsidR="00C367EC" w:rsidRPr="00700246" w:rsidRDefault="00CA70EF"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177A2E88" w:rsidR="00C367EC"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A4BF9E5" w:rsidR="00C367EC"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29DA813B" w:rsidR="00C367EC"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185CFE7F" w:rsidR="00B845FF"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0062B0A5" w:rsidR="00C367EC"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51281088" w:rsidR="00C367EC" w:rsidRDefault="00CA70EF"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718BDE36" w:rsidR="00533D4B" w:rsidRDefault="00CA70EF"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6EBF0C4F" w14:textId="54185B33" w:rsidR="00C367EC" w:rsidRPr="00376326" w:rsidRDefault="00CA70EF" w:rsidP="00693D5D">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D74F10">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8668BBD" w:rsidR="0093273D"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I-III Merged set (HRC imputed, GWAS)</w:t>
            </w:r>
          </w:p>
          <w:p w14:paraId="0175EB89" w14:textId="3D922147" w:rsidR="00376326"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PGx/</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73413F55" w:rsidR="00376326"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Exome chip data set</w:t>
            </w:r>
          </w:p>
          <w:p w14:paraId="4C7B91CA" w14:textId="066F231B" w:rsidR="00376326"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08078C87" w:rsidR="0063131E"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58096D">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B770AE">
              <w:rPr>
                <w:rFonts w:asciiTheme="majorHAnsi" w:hAnsiTheme="majorHAnsi" w:cstheme="majorHAnsi"/>
                <w:sz w:val="22"/>
                <w:szCs w:val="22"/>
              </w:rPr>
              <w:t>phenotype ID: 147, heart failure</w:t>
            </w:r>
            <w:r w:rsidR="0063131E" w:rsidRPr="00700246">
              <w:rPr>
                <w:rFonts w:asciiTheme="majorHAnsi" w:hAnsiTheme="majorHAnsi" w:cstheme="majorHAnsi"/>
                <w:sz w:val="22"/>
                <w:szCs w:val="22"/>
              </w:rPr>
              <w:t xml:space="preserve">                </w:t>
            </w:r>
          </w:p>
          <w:p w14:paraId="2C71B567" w14:textId="00FA8EA3" w:rsidR="0063131E" w:rsidRPr="00700246" w:rsidRDefault="00CA70EF"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18EFD397" w14:textId="3C70010D" w:rsidR="0093273D" w:rsidRDefault="0093273D" w:rsidP="00CF0D06">
            <w:pPr>
              <w:rPr>
                <w:rFonts w:asciiTheme="majorHAnsi" w:hAnsiTheme="majorHAnsi" w:cstheme="majorHAnsi"/>
                <w:sz w:val="22"/>
                <w:szCs w:val="22"/>
              </w:rPr>
            </w:pPr>
          </w:p>
          <w:p w14:paraId="02C5618F" w14:textId="7A55F23A" w:rsidR="00B770AE" w:rsidRDefault="00B770AE" w:rsidP="00B770AE">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GWAS/WES analysis of carfilzomib-related cardiotoxicity</w:t>
            </w:r>
            <w:r w:rsidR="00F77484">
              <w:rPr>
                <w:rFonts w:asciiTheme="majorHAnsi" w:hAnsiTheme="majorHAnsi" w:cstheme="majorHAnsi"/>
                <w:sz w:val="22"/>
                <w:szCs w:val="22"/>
              </w:rPr>
              <w:t xml:space="preserve"> (HF)</w:t>
            </w:r>
            <w:r>
              <w:rPr>
                <w:rFonts w:asciiTheme="majorHAnsi" w:hAnsiTheme="majorHAnsi" w:cstheme="majorHAnsi"/>
                <w:sz w:val="22"/>
                <w:szCs w:val="22"/>
              </w:rPr>
              <w:t>.</w:t>
            </w:r>
          </w:p>
          <w:p w14:paraId="693C629E" w14:textId="2323E516" w:rsidR="00B770AE" w:rsidRPr="00B770AE" w:rsidRDefault="00B770AE" w:rsidP="00B770AE">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GWAS/WES analysis of anthracycline-related cardiotoxicity</w:t>
            </w:r>
            <w:r w:rsidR="00F77484">
              <w:rPr>
                <w:rFonts w:asciiTheme="majorHAnsi" w:hAnsiTheme="majorHAnsi" w:cstheme="majorHAnsi"/>
                <w:sz w:val="22"/>
                <w:szCs w:val="22"/>
              </w:rPr>
              <w:t xml:space="preserve"> (HF)</w:t>
            </w:r>
            <w:r>
              <w:rPr>
                <w:rFonts w:asciiTheme="majorHAnsi" w:hAnsiTheme="majorHAnsi" w:cstheme="majorHAnsi"/>
                <w:sz w:val="22"/>
                <w:szCs w:val="22"/>
              </w:rPr>
              <w:t>.</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217B62BC" w:rsidR="0093273D" w:rsidRPr="008673B8" w:rsidRDefault="00B770AE" w:rsidP="00CF0D06">
            <w:pPr>
              <w:rPr>
                <w:rFonts w:asciiTheme="majorHAnsi" w:hAnsiTheme="majorHAnsi" w:cstheme="majorHAnsi"/>
                <w:sz w:val="22"/>
                <w:szCs w:val="22"/>
              </w:rPr>
            </w:pPr>
            <w:r>
              <w:rPr>
                <w:rFonts w:asciiTheme="majorHAnsi" w:hAnsiTheme="majorHAnsi" w:cstheme="majorHAnsi"/>
                <w:sz w:val="22"/>
                <w:szCs w:val="22"/>
              </w:rPr>
              <w:t>IRB to be applied</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0B060432" w:rsidR="000A12A3" w:rsidRPr="008673B8" w:rsidRDefault="00B770AE" w:rsidP="00CF0D06">
            <w:pPr>
              <w:rPr>
                <w:rFonts w:asciiTheme="majorHAnsi" w:hAnsiTheme="majorHAnsi" w:cstheme="majorHAnsi"/>
                <w:sz w:val="22"/>
                <w:szCs w:val="22"/>
              </w:rPr>
            </w:pPr>
            <w:r>
              <w:rPr>
                <w:rFonts w:asciiTheme="majorHAnsi" w:hAnsiTheme="majorHAnsi" w:cstheme="majorHAnsi"/>
                <w:sz w:val="22"/>
                <w:szCs w:val="22"/>
              </w:rPr>
              <w:t>JACC-</w:t>
            </w:r>
            <w:proofErr w:type="spellStart"/>
            <w:r>
              <w:rPr>
                <w:rFonts w:asciiTheme="majorHAnsi" w:hAnsiTheme="majorHAnsi" w:cstheme="majorHAnsi"/>
                <w:sz w:val="22"/>
                <w:szCs w:val="22"/>
              </w:rPr>
              <w:t>CardioOncology</w:t>
            </w:r>
            <w:proofErr w:type="spellEnd"/>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20F40945" w14:textId="77777777" w:rsidR="0093273D" w:rsidRDefault="00B770AE" w:rsidP="00CF0D06">
            <w:pPr>
              <w:rPr>
                <w:rFonts w:asciiTheme="majorHAnsi" w:hAnsiTheme="majorHAnsi" w:cstheme="majorHAnsi"/>
                <w:sz w:val="22"/>
                <w:szCs w:val="22"/>
              </w:rPr>
            </w:pPr>
            <w:r>
              <w:rPr>
                <w:rFonts w:asciiTheme="majorHAnsi" w:hAnsiTheme="majorHAnsi" w:cstheme="majorHAnsi"/>
                <w:sz w:val="22"/>
                <w:szCs w:val="22"/>
              </w:rPr>
              <w:t>Estimated dates:</w:t>
            </w:r>
          </w:p>
          <w:p w14:paraId="7E77D2B4" w14:textId="77777777" w:rsidR="00B770AE" w:rsidRDefault="00B770AE" w:rsidP="00CF0D06">
            <w:pPr>
              <w:rPr>
                <w:rFonts w:asciiTheme="majorHAnsi" w:hAnsiTheme="majorHAnsi" w:cstheme="majorHAnsi"/>
                <w:sz w:val="22"/>
                <w:szCs w:val="22"/>
              </w:rPr>
            </w:pPr>
            <w:r>
              <w:rPr>
                <w:rFonts w:asciiTheme="majorHAnsi" w:hAnsiTheme="majorHAnsi" w:cstheme="majorHAnsi"/>
                <w:sz w:val="22"/>
                <w:szCs w:val="22"/>
              </w:rPr>
              <w:t>-approval: by 10/31/21</w:t>
            </w:r>
          </w:p>
          <w:p w14:paraId="34590426" w14:textId="6677361F" w:rsidR="00B770AE" w:rsidRDefault="00B770AE" w:rsidP="00CF0D06">
            <w:pPr>
              <w:rPr>
                <w:rFonts w:asciiTheme="majorHAnsi" w:hAnsiTheme="majorHAnsi" w:cstheme="majorHAnsi"/>
                <w:sz w:val="22"/>
                <w:szCs w:val="22"/>
              </w:rPr>
            </w:pPr>
            <w:r>
              <w:rPr>
                <w:rFonts w:asciiTheme="majorHAnsi" w:hAnsiTheme="majorHAnsi" w:cstheme="majorHAnsi"/>
                <w:sz w:val="22"/>
                <w:szCs w:val="22"/>
              </w:rPr>
              <w:t xml:space="preserve">-Project duration: Sep </w:t>
            </w:r>
            <w:r w:rsidR="00D74F10">
              <w:rPr>
                <w:rFonts w:asciiTheme="majorHAnsi" w:hAnsiTheme="majorHAnsi" w:cstheme="majorHAnsi"/>
                <w:sz w:val="22"/>
                <w:szCs w:val="22"/>
              </w:rPr>
              <w:t>20</w:t>
            </w:r>
            <w:r>
              <w:rPr>
                <w:rFonts w:asciiTheme="majorHAnsi" w:hAnsiTheme="majorHAnsi" w:cstheme="majorHAnsi"/>
                <w:sz w:val="22"/>
                <w:szCs w:val="22"/>
              </w:rPr>
              <w:t xml:space="preserve">21-Aug </w:t>
            </w:r>
            <w:r w:rsidR="00D74F10">
              <w:rPr>
                <w:rFonts w:asciiTheme="majorHAnsi" w:hAnsiTheme="majorHAnsi" w:cstheme="majorHAnsi"/>
                <w:sz w:val="22"/>
                <w:szCs w:val="22"/>
              </w:rPr>
              <w:t>20</w:t>
            </w:r>
            <w:r w:rsidR="0055494E">
              <w:rPr>
                <w:rFonts w:asciiTheme="majorHAnsi" w:hAnsiTheme="majorHAnsi" w:cstheme="majorHAnsi"/>
                <w:sz w:val="22"/>
                <w:szCs w:val="22"/>
              </w:rPr>
              <w:t>23</w:t>
            </w:r>
          </w:p>
          <w:p w14:paraId="26470FB6" w14:textId="77777777" w:rsidR="00B770AE" w:rsidRDefault="00B770AE" w:rsidP="00CF0D06">
            <w:pPr>
              <w:rPr>
                <w:rFonts w:asciiTheme="majorHAnsi" w:hAnsiTheme="majorHAnsi" w:cstheme="majorHAnsi"/>
                <w:sz w:val="22"/>
                <w:szCs w:val="22"/>
              </w:rPr>
            </w:pPr>
            <w:r>
              <w:rPr>
                <w:rFonts w:asciiTheme="majorHAnsi" w:hAnsiTheme="majorHAnsi" w:cstheme="majorHAnsi"/>
                <w:sz w:val="22"/>
                <w:szCs w:val="22"/>
              </w:rPr>
              <w:t>-draft completion for preliminary analysis:  Sep 2022</w:t>
            </w:r>
          </w:p>
          <w:p w14:paraId="16FD4FC8" w14:textId="77777777" w:rsidR="00B770AE" w:rsidRDefault="00B770AE" w:rsidP="00CF0D06">
            <w:pPr>
              <w:rPr>
                <w:rFonts w:asciiTheme="majorHAnsi" w:hAnsiTheme="majorHAnsi" w:cstheme="majorHAnsi"/>
                <w:sz w:val="22"/>
                <w:szCs w:val="22"/>
              </w:rPr>
            </w:pPr>
            <w:r>
              <w:rPr>
                <w:rFonts w:asciiTheme="majorHAnsi" w:hAnsiTheme="majorHAnsi" w:cstheme="majorHAnsi"/>
                <w:sz w:val="22"/>
                <w:szCs w:val="22"/>
              </w:rPr>
              <w:t>-draft submission for abstracts: Sep 2022</w:t>
            </w:r>
          </w:p>
          <w:p w14:paraId="4089201E" w14:textId="10385135" w:rsidR="00D74F10" w:rsidRPr="008673B8" w:rsidRDefault="00D74F10" w:rsidP="00CF0D06">
            <w:pPr>
              <w:rPr>
                <w:rFonts w:asciiTheme="majorHAnsi" w:hAnsiTheme="majorHAnsi" w:cstheme="majorHAnsi"/>
                <w:sz w:val="22"/>
                <w:szCs w:val="22"/>
              </w:rPr>
            </w:pPr>
            <w:r>
              <w:rPr>
                <w:rFonts w:asciiTheme="majorHAnsi" w:hAnsiTheme="majorHAnsi" w:cstheme="majorHAnsi"/>
                <w:sz w:val="22"/>
                <w:szCs w:val="22"/>
              </w:rPr>
              <w:t>-draft submission for manuscript: Sep 2023</w:t>
            </w:r>
          </w:p>
        </w:tc>
      </w:tr>
    </w:tbl>
    <w:p w14:paraId="4BF2BAC8" w14:textId="77777777" w:rsidR="002142B6" w:rsidRDefault="00CA70E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6F19" w14:textId="77777777" w:rsidR="003004B0" w:rsidRDefault="003004B0" w:rsidP="0093273D">
      <w:r>
        <w:separator/>
      </w:r>
    </w:p>
  </w:endnote>
  <w:endnote w:type="continuationSeparator" w:id="0">
    <w:p w14:paraId="2FEA587F" w14:textId="77777777" w:rsidR="003004B0" w:rsidRDefault="003004B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166CB8DB"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53737">
          <w:rPr>
            <w:rFonts w:asciiTheme="majorHAnsi" w:hAnsiTheme="majorHAnsi"/>
            <w:noProof/>
            <w:sz w:val="22"/>
          </w:rPr>
          <w:t>3</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1D9A" w14:textId="77777777" w:rsidR="003004B0" w:rsidRDefault="003004B0" w:rsidP="0093273D">
      <w:r>
        <w:separator/>
      </w:r>
    </w:p>
  </w:footnote>
  <w:footnote w:type="continuationSeparator" w:id="0">
    <w:p w14:paraId="01FFEF09" w14:textId="77777777" w:rsidR="003004B0" w:rsidRDefault="003004B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lang w:eastAsia="zh-CN"/>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B6BCB"/>
    <w:multiLevelType w:val="hybridMultilevel"/>
    <w:tmpl w:val="76506C74"/>
    <w:lvl w:ilvl="0" w:tplc="A71451BE">
      <w:start w:val="1"/>
      <w:numFmt w:val="decimal"/>
      <w:lvlText w:val="%1."/>
      <w:lvlJc w:val="left"/>
      <w:pPr>
        <w:ind w:left="720" w:hanging="360"/>
      </w:pPr>
      <w:rPr>
        <w:rFonts w:asciiTheme="minorHAnsi" w:hAnsiTheme="minorHAnsi" w:cs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425A"/>
    <w:multiLevelType w:val="hybridMultilevel"/>
    <w:tmpl w:val="76506C74"/>
    <w:lvl w:ilvl="0" w:tplc="A71451BE">
      <w:start w:val="1"/>
      <w:numFmt w:val="decimal"/>
      <w:lvlText w:val="%1."/>
      <w:lvlJc w:val="left"/>
      <w:pPr>
        <w:ind w:left="720" w:hanging="360"/>
      </w:pPr>
      <w:rPr>
        <w:rFonts w:asciiTheme="minorHAnsi" w:hAnsiTheme="minorHAnsi" w:cs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TY3sTAxNDEEEko6SsGpxcWZ+XkgBca1ANO18TQsAAAA"/>
  </w:docVars>
  <w:rsids>
    <w:rsidRoot w:val="0093273D"/>
    <w:rsid w:val="000A12A3"/>
    <w:rsid w:val="000B7654"/>
    <w:rsid w:val="00117500"/>
    <w:rsid w:val="001600A1"/>
    <w:rsid w:val="001E1395"/>
    <w:rsid w:val="001F3540"/>
    <w:rsid w:val="0025109A"/>
    <w:rsid w:val="00286292"/>
    <w:rsid w:val="002D0FA2"/>
    <w:rsid w:val="003004B0"/>
    <w:rsid w:val="00376326"/>
    <w:rsid w:val="003F367E"/>
    <w:rsid w:val="00457559"/>
    <w:rsid w:val="004D400F"/>
    <w:rsid w:val="004D7F55"/>
    <w:rsid w:val="00533D4B"/>
    <w:rsid w:val="0055494E"/>
    <w:rsid w:val="00571D40"/>
    <w:rsid w:val="0058096D"/>
    <w:rsid w:val="00594CF3"/>
    <w:rsid w:val="00595E27"/>
    <w:rsid w:val="00614403"/>
    <w:rsid w:val="006166BF"/>
    <w:rsid w:val="00625689"/>
    <w:rsid w:val="0063131E"/>
    <w:rsid w:val="00693D5D"/>
    <w:rsid w:val="006E4499"/>
    <w:rsid w:val="00700246"/>
    <w:rsid w:val="00702039"/>
    <w:rsid w:val="007C3D55"/>
    <w:rsid w:val="007F3F81"/>
    <w:rsid w:val="008673B8"/>
    <w:rsid w:val="008B0CE2"/>
    <w:rsid w:val="00900D3C"/>
    <w:rsid w:val="0093273D"/>
    <w:rsid w:val="00954A77"/>
    <w:rsid w:val="009B3688"/>
    <w:rsid w:val="00A14096"/>
    <w:rsid w:val="00A43734"/>
    <w:rsid w:val="00A674F0"/>
    <w:rsid w:val="00A726E3"/>
    <w:rsid w:val="00AF586E"/>
    <w:rsid w:val="00B67A4E"/>
    <w:rsid w:val="00B770AE"/>
    <w:rsid w:val="00B845FF"/>
    <w:rsid w:val="00BD1431"/>
    <w:rsid w:val="00C367EC"/>
    <w:rsid w:val="00C90395"/>
    <w:rsid w:val="00CA70EF"/>
    <w:rsid w:val="00D74F10"/>
    <w:rsid w:val="00D93D28"/>
    <w:rsid w:val="00F53737"/>
    <w:rsid w:val="00F77484"/>
    <w:rsid w:val="00F96A81"/>
    <w:rsid w:val="00FD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semiHidden/>
    <w:unhideWhenUsed/>
    <w:rsid w:val="00F537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ntawy@cop.uf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B9E5-5A3E-464E-950B-0D6C8CBE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2</cp:revision>
  <dcterms:created xsi:type="dcterms:W3CDTF">2021-08-12T17:50:00Z</dcterms:created>
  <dcterms:modified xsi:type="dcterms:W3CDTF">2021-08-12T17:50:00Z</dcterms:modified>
</cp:coreProperties>
</file>