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62BBB7F8" w:rsidR="0093273D" w:rsidRPr="00A726E3" w:rsidRDefault="00061A7E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</w:t>
            </w:r>
            <w:proofErr w:type="spellEnd"/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573FBFF1" w:rsidR="0093273D" w:rsidRPr="00083F39" w:rsidRDefault="00040622" w:rsidP="00CF0D06">
            <w:r>
              <w:t>NT439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589A0E6B" w:rsidR="0093273D" w:rsidRPr="00083F39" w:rsidRDefault="00040622" w:rsidP="00CF0D06">
            <w:r>
              <w:t>12</w:t>
            </w:r>
            <w:r w:rsidR="00F8798E" w:rsidRPr="00083F39">
              <w:t>/</w:t>
            </w:r>
            <w:r>
              <w:t>16</w:t>
            </w:r>
            <w:r w:rsidR="00F8798E" w:rsidRPr="00083F39">
              <w:t>/2021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1FC9E3DF" w:rsidR="0093273D" w:rsidRPr="008673B8" w:rsidRDefault="00F8798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Defining Acute SARS-CoV-2 Illness-Related Hospitalization in Electronic Health Records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99A21BC" w14:textId="77777777" w:rsidR="0093273D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ACA34EC" w14:textId="0E4C01C7" w:rsidR="00F8798E" w:rsidRPr="00F8798E" w:rsidRDefault="00F8798E" w:rsidP="00CF0D06">
            <w:r w:rsidRPr="00F8798E">
              <w:t>Gurmukteshwar Singh</w:t>
            </w:r>
            <w:r>
              <w:rPr>
                <w:vertAlign w:val="superscript"/>
              </w:rPr>
              <w:t>1</w:t>
            </w:r>
          </w:p>
        </w:tc>
      </w:tr>
      <w:tr w:rsidR="00EF6963" w:rsidRPr="005F7C97" w14:paraId="761E04CD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C2E91CD" w14:textId="5F0BED33" w:rsidR="00EF6963" w:rsidRPr="0074111E" w:rsidRDefault="00EF6963" w:rsidP="00CF0D06">
            <w:pPr>
              <w:rPr>
                <w:rFonts w:ascii="Calibri Light" w:hAnsi="Calibri Light"/>
                <w:b/>
                <w:sz w:val="22"/>
              </w:rPr>
            </w:pPr>
            <w:r w:rsidRPr="00EF6963">
              <w:rPr>
                <w:rFonts w:ascii="Calibri Light" w:hAnsi="Calibri Light"/>
                <w:b/>
                <w:sz w:val="22"/>
              </w:rPr>
              <w:t xml:space="preserve">Tentative Lead Investigator Email Address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19C5963" w14:textId="7B6C6AA3" w:rsidR="00EF6963" w:rsidRPr="008673B8" w:rsidRDefault="000406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40622">
              <w:t>gsingh3@geisinger.edu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0D949A83" w:rsidR="0093273D" w:rsidRPr="00F8798E" w:rsidRDefault="00934EAD" w:rsidP="00CF0D06">
            <w:r>
              <w:t>Marc Williams</w:t>
            </w:r>
            <w:r>
              <w:rPr>
                <w:vertAlign w:val="superscript"/>
              </w:rPr>
              <w:t>1</w:t>
            </w:r>
            <w:r>
              <w:t>, Laura J. Rasmussen-Torvik</w:t>
            </w:r>
            <w:r w:rsidRPr="00C06F35">
              <w:rPr>
                <w:vertAlign w:val="superscript"/>
              </w:rPr>
              <w:t>3</w:t>
            </w:r>
          </w:p>
        </w:tc>
      </w:tr>
      <w:tr w:rsidR="00040622" w:rsidRPr="005F7C97" w14:paraId="5431E49C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2080BF2" w14:textId="488F3F20" w:rsidR="00040622" w:rsidRPr="0074111E" w:rsidRDefault="00040622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A758CE3" w14:textId="77777777" w:rsidR="00040622" w:rsidRPr="00083F39" w:rsidRDefault="00040622" w:rsidP="00CF0D06">
            <w:pPr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</w:pPr>
            <w:r>
              <w:t>Sarah B. Delozier</w:t>
            </w:r>
            <w:r w:rsidRPr="00C06F35">
              <w:rPr>
                <w:vertAlign w:val="superscript"/>
              </w:rPr>
              <w:t>2</w:t>
            </w:r>
            <w:r>
              <w:t xml:space="preserve">, </w:t>
            </w:r>
            <w:proofErr w:type="spellStart"/>
            <w:r>
              <w:t>Lubna</w:t>
            </w:r>
            <w:proofErr w:type="spellEnd"/>
            <w:r>
              <w:t xml:space="preserve"> Alhalabi</w:t>
            </w:r>
            <w:r w:rsidRPr="00C06F35">
              <w:rPr>
                <w:vertAlign w:val="superscript"/>
              </w:rPr>
              <w:t>4</w:t>
            </w:r>
            <w:r>
              <w:t>, Terrie Kitchner</w:t>
            </w:r>
            <w:r w:rsidRPr="00C06F35">
              <w:rPr>
                <w:vertAlign w:val="superscript"/>
              </w:rPr>
              <w:t>5</w:t>
            </w:r>
            <w:r>
              <w:t>, Shawn Murphy</w:t>
            </w:r>
            <w:r w:rsidRPr="00C06F35">
              <w:rPr>
                <w:vertAlign w:val="superscript"/>
              </w:rPr>
              <w:t>6</w:t>
            </w:r>
            <w:r>
              <w:t>, Benjamin Satterfield</w:t>
            </w:r>
            <w:r>
              <w:rPr>
                <w:vertAlign w:val="superscript"/>
              </w:rPr>
              <w:t>4</w:t>
            </w:r>
            <w:r>
              <w:t>, Mark Wurfel</w:t>
            </w:r>
            <w:r w:rsidRPr="000726B0">
              <w:rPr>
                <w:vertAlign w:val="superscript"/>
              </w:rPr>
              <w:t>7</w:t>
            </w:r>
            <w:r>
              <w:t>, Gail Jarvik</w:t>
            </w:r>
            <w:r w:rsidRPr="000726B0">
              <w:rPr>
                <w:vertAlign w:val="superscript"/>
              </w:rPr>
              <w:t>7</w:t>
            </w:r>
            <w:r>
              <w:t>, Pavan Hatraju</w:t>
            </w:r>
            <w:r w:rsidRPr="000726B0">
              <w:rPr>
                <w:vertAlign w:val="superscript"/>
              </w:rPr>
              <w:t>7</w:t>
            </w:r>
            <w:r>
              <w:t>, David Crosslin</w:t>
            </w:r>
            <w:r w:rsidRPr="000726B0">
              <w:rPr>
                <w:vertAlign w:val="superscript"/>
              </w:rPr>
              <w:t>7</w:t>
            </w:r>
            <w:r>
              <w:t xml:space="preserve">, </w:t>
            </w:r>
            <w:proofErr w:type="spellStart"/>
            <w:r>
              <w:t>Krystof</w:t>
            </w:r>
            <w:proofErr w:type="spellEnd"/>
            <w:r>
              <w:t xml:space="preserve"> Kiryluk</w:t>
            </w:r>
            <w:r>
              <w:rPr>
                <w:vertAlign w:val="superscript"/>
              </w:rPr>
              <w:t>8</w:t>
            </w:r>
            <w:r>
              <w:t>, Ning Shang</w:t>
            </w:r>
            <w:r w:rsidRPr="000726B0">
              <w:rPr>
                <w:vertAlign w:val="superscript"/>
              </w:rPr>
              <w:t>8</w:t>
            </w:r>
            <w:r>
              <w:t>, Iftikhar Kullo</w:t>
            </w:r>
            <w:r>
              <w:rPr>
                <w:vertAlign w:val="superscript"/>
              </w:rPr>
              <w:t>4</w:t>
            </w:r>
          </w:p>
          <w:p w14:paraId="19BF1FC1" w14:textId="77777777" w:rsidR="00040622" w:rsidRPr="008673B8" w:rsidRDefault="000406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40622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0FDFF4DC" w:rsidR="00040622" w:rsidRPr="0074111E" w:rsidRDefault="00040622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DC159E4" w14:textId="77777777" w:rsidR="00040622" w:rsidRDefault="00040622" w:rsidP="00F8798E">
            <w:pPr>
              <w:pStyle w:val="ListParagraph"/>
              <w:numPr>
                <w:ilvl w:val="0"/>
                <w:numId w:val="6"/>
              </w:numPr>
            </w:pPr>
            <w:r>
              <w:t xml:space="preserve">Geisinger Health: 2 investigators </w:t>
            </w:r>
          </w:p>
          <w:p w14:paraId="1DA23BA0" w14:textId="77777777" w:rsidR="00040622" w:rsidRDefault="00040622" w:rsidP="00FE2597">
            <w:pPr>
              <w:pStyle w:val="ListParagraph"/>
              <w:numPr>
                <w:ilvl w:val="0"/>
                <w:numId w:val="6"/>
              </w:numPr>
            </w:pPr>
            <w:r>
              <w:t>Vanderbilt University Medical Center: 1 investigator</w:t>
            </w:r>
          </w:p>
          <w:p w14:paraId="73D61AA6" w14:textId="77777777" w:rsidR="00040622" w:rsidRDefault="00040622" w:rsidP="00FE2597">
            <w:pPr>
              <w:pStyle w:val="ListParagraph"/>
              <w:numPr>
                <w:ilvl w:val="0"/>
                <w:numId w:val="6"/>
              </w:numPr>
            </w:pPr>
            <w:r>
              <w:t>Northwestern University: 1 investigator</w:t>
            </w:r>
          </w:p>
          <w:p w14:paraId="77C954FA" w14:textId="77777777" w:rsidR="00040622" w:rsidRDefault="00040622" w:rsidP="00F8798E">
            <w:pPr>
              <w:pStyle w:val="ListParagraph"/>
              <w:numPr>
                <w:ilvl w:val="0"/>
                <w:numId w:val="6"/>
              </w:numPr>
            </w:pPr>
            <w:r>
              <w:t>Mayo Clinic: 3 investigators</w:t>
            </w:r>
          </w:p>
          <w:p w14:paraId="01CDF2A3" w14:textId="77777777" w:rsidR="00040622" w:rsidRDefault="00040622" w:rsidP="00F8798E">
            <w:pPr>
              <w:pStyle w:val="ListParagraph"/>
              <w:numPr>
                <w:ilvl w:val="0"/>
                <w:numId w:val="6"/>
              </w:numPr>
            </w:pPr>
            <w:r>
              <w:t>Marshfield Clinic: 1 investigator</w:t>
            </w:r>
          </w:p>
          <w:p w14:paraId="54E1F569" w14:textId="77777777" w:rsidR="00040622" w:rsidRDefault="00040622" w:rsidP="00F8798E">
            <w:pPr>
              <w:pStyle w:val="ListParagraph"/>
              <w:numPr>
                <w:ilvl w:val="0"/>
                <w:numId w:val="6"/>
              </w:numPr>
            </w:pPr>
            <w:r>
              <w:t>Massachusetts General Hospital: 1 investigator</w:t>
            </w:r>
          </w:p>
          <w:p w14:paraId="7B909EB3" w14:textId="77777777" w:rsidR="00040622" w:rsidRDefault="00040622" w:rsidP="00F8798E">
            <w:pPr>
              <w:pStyle w:val="ListParagraph"/>
              <w:numPr>
                <w:ilvl w:val="0"/>
                <w:numId w:val="6"/>
              </w:numPr>
            </w:pPr>
            <w:r>
              <w:t>University of Washington: 4 investigators</w:t>
            </w:r>
          </w:p>
          <w:p w14:paraId="76253CE6" w14:textId="77777777" w:rsidR="00040622" w:rsidRPr="00F8798E" w:rsidRDefault="00040622" w:rsidP="00F8798E">
            <w:pPr>
              <w:pStyle w:val="ListParagraph"/>
              <w:numPr>
                <w:ilvl w:val="0"/>
                <w:numId w:val="6"/>
              </w:numPr>
            </w:pPr>
            <w:r>
              <w:t>Columbia University: 2 investigators</w:t>
            </w:r>
          </w:p>
          <w:p w14:paraId="6DB36893" w14:textId="77777777" w:rsidR="00040622" w:rsidRPr="008673B8" w:rsidRDefault="000406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40622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09CE4FEB" w:rsidR="00040622" w:rsidRPr="0074111E" w:rsidRDefault="00040622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ADCAB8F" w14:textId="77777777" w:rsidR="00040622" w:rsidRDefault="00040622" w:rsidP="00F8798E">
            <w:pPr>
              <w:spacing w:line="480" w:lineRule="auto"/>
            </w:pPr>
            <w:r>
              <w:t xml:space="preserve">Severe acute respiratory syndrome coronavirus 2 (SARS-COV-2), has been responsible for an ongoing global pandemic of coronavirus disease 2019 (COVID-19), resulting in significant morbidity and mortality </w:t>
            </w:r>
            <w:r w:rsidRPr="00F8798E">
              <w:rPr>
                <w:vertAlign w:val="superscript"/>
              </w:rPr>
              <w:t>1</w:t>
            </w:r>
            <w:r>
              <w:t xml:space="preserve">. Recognizing the importance of population-based surveillance early, the COVID-19-Associated Hospitalization Surveillance Network (COVID-NET) was created for ongoing population-based surveillance, using the existing infrastructure of the Influenza Hospitalization Surveillance Network </w:t>
            </w:r>
            <w:r w:rsidRPr="00F8798E">
              <w:rPr>
                <w:vertAlign w:val="superscript"/>
              </w:rPr>
              <w:t>2</w:t>
            </w:r>
            <w:r>
              <w:t xml:space="preserve">. Under this program, a SARS-COV-2 related hospitalization was defined as one occurring within 14 days of a positive SARS-COV-2 test result </w:t>
            </w:r>
            <w:r w:rsidRPr="007D7B06">
              <w:rPr>
                <w:vertAlign w:val="superscript"/>
              </w:rPr>
              <w:t>3</w:t>
            </w:r>
            <w:r>
              <w:t xml:space="preserve">. Effective April 1, the Centers for Disease Control and </w:t>
            </w:r>
            <w:r>
              <w:lastRenderedPageBreak/>
              <w:t xml:space="preserve">Prevention’s National Center for Health Statistics implemented a new International Classification of Diseases, Tenth Revision (ICD-10) emergency code (U07.1) </w:t>
            </w:r>
            <w:r w:rsidRPr="007D7B06">
              <w:rPr>
                <w:vertAlign w:val="superscript"/>
              </w:rPr>
              <w:t>4</w:t>
            </w:r>
            <w:r>
              <w:t xml:space="preserve">. Soon thereafter, early data from a single center registry was used to evaluate phenotyping algorithms to define COVID-19 cases. An algorithm containing the ICD-10 code or positive laboratory testing was found to have the best performance on recall </w:t>
            </w:r>
            <w:r w:rsidRPr="007D7B06">
              <w:rPr>
                <w:vertAlign w:val="superscript"/>
              </w:rPr>
              <w:t>5</w:t>
            </w:r>
            <w:r>
              <w:t>.</w:t>
            </w:r>
          </w:p>
          <w:p w14:paraId="0EAE67D7" w14:textId="77777777" w:rsidR="00040622" w:rsidRDefault="00040622" w:rsidP="00F8798E">
            <w:pPr>
              <w:spacing w:line="480" w:lineRule="auto"/>
            </w:pPr>
            <w:r>
              <w:t>With further experience with COVID-19 patients, our understanding of the disease spectrum has evolved. Time-sensitive phases in the disease course have been recognized, namely acute COVID-19, subacute or ongoing COVID-19 and chronic or post-COVID-</w:t>
            </w:r>
            <w:proofErr w:type="gramStart"/>
            <w:r>
              <w:t xml:space="preserve">19  </w:t>
            </w:r>
            <w:r w:rsidRPr="007D7B06">
              <w:rPr>
                <w:vertAlign w:val="superscript"/>
              </w:rPr>
              <w:t>6</w:t>
            </w:r>
            <w:proofErr w:type="gramEnd"/>
            <w:r w:rsidRPr="007D7B06">
              <w:rPr>
                <w:vertAlign w:val="superscript"/>
              </w:rPr>
              <w:t>, 7</w:t>
            </w:r>
            <w:r>
              <w:t xml:space="preserve">. To allow precise identification of these phases in hospitalized patients, it is critical to have a validated protocol to accurately identify the sequence of events, starting with the initial acute hospitalization. However, studies describing hospitalization outcomes have used heterogenous definitions of COVID-19 related hospitalization. These include various approaches including, but not limited to the COVID-NET or institution-specific time-based definitions, ICD-10 code U07.1, use of laboratory test results and use of physician assessment </w:t>
            </w:r>
            <w:proofErr w:type="gramStart"/>
            <w:r>
              <w:t>questionnaires  3</w:t>
            </w:r>
            <w:proofErr w:type="gramEnd"/>
            <w:r>
              <w:t xml:space="preserve">, </w:t>
            </w:r>
            <w:r w:rsidRPr="007D7B06">
              <w:rPr>
                <w:vertAlign w:val="superscript"/>
              </w:rPr>
              <w:t>8-11</w:t>
            </w:r>
            <w:r>
              <w:t xml:space="preserve">. Up to 1 in 5 survivors of a COVID-19 hospitalization are readmitted within 60 days. Only 30% of these readmissions had a discharge diagnosis of COVID-19 </w:t>
            </w:r>
            <w:r w:rsidRPr="007D7B06">
              <w:rPr>
                <w:vertAlign w:val="superscript"/>
              </w:rPr>
              <w:t>9</w:t>
            </w:r>
            <w:r>
              <w:t>. Hence, an ideal database definition of acute SARS-CoV-2 hospitalization should have a high positive as well as negative predictive value. We will attempt to test addition of processes of care and COVID-19 treatments to laboratory test and ICD-10 code-based algorithms to identify the best performing definition. We will validate this by manually reviewing charts across 6 different health systems with heterogenous geographic and population distribution.</w:t>
            </w:r>
          </w:p>
          <w:p w14:paraId="53D2633E" w14:textId="77777777" w:rsidR="00040622" w:rsidRDefault="00040622" w:rsidP="00F8798E">
            <w:pPr>
              <w:spacing w:line="480" w:lineRule="auto"/>
            </w:pPr>
          </w:p>
          <w:p w14:paraId="49362DF2" w14:textId="77777777" w:rsidR="00040622" w:rsidRDefault="00040622" w:rsidP="00F8798E">
            <w:pPr>
              <w:spacing w:line="480" w:lineRule="auto"/>
            </w:pPr>
            <w:r>
              <w:t>REFERENCES</w:t>
            </w:r>
          </w:p>
          <w:p w14:paraId="3E8D7062" w14:textId="77777777" w:rsidR="00040622" w:rsidRDefault="00040622" w:rsidP="00F8798E">
            <w:pPr>
              <w:spacing w:line="480" w:lineRule="auto"/>
            </w:pPr>
            <w:r>
              <w:t xml:space="preserve">1. Dong E, Du H, Gardner L. An interactive web-based dashboard to track COVID-19 in real time. Lancet Infect Dis. 2020;20(5):533-534. </w:t>
            </w:r>
          </w:p>
          <w:p w14:paraId="531D46C7" w14:textId="77777777" w:rsidR="00040622" w:rsidRDefault="00040622" w:rsidP="00F8798E">
            <w:pPr>
              <w:spacing w:line="480" w:lineRule="auto"/>
            </w:pPr>
            <w:r>
              <w:t xml:space="preserve">2. Ss C, R L, </w:t>
            </w:r>
            <w:proofErr w:type="spellStart"/>
            <w:r>
              <w:t>Ml</w:t>
            </w:r>
            <w:proofErr w:type="spellEnd"/>
            <w:r>
              <w:t xml:space="preserve"> L, J B, L F. The US Influenza Hospitalization Surveillance Network. Emerging infectious diseases. 2015;21(9). </w:t>
            </w:r>
          </w:p>
          <w:p w14:paraId="25311EB4" w14:textId="77777777" w:rsidR="00040622" w:rsidRDefault="00040622" w:rsidP="00F8798E">
            <w:pPr>
              <w:spacing w:line="480" w:lineRule="auto"/>
            </w:pPr>
            <w:r>
              <w:t xml:space="preserve">3. Garg S, Kim L, Whitaker M, et al. Hospitalization Rates and Characteristics of Patients Hospitalized with Laboratory-Confirmed Coronavirus Disease 2019 - COVID-NET, 14 States, March 1-30, 2020. MMWR </w:t>
            </w:r>
            <w:proofErr w:type="spellStart"/>
            <w:r>
              <w:t>Morb</w:t>
            </w:r>
            <w:proofErr w:type="spellEnd"/>
            <w:r>
              <w:t xml:space="preserve"> Mortal </w:t>
            </w:r>
            <w:proofErr w:type="spellStart"/>
            <w:r>
              <w:t>Wkly</w:t>
            </w:r>
            <w:proofErr w:type="spellEnd"/>
            <w:r>
              <w:t xml:space="preserve"> Rep. 2020;69(15):458-464. </w:t>
            </w:r>
          </w:p>
          <w:p w14:paraId="6873B422" w14:textId="77777777" w:rsidR="00040622" w:rsidRDefault="00040622" w:rsidP="00F8798E">
            <w:pPr>
              <w:spacing w:line="480" w:lineRule="auto"/>
            </w:pPr>
            <w:r>
              <w:t>4. Centers for Disease Control and Prevention. New ICD-10-CM code for the 2019 Novel Coronavirus (COVID-19), April 1, 2020. https://www.cdc.gov/nchs/data/icd/Announcement-New-ICD-code-for-coronavirus-3-18-2020.pdf.</w:t>
            </w:r>
          </w:p>
          <w:p w14:paraId="39D266E6" w14:textId="77777777" w:rsidR="00040622" w:rsidRDefault="00040622" w:rsidP="00F8798E">
            <w:pPr>
              <w:spacing w:line="480" w:lineRule="auto"/>
            </w:pPr>
            <w:r>
              <w:t xml:space="preserve">5. </w:t>
            </w:r>
            <w:proofErr w:type="spellStart"/>
            <w:r>
              <w:t>DeLozier</w:t>
            </w:r>
            <w:proofErr w:type="spellEnd"/>
            <w:r>
              <w:t xml:space="preserve"> S, Bland S, </w:t>
            </w:r>
            <w:proofErr w:type="spellStart"/>
            <w:r>
              <w:t>McPheeters</w:t>
            </w:r>
            <w:proofErr w:type="spellEnd"/>
            <w:r>
              <w:t xml:space="preserve"> M, et al. Phenotyping coronavirus disease 2019 during a global health pandemic: Lessons learned from the characterization of an early cohort. J Biomed Inform. </w:t>
            </w:r>
            <w:proofErr w:type="gramStart"/>
            <w:r>
              <w:t>2021;117:103777</w:t>
            </w:r>
            <w:proofErr w:type="gramEnd"/>
            <w:r>
              <w:t xml:space="preserve">. </w:t>
            </w:r>
          </w:p>
          <w:p w14:paraId="57C26AA2" w14:textId="77777777" w:rsidR="00040622" w:rsidRDefault="00040622" w:rsidP="00F8798E">
            <w:pPr>
              <w:spacing w:line="480" w:lineRule="auto"/>
            </w:pPr>
            <w:r>
              <w:t xml:space="preserve">6. Datta SD, Talwar A, Lee JT. A Proposed Framework and Timeline of the Spectrum of Disease Due to SARS-CoV-2 Infection: Illness Beyond Acute Infection and Public Health Implications. JAMA. 2020;324(22):2251-2252. </w:t>
            </w:r>
          </w:p>
          <w:p w14:paraId="5881A3F7" w14:textId="77777777" w:rsidR="00040622" w:rsidRDefault="00040622" w:rsidP="00F8798E">
            <w:pPr>
              <w:spacing w:line="480" w:lineRule="auto"/>
            </w:pPr>
            <w:r>
              <w:t xml:space="preserve">7. Nalbandian A, Sehgal K, Gupta A, et al. Post-acute COVID-19 syndrome. Nat Med. 2021;27(4):601-615. </w:t>
            </w:r>
          </w:p>
          <w:p w14:paraId="007C0FC7" w14:textId="77777777" w:rsidR="00040622" w:rsidRDefault="00040622" w:rsidP="00F8798E">
            <w:pPr>
              <w:spacing w:line="480" w:lineRule="auto"/>
            </w:pPr>
            <w:r>
              <w:t xml:space="preserve">8. V C, Sa F, M O, An M, </w:t>
            </w:r>
            <w:proofErr w:type="spellStart"/>
            <w:r>
              <w:t>Hc</w:t>
            </w:r>
            <w:proofErr w:type="spellEnd"/>
            <w:r>
              <w:t xml:space="preserve"> P. Sixty-Day Outcomes Among Patients Hospitalized With COVID-19. Annals of internal medicine. 2021;174(4). </w:t>
            </w:r>
          </w:p>
          <w:p w14:paraId="3275FEFD" w14:textId="77777777" w:rsidR="00040622" w:rsidRDefault="00040622" w:rsidP="00F8798E">
            <w:pPr>
              <w:spacing w:line="480" w:lineRule="auto"/>
            </w:pPr>
            <w:r>
              <w:lastRenderedPageBreak/>
              <w:t xml:space="preserve">9. Donnelly JP, Wang XQ, </w:t>
            </w:r>
            <w:proofErr w:type="spellStart"/>
            <w:r>
              <w:t>Iwashyna</w:t>
            </w:r>
            <w:proofErr w:type="spellEnd"/>
            <w:r>
              <w:t xml:space="preserve"> TJ, Prescott HC. Readmission and Death After Initial Hospital Discharge Among Patients With COVID-19 in a Large Multihospital System. JAMA. 2021;325(3):304-306. </w:t>
            </w:r>
          </w:p>
          <w:p w14:paraId="73C40481" w14:textId="77777777" w:rsidR="00040622" w:rsidRDefault="00040622" w:rsidP="00F8798E">
            <w:pPr>
              <w:spacing w:line="480" w:lineRule="auto"/>
            </w:pPr>
            <w:r>
              <w:t xml:space="preserve">10. Nguyen NT, Chinn J, Nahmias J, et al. Outcomes and Mortality Among Adults Hospitalized With COVID-19 at US Medical Centers. JAMA </w:t>
            </w:r>
            <w:proofErr w:type="spellStart"/>
            <w:r>
              <w:t>Netw</w:t>
            </w:r>
            <w:proofErr w:type="spellEnd"/>
            <w:r>
              <w:t xml:space="preserve"> Open. 2021;4(3</w:t>
            </w:r>
            <w:proofErr w:type="gramStart"/>
            <w:r>
              <w:t>):e</w:t>
            </w:r>
            <w:proofErr w:type="gramEnd"/>
            <w:r>
              <w:t xml:space="preserve">210417. </w:t>
            </w:r>
          </w:p>
          <w:p w14:paraId="41EDB0FA" w14:textId="77777777" w:rsidR="00040622" w:rsidRDefault="00040622" w:rsidP="00F8798E">
            <w:pPr>
              <w:spacing w:line="480" w:lineRule="auto"/>
            </w:pPr>
            <w:r>
              <w:t xml:space="preserve">11. </w:t>
            </w:r>
            <w:proofErr w:type="spellStart"/>
            <w:r>
              <w:t>Jd</w:t>
            </w:r>
            <w:proofErr w:type="spellEnd"/>
            <w:r>
              <w:t xml:space="preserve"> B, A B, N B, R B, J S. The Impact </w:t>
            </w:r>
            <w:proofErr w:type="gramStart"/>
            <w:r>
              <w:t>Of</w:t>
            </w:r>
            <w:proofErr w:type="gramEnd"/>
            <w:r>
              <w:t xml:space="preserve"> The COVID-19 Pandemic On Hospital Admissions In The United States. Health affairs (Project Hope). 2020;39(11). </w:t>
            </w:r>
          </w:p>
          <w:p w14:paraId="07C5FDB2" w14:textId="77777777" w:rsidR="00040622" w:rsidRPr="008673B8" w:rsidRDefault="000406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40622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023B6C50" w:rsidR="00040622" w:rsidRPr="0074111E" w:rsidRDefault="00040622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B6ECB0" w14:textId="77777777" w:rsidR="00040622" w:rsidRDefault="000406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A2FB8C" w14:textId="77777777" w:rsidR="00040622" w:rsidRPr="00A23F9E" w:rsidRDefault="00040622" w:rsidP="00293183">
            <w:pPr>
              <w:spacing w:line="480" w:lineRule="auto"/>
              <w:rPr>
                <w:b/>
                <w:bCs/>
                <w:color w:val="000000"/>
              </w:rPr>
            </w:pPr>
            <w:r w:rsidRPr="00A23F9E">
              <w:rPr>
                <w:b/>
                <w:bCs/>
                <w:color w:val="000000"/>
              </w:rPr>
              <w:t>Proposed Methodology:</w:t>
            </w:r>
          </w:p>
          <w:p w14:paraId="17991203" w14:textId="77777777" w:rsidR="00040622" w:rsidRDefault="00040622" w:rsidP="00293183">
            <w:pPr>
              <w:spacing w:line="480" w:lineRule="auto"/>
              <w:rPr>
                <w:color w:val="000000"/>
              </w:rPr>
            </w:pPr>
            <w:r w:rsidRPr="00273A6F">
              <w:rPr>
                <w:color w:val="000000"/>
                <w:u w:val="single"/>
              </w:rPr>
              <w:t>Brief overview</w:t>
            </w:r>
            <w:r>
              <w:rPr>
                <w:color w:val="000000"/>
              </w:rPr>
              <w:t>: Start with all</w:t>
            </w:r>
            <w:r w:rsidRPr="00273A6F">
              <w:rPr>
                <w:color w:val="000000"/>
              </w:rPr>
              <w:t xml:space="preserve"> authors do</w:t>
            </w:r>
            <w:r>
              <w:rPr>
                <w:color w:val="000000"/>
              </w:rPr>
              <w:t>ing</w:t>
            </w:r>
            <w:r w:rsidRPr="00273A6F">
              <w:rPr>
                <w:color w:val="000000"/>
              </w:rPr>
              <w:t xml:space="preserve"> a </w:t>
            </w:r>
            <w:r>
              <w:rPr>
                <w:color w:val="000000"/>
              </w:rPr>
              <w:t>100</w:t>
            </w:r>
            <w:r w:rsidRPr="00273A6F">
              <w:rPr>
                <w:color w:val="000000"/>
              </w:rPr>
              <w:t>-chart review</w:t>
            </w:r>
            <w:r>
              <w:rPr>
                <w:color w:val="000000"/>
              </w:rPr>
              <w:t>s</w:t>
            </w:r>
            <w:r w:rsidRPr="00273A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each </w:t>
            </w:r>
            <w:r w:rsidRPr="00273A6F">
              <w:rPr>
                <w:color w:val="000000"/>
              </w:rPr>
              <w:t xml:space="preserve">to create a database of </w:t>
            </w:r>
            <w:r>
              <w:rPr>
                <w:color w:val="000000"/>
              </w:rPr>
              <w:t xml:space="preserve">acute </w:t>
            </w:r>
            <w:r w:rsidRPr="00273A6F">
              <w:rPr>
                <w:color w:val="000000"/>
              </w:rPr>
              <w:t>CO</w:t>
            </w:r>
            <w:r>
              <w:rPr>
                <w:color w:val="000000"/>
              </w:rPr>
              <w:t>V</w:t>
            </w:r>
            <w:r w:rsidRPr="00273A6F">
              <w:rPr>
                <w:color w:val="000000"/>
              </w:rPr>
              <w:t>ID vs non COVID</w:t>
            </w:r>
            <w:r>
              <w:rPr>
                <w:color w:val="000000"/>
              </w:rPr>
              <w:t xml:space="preserve"> vs subacute/reinfection/ chronic COVID</w:t>
            </w:r>
            <w:r w:rsidRPr="00273A6F">
              <w:rPr>
                <w:color w:val="000000"/>
              </w:rPr>
              <w:t xml:space="preserve"> hospitalizations</w:t>
            </w:r>
            <w:r>
              <w:rPr>
                <w:color w:val="000000"/>
              </w:rPr>
              <w:t>. Then apply the definition algorithms from automated EHR data pulls to see which definitions perform best.</w:t>
            </w:r>
          </w:p>
          <w:p w14:paraId="6654C2FF" w14:textId="77777777" w:rsidR="00040622" w:rsidRPr="00273A6F" w:rsidRDefault="00040622" w:rsidP="00293183">
            <w:pPr>
              <w:spacing w:line="480" w:lineRule="auto"/>
              <w:rPr>
                <w:color w:val="000000"/>
                <w:u w:val="single"/>
              </w:rPr>
            </w:pPr>
            <w:r w:rsidRPr="00273A6F">
              <w:rPr>
                <w:color w:val="000000"/>
                <w:u w:val="single"/>
              </w:rPr>
              <w:t>Step by step instructions:</w:t>
            </w:r>
          </w:p>
          <w:p w14:paraId="5CC99C88" w14:textId="77777777" w:rsidR="00040622" w:rsidRPr="004127F7" w:rsidRDefault="00040622" w:rsidP="00293183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b/>
                <w:bCs/>
                <w:color w:val="000000"/>
              </w:rPr>
            </w:pPr>
            <w:r w:rsidRPr="004127F7">
              <w:rPr>
                <w:b/>
                <w:bCs/>
                <w:color w:val="000000"/>
              </w:rPr>
              <w:t xml:space="preserve">Data pull </w:t>
            </w:r>
          </w:p>
          <w:p w14:paraId="3D86FCD3" w14:textId="77777777" w:rsidR="00040622" w:rsidRDefault="00040622" w:rsidP="00293183">
            <w:pPr>
              <w:pStyle w:val="ListParagraph"/>
              <w:numPr>
                <w:ilvl w:val="0"/>
                <w:numId w:val="8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Search criterion: Patients with inpatient hospitalization April 1, 2020 through April 30, 2021</w:t>
            </w:r>
          </w:p>
          <w:p w14:paraId="7E9E084F" w14:textId="77777777" w:rsidR="00040622" w:rsidRDefault="00040622" w:rsidP="00293183">
            <w:pPr>
              <w:pStyle w:val="ListParagraph"/>
              <w:numPr>
                <w:ilvl w:val="0"/>
                <w:numId w:val="8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Run query: What % patient with U07.1 do not have a positive PCR during or within 14 days of admission?</w:t>
            </w:r>
          </w:p>
          <w:p w14:paraId="0FB1C0DA" w14:textId="77777777" w:rsidR="00040622" w:rsidRDefault="00040622" w:rsidP="00293183">
            <w:pPr>
              <w:pStyle w:val="ListParagraph"/>
              <w:numPr>
                <w:ilvl w:val="0"/>
                <w:numId w:val="8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Run query: What % of patients with a positive PCR within 14 days or during admission have a U07.1 code?</w:t>
            </w:r>
          </w:p>
          <w:p w14:paraId="3140324E" w14:textId="77777777" w:rsidR="00040622" w:rsidRPr="00101739" w:rsidRDefault="00040622" w:rsidP="00293183">
            <w:pPr>
              <w:pStyle w:val="ListParagraph"/>
              <w:numPr>
                <w:ilvl w:val="0"/>
                <w:numId w:val="8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Interesting point to note: % differences between different centers and maybe month-over month </w:t>
            </w:r>
          </w:p>
          <w:p w14:paraId="06D69C47" w14:textId="77777777" w:rsidR="00040622" w:rsidRDefault="00040622" w:rsidP="00293183">
            <w:pPr>
              <w:pStyle w:val="ListParagraph"/>
              <w:numPr>
                <w:ilvl w:val="0"/>
                <w:numId w:val="8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Data extraction: Pull 60 random patients with ICD-10 code U07.1 on active hospital problem list or billing for the hospitalization (possible true or false positives)</w:t>
            </w:r>
          </w:p>
          <w:p w14:paraId="7235FD46" w14:textId="77777777" w:rsidR="00040622" w:rsidRDefault="00040622" w:rsidP="00293183">
            <w:pPr>
              <w:pStyle w:val="ListParagraph"/>
              <w:numPr>
                <w:ilvl w:val="0"/>
                <w:numId w:val="8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Data extraction: Pull 40 random patients with SARS-CoV-2 PCR positivity during or before admission but no U07.1 code (Possible true negatives, false negatives or true positives)</w:t>
            </w:r>
          </w:p>
          <w:p w14:paraId="1C424A16" w14:textId="77777777" w:rsidR="00040622" w:rsidRPr="00F524AF" w:rsidRDefault="00040622" w:rsidP="00293183">
            <w:pPr>
              <w:pStyle w:val="ListParagraph"/>
              <w:spacing w:after="160" w:line="480" w:lineRule="auto"/>
              <w:ind w:left="1080"/>
              <w:rPr>
                <w:color w:val="000000"/>
              </w:rPr>
            </w:pPr>
            <w:r w:rsidRPr="00F524AF">
              <w:rPr>
                <w:color w:val="000000"/>
              </w:rPr>
              <w:br w:type="page"/>
            </w:r>
          </w:p>
          <w:p w14:paraId="3620F7F3" w14:textId="77777777" w:rsidR="00040622" w:rsidRPr="004127F7" w:rsidRDefault="00040622" w:rsidP="00293183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b/>
                <w:bCs/>
                <w:color w:val="000000"/>
              </w:rPr>
            </w:pPr>
            <w:r w:rsidRPr="004127F7">
              <w:rPr>
                <w:b/>
                <w:bCs/>
                <w:color w:val="000000"/>
              </w:rPr>
              <w:t>Case definitions</w:t>
            </w:r>
            <w:r>
              <w:rPr>
                <w:b/>
                <w:bCs/>
                <w:color w:val="000000"/>
              </w:rPr>
              <w:t xml:space="preserve"> for chart review (look for overall impression, not all criteria need to be fulfilled)</w:t>
            </w:r>
            <w:r w:rsidRPr="004127F7">
              <w:rPr>
                <w:b/>
                <w:bCs/>
                <w:color w:val="000000"/>
              </w:rPr>
              <w:t>:</w:t>
            </w:r>
          </w:p>
          <w:p w14:paraId="29D4E378" w14:textId="77777777" w:rsidR="00040622" w:rsidRDefault="00040622" w:rsidP="00293183">
            <w:pPr>
              <w:pStyle w:val="ListParagraph"/>
              <w:numPr>
                <w:ilvl w:val="0"/>
                <w:numId w:val="9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Acute COVID admission:</w:t>
            </w:r>
          </w:p>
          <w:p w14:paraId="6727434A" w14:textId="77777777" w:rsidR="00040622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127F7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COVID hospitalization AND</w:t>
            </w:r>
          </w:p>
          <w:p w14:paraId="684D5FC6" w14:textId="77777777" w:rsidR="00040622" w:rsidRPr="00101739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Admitted within 2 weeks of first positive PCR/ 3 weeks of symptom onset with positive PCR or antigen testing documented in the clinical notes </w:t>
            </w:r>
          </w:p>
          <w:p w14:paraId="7B600C5D" w14:textId="77777777" w:rsidR="00040622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If unknown duration from PCR/ symptoms, discharge summary or clinical notes attribute hospitalization directly to acute COVID-19 infection </w:t>
            </w:r>
          </w:p>
          <w:p w14:paraId="2EC73908" w14:textId="77777777" w:rsidR="00040622" w:rsidRDefault="00040622" w:rsidP="00293183">
            <w:pPr>
              <w:pStyle w:val="ListParagraph"/>
              <w:numPr>
                <w:ilvl w:val="0"/>
                <w:numId w:val="9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Post-acute COVID admission or long/ chronic COVID:</w:t>
            </w:r>
          </w:p>
          <w:p w14:paraId="2BE3BB74" w14:textId="77777777" w:rsidR="00040622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Prior COVID admission/ mention of prior COVID illness AND</w:t>
            </w:r>
          </w:p>
          <w:p w14:paraId="5A9B18EC" w14:textId="77777777" w:rsidR="00040622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&gt; 2 weeks from positive PCR/ 3 weeks of symptom onset OR</w:t>
            </w:r>
          </w:p>
          <w:p w14:paraId="0B17F007" w14:textId="77777777" w:rsidR="00040622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Discharge summary or clinical notes mention this admission due to sequelae of prior COVID-19 infection</w:t>
            </w:r>
          </w:p>
          <w:p w14:paraId="305FEB4D" w14:textId="77777777" w:rsidR="00040622" w:rsidRDefault="00040622" w:rsidP="00293183">
            <w:pPr>
              <w:pStyle w:val="ListParagraph"/>
              <w:numPr>
                <w:ilvl w:val="0"/>
                <w:numId w:val="9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COVID reinfection</w:t>
            </w:r>
          </w:p>
          <w:p w14:paraId="6AD2A9A2" w14:textId="77777777" w:rsidR="00040622" w:rsidRPr="00101739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Discharge summary/ post work-up clinical notes</w:t>
            </w:r>
            <w:r w:rsidRPr="00101739">
              <w:rPr>
                <w:color w:val="000000"/>
              </w:rPr>
              <w:t xml:space="preserve"> describe COVID reinfection</w:t>
            </w:r>
            <w:r>
              <w:rPr>
                <w:color w:val="000000"/>
              </w:rPr>
              <w:t xml:space="preserve"> or symptoms attributed to it OR</w:t>
            </w:r>
          </w:p>
          <w:p w14:paraId="2EC2A2B0" w14:textId="77777777" w:rsidR="00040622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Prior COVID infection: either admission or mentioned in notes AND/OR</w:t>
            </w:r>
          </w:p>
          <w:p w14:paraId="7BE81712" w14:textId="77777777" w:rsidR="00040622" w:rsidRPr="00F524AF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 w:rsidRPr="00F524AF">
              <w:rPr>
                <w:color w:val="000000"/>
              </w:rPr>
              <w:t xml:space="preserve">PCR positive again &gt;= 90 days after prior positive PCR/ admission </w:t>
            </w:r>
          </w:p>
          <w:p w14:paraId="11CA0547" w14:textId="77777777" w:rsidR="00040622" w:rsidRPr="00F524AF" w:rsidRDefault="00040622" w:rsidP="00293183">
            <w:pPr>
              <w:pStyle w:val="ListParagraph"/>
              <w:numPr>
                <w:ilvl w:val="0"/>
                <w:numId w:val="9"/>
              </w:numPr>
              <w:spacing w:after="160" w:line="480" w:lineRule="auto"/>
              <w:rPr>
                <w:color w:val="000000"/>
              </w:rPr>
            </w:pPr>
            <w:r w:rsidRPr="00F524AF">
              <w:rPr>
                <w:color w:val="000000"/>
              </w:rPr>
              <w:t>Non COVID admission:</w:t>
            </w:r>
          </w:p>
          <w:p w14:paraId="0E393276" w14:textId="77777777" w:rsidR="00040622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No positive COVID PCR OR</w:t>
            </w:r>
          </w:p>
          <w:p w14:paraId="43519F26" w14:textId="77777777" w:rsidR="00040622" w:rsidRPr="004127F7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PCR positive &gt; 4 weeks ago and clinical notes identify non-COVID cause of hospitalization</w:t>
            </w:r>
            <w:r w:rsidRPr="004127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OR</w:t>
            </w:r>
          </w:p>
          <w:p w14:paraId="2D535D2E" w14:textId="77777777" w:rsidR="00040622" w:rsidRPr="004127F7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Clinical notes identify non-COVID cause of hospitalization</w:t>
            </w:r>
            <w:r w:rsidRPr="004127F7">
              <w:rPr>
                <w:color w:val="000000"/>
              </w:rPr>
              <w:t xml:space="preserve"> </w:t>
            </w:r>
          </w:p>
          <w:p w14:paraId="722A8885" w14:textId="77777777" w:rsidR="00040622" w:rsidRPr="00DE6634" w:rsidRDefault="00040622" w:rsidP="00293183">
            <w:pPr>
              <w:rPr>
                <w:color w:val="000000"/>
              </w:rPr>
            </w:pPr>
          </w:p>
          <w:p w14:paraId="64C45C36" w14:textId="77777777" w:rsidR="00040622" w:rsidRDefault="00040622" w:rsidP="00293183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b/>
                <w:bCs/>
                <w:color w:val="000000"/>
              </w:rPr>
            </w:pPr>
            <w:r w:rsidRPr="00DE6634">
              <w:rPr>
                <w:b/>
                <w:bCs/>
                <w:color w:val="000000"/>
              </w:rPr>
              <w:t>Chart Review</w:t>
            </w:r>
            <w:r>
              <w:rPr>
                <w:b/>
                <w:bCs/>
                <w:color w:val="000000"/>
              </w:rPr>
              <w:t>:</w:t>
            </w:r>
          </w:p>
          <w:p w14:paraId="5C12743C" w14:textId="77777777" w:rsidR="00040622" w:rsidRPr="006E0FDE" w:rsidRDefault="00040622" w:rsidP="00293183">
            <w:pPr>
              <w:spacing w:line="48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Excel Spreadsheet with the following columns; use =DATE function for dates</w:t>
            </w:r>
          </w:p>
          <w:p w14:paraId="4B01FBDC" w14:textId="77777777" w:rsidR="00040622" w:rsidRDefault="00040622" w:rsidP="00293183">
            <w:pPr>
              <w:pStyle w:val="ListParagraph"/>
              <w:numPr>
                <w:ilvl w:val="0"/>
                <w:numId w:val="11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Patient identifier</w:t>
            </w:r>
          </w:p>
          <w:p w14:paraId="26280D80" w14:textId="77777777" w:rsidR="00040622" w:rsidRDefault="00040622" w:rsidP="00293183">
            <w:pPr>
              <w:pStyle w:val="ListParagraph"/>
              <w:numPr>
                <w:ilvl w:val="0"/>
                <w:numId w:val="11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Direct admission, transfer or unsure (0,1,2)</w:t>
            </w:r>
          </w:p>
          <w:p w14:paraId="699AB486" w14:textId="77777777" w:rsidR="00040622" w:rsidRDefault="00040622" w:rsidP="00293183">
            <w:pPr>
              <w:pStyle w:val="ListParagraph"/>
              <w:numPr>
                <w:ilvl w:val="0"/>
                <w:numId w:val="11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Date of admission (to outside hospital if transfer)</w:t>
            </w:r>
          </w:p>
          <w:p w14:paraId="6F0C6E64" w14:textId="77777777" w:rsidR="00040622" w:rsidRDefault="00040622" w:rsidP="00293183">
            <w:pPr>
              <w:pStyle w:val="ListParagraph"/>
              <w:numPr>
                <w:ilvl w:val="0"/>
                <w:numId w:val="11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Date of symptom onset (if mentioned)</w:t>
            </w:r>
          </w:p>
          <w:p w14:paraId="4AF3D9E1" w14:textId="77777777" w:rsidR="00040622" w:rsidRDefault="00040622" w:rsidP="00293183">
            <w:pPr>
              <w:pStyle w:val="ListParagraph"/>
              <w:numPr>
                <w:ilvl w:val="0"/>
                <w:numId w:val="11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COVID testing</w:t>
            </w:r>
          </w:p>
          <w:p w14:paraId="07FA67C8" w14:textId="77777777" w:rsidR="00040622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Any PCR (+/-) present in system during/ before admission (1,0): Used any PCR to pick up old COVID, re-infection etc. This will help us determine the performance of a definition in recovered COVID patients as well as acute patients. We can use the date range to determine later if it was close to the admission or not</w:t>
            </w:r>
          </w:p>
          <w:p w14:paraId="2C6C0B5F" w14:textId="77777777" w:rsidR="00040622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Were any PCR results positive? (1,0)</w:t>
            </w:r>
          </w:p>
          <w:p w14:paraId="47FCF954" w14:textId="77777777" w:rsidR="00040622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Date of first positive PCR</w:t>
            </w:r>
          </w:p>
          <w:p w14:paraId="4EF5DFBC" w14:textId="77777777" w:rsidR="00040622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Mention of PCR/antigen test outside system in notes (1,0)</w:t>
            </w:r>
          </w:p>
          <w:p w14:paraId="49950F6E" w14:textId="77777777" w:rsidR="00040622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Date of positive antigen testing </w:t>
            </w:r>
          </w:p>
          <w:p w14:paraId="767DCA85" w14:textId="77777777" w:rsidR="00040622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Unclear/unsure about COVID testing (1,0)</w:t>
            </w:r>
          </w:p>
          <w:p w14:paraId="52CF4F2B" w14:textId="77777777" w:rsidR="00040622" w:rsidRDefault="00040622" w:rsidP="00293183">
            <w:pPr>
              <w:pStyle w:val="ListParagraph"/>
              <w:numPr>
                <w:ilvl w:val="0"/>
                <w:numId w:val="11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Your impression</w:t>
            </w:r>
          </w:p>
          <w:p w14:paraId="761D1263" w14:textId="77777777" w:rsidR="00040622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Acute COVID (1,0)</w:t>
            </w:r>
          </w:p>
          <w:p w14:paraId="54576423" w14:textId="77777777" w:rsidR="00040622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Post-acute COVID (1,0)</w:t>
            </w:r>
          </w:p>
          <w:p w14:paraId="37A97C71" w14:textId="77777777" w:rsidR="00040622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COVID reinfection (1,0)</w:t>
            </w:r>
          </w:p>
          <w:p w14:paraId="7C17B9D6" w14:textId="77777777" w:rsidR="00040622" w:rsidRPr="003B475A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Post-acute COVID or </w:t>
            </w:r>
            <w:r w:rsidRPr="003B475A">
              <w:rPr>
                <w:color w:val="000000"/>
              </w:rPr>
              <w:t>COVID reinfection</w:t>
            </w:r>
            <w:r>
              <w:rPr>
                <w:color w:val="000000"/>
              </w:rPr>
              <w:t xml:space="preserve"> (hard to tell)</w:t>
            </w:r>
            <w:r w:rsidRPr="003B475A">
              <w:rPr>
                <w:color w:val="000000"/>
              </w:rPr>
              <w:t xml:space="preserve"> (1,0)</w:t>
            </w:r>
          </w:p>
          <w:p w14:paraId="35414F30" w14:textId="77777777" w:rsidR="00040622" w:rsidRPr="003B475A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Not COVID related (1,0)</w:t>
            </w:r>
          </w:p>
          <w:p w14:paraId="2587B570" w14:textId="77777777" w:rsidR="00040622" w:rsidRPr="006C0FB5" w:rsidRDefault="00040622" w:rsidP="00293183">
            <w:pPr>
              <w:pStyle w:val="ListParagraph"/>
              <w:numPr>
                <w:ilvl w:val="0"/>
                <w:numId w:val="10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Unsure (1,0)</w:t>
            </w:r>
          </w:p>
          <w:p w14:paraId="62484AB9" w14:textId="77777777" w:rsidR="00040622" w:rsidRDefault="00040622" w:rsidP="00293183">
            <w:pPr>
              <w:rPr>
                <w:color w:val="000000"/>
              </w:rPr>
            </w:pPr>
            <w:r>
              <w:rPr>
                <w:color w:val="000000"/>
              </w:rPr>
              <w:br w:type="page"/>
            </w:r>
          </w:p>
          <w:p w14:paraId="0A678E86" w14:textId="77777777" w:rsidR="00040622" w:rsidRDefault="00040622" w:rsidP="00293183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b/>
                <w:bCs/>
                <w:color w:val="000000"/>
              </w:rPr>
            </w:pPr>
            <w:r w:rsidRPr="006C0FB5">
              <w:rPr>
                <w:b/>
                <w:bCs/>
                <w:color w:val="000000"/>
              </w:rPr>
              <w:t>Explore data fidelity</w:t>
            </w:r>
            <w:r>
              <w:rPr>
                <w:b/>
                <w:bCs/>
                <w:color w:val="000000"/>
              </w:rPr>
              <w:t xml:space="preserve"> and missingness</w:t>
            </w:r>
          </w:p>
          <w:p w14:paraId="41D37310" w14:textId="77777777" w:rsidR="00040622" w:rsidRPr="005F44E2" w:rsidRDefault="00040622" w:rsidP="00293183">
            <w:pPr>
              <w:pStyle w:val="ListParagraph"/>
              <w:numPr>
                <w:ilvl w:val="0"/>
                <w:numId w:val="12"/>
              </w:numPr>
              <w:spacing w:after="160" w:line="480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Evaluate for missing data/ alphanumeric data instead of 0,1, or dates</w:t>
            </w:r>
          </w:p>
          <w:p w14:paraId="67F1F21E" w14:textId="77777777" w:rsidR="00040622" w:rsidRPr="006C0FB5" w:rsidRDefault="00040622" w:rsidP="00293183">
            <w:pPr>
              <w:pStyle w:val="ListParagraph"/>
              <w:numPr>
                <w:ilvl w:val="0"/>
                <w:numId w:val="12"/>
              </w:numPr>
              <w:spacing w:after="160" w:line="480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% of direct admissions and transfers</w:t>
            </w:r>
          </w:p>
          <w:p w14:paraId="47E269C6" w14:textId="77777777" w:rsidR="00040622" w:rsidRPr="005F44E2" w:rsidRDefault="00040622" w:rsidP="00293183">
            <w:pPr>
              <w:pStyle w:val="ListParagraph"/>
              <w:numPr>
                <w:ilvl w:val="0"/>
                <w:numId w:val="12"/>
              </w:numPr>
              <w:spacing w:after="160" w:line="480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Are there differences in dates of admission by chart review and data pull (for direct admissions)?</w:t>
            </w:r>
          </w:p>
          <w:p w14:paraId="5400BAF4" w14:textId="77777777" w:rsidR="00040622" w:rsidRPr="005F44E2" w:rsidRDefault="00040622" w:rsidP="00293183">
            <w:pPr>
              <w:pStyle w:val="ListParagraph"/>
              <w:numPr>
                <w:ilvl w:val="0"/>
                <w:numId w:val="12"/>
              </w:numPr>
              <w:spacing w:after="160" w:line="480" w:lineRule="auto"/>
              <w:rPr>
                <w:color w:val="000000"/>
              </w:rPr>
            </w:pPr>
            <w:r w:rsidRPr="005F44E2">
              <w:rPr>
                <w:color w:val="000000"/>
              </w:rPr>
              <w:t>% of transferred patients</w:t>
            </w:r>
            <w:r>
              <w:rPr>
                <w:color w:val="000000"/>
              </w:rPr>
              <w:t xml:space="preserve"> with outside admission dates available vs not</w:t>
            </w:r>
          </w:p>
          <w:p w14:paraId="3B10FD4E" w14:textId="77777777" w:rsidR="00040622" w:rsidRPr="006C0FB5" w:rsidRDefault="00040622" w:rsidP="00293183">
            <w:pPr>
              <w:pStyle w:val="ListParagraph"/>
              <w:numPr>
                <w:ilvl w:val="0"/>
                <w:numId w:val="12"/>
              </w:numPr>
              <w:spacing w:after="160" w:line="480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? Difference between dates of admission and database extraction in transferred patients</w:t>
            </w:r>
          </w:p>
          <w:p w14:paraId="15D26AF0" w14:textId="77777777" w:rsidR="00040622" w:rsidRPr="006C0FB5" w:rsidRDefault="00040622" w:rsidP="00293183">
            <w:pPr>
              <w:pStyle w:val="ListParagraph"/>
              <w:numPr>
                <w:ilvl w:val="0"/>
                <w:numId w:val="12"/>
              </w:numPr>
              <w:spacing w:after="160" w:line="480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Difference in % or dates of COVID testing in chart review and data pull?</w:t>
            </w:r>
          </w:p>
          <w:p w14:paraId="445D253F" w14:textId="77777777" w:rsidR="00040622" w:rsidRDefault="00040622" w:rsidP="00293183">
            <w:pPr>
              <w:pStyle w:val="ListParagraph"/>
              <w:numPr>
                <w:ilvl w:val="0"/>
                <w:numId w:val="12"/>
              </w:numPr>
              <w:spacing w:after="160" w:line="480" w:lineRule="auto"/>
              <w:rPr>
                <w:color w:val="000000"/>
              </w:rPr>
            </w:pPr>
            <w:r w:rsidRPr="005F44E2">
              <w:rPr>
                <w:color w:val="000000"/>
              </w:rPr>
              <w:lastRenderedPageBreak/>
              <w:t>% with COVID</w:t>
            </w:r>
            <w:r>
              <w:rPr>
                <w:color w:val="000000"/>
              </w:rPr>
              <w:t xml:space="preserve"> testing, PCR testing, antigen testing. Changes with direct admissions vs transfers?</w:t>
            </w:r>
          </w:p>
          <w:p w14:paraId="446AB43C" w14:textId="77777777" w:rsidR="00040622" w:rsidRDefault="00040622" w:rsidP="00293183">
            <w:pPr>
              <w:pStyle w:val="ListParagraph"/>
              <w:numPr>
                <w:ilvl w:val="0"/>
                <w:numId w:val="12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% unsure responses in each impression</w:t>
            </w:r>
          </w:p>
          <w:p w14:paraId="4C912D2D" w14:textId="77777777" w:rsidR="00040622" w:rsidRDefault="00040622" w:rsidP="00293183">
            <w:pPr>
              <w:pStyle w:val="ListParagraph"/>
              <w:numPr>
                <w:ilvl w:val="0"/>
                <w:numId w:val="12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Validate the first 3 columns of the definitions to see if we can get excellent performance without complicating or adding processes of care. If that’s the case, stop.</w:t>
            </w:r>
          </w:p>
          <w:p w14:paraId="787EE6D8" w14:textId="77777777" w:rsidR="00040622" w:rsidRDefault="00040622" w:rsidP="00293183">
            <w:pPr>
              <w:pStyle w:val="ListParagraph"/>
              <w:numPr>
                <w:ilvl w:val="0"/>
                <w:numId w:val="12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Run query: Are airborne or COVID-19 precautions identifiable in the database? Can the duration of airborne precautions reliably be extracted? What % people with U07.1 had airborne precautions? What % of patients with a positive PCR within 14 days or during admission had airborne precautions?</w:t>
            </w:r>
          </w:p>
          <w:p w14:paraId="376AE1F5" w14:textId="77777777" w:rsidR="00040622" w:rsidRPr="005F44E2" w:rsidRDefault="00040622" w:rsidP="00293183">
            <w:pPr>
              <w:pStyle w:val="ListParagraph"/>
              <w:numPr>
                <w:ilvl w:val="0"/>
                <w:numId w:val="12"/>
              </w:numPr>
              <w:spacing w:after="160" w:line="480" w:lineRule="auto"/>
              <w:rPr>
                <w:color w:val="000000"/>
              </w:rPr>
            </w:pPr>
            <w:r>
              <w:rPr>
                <w:color w:val="000000"/>
              </w:rPr>
              <w:t>% of patients with paO2, paCO2, LDH, procalcitonin</w:t>
            </w:r>
          </w:p>
          <w:p w14:paraId="1A6B46A7" w14:textId="77777777" w:rsidR="00040622" w:rsidRDefault="00040622" w:rsidP="00293183">
            <w:pPr>
              <w:rPr>
                <w:color w:val="000000"/>
              </w:rPr>
            </w:pPr>
            <w:r>
              <w:rPr>
                <w:color w:val="000000"/>
              </w:rPr>
              <w:br w:type="page"/>
            </w:r>
          </w:p>
          <w:p w14:paraId="2082358F" w14:textId="77777777" w:rsidR="00040622" w:rsidRPr="006C0FB5" w:rsidRDefault="00040622" w:rsidP="00293183">
            <w:pPr>
              <w:pStyle w:val="ListParagraph"/>
              <w:spacing w:line="480" w:lineRule="auto"/>
              <w:ind w:left="1080"/>
              <w:rPr>
                <w:color w:val="000000"/>
              </w:rPr>
            </w:pPr>
          </w:p>
          <w:p w14:paraId="3E4D6DF7" w14:textId="77777777" w:rsidR="00040622" w:rsidRPr="00983D0C" w:rsidRDefault="00040622" w:rsidP="00293183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b/>
                <w:bCs/>
                <w:color w:val="000000"/>
              </w:rPr>
            </w:pPr>
            <w:r w:rsidRPr="00983D0C">
              <w:rPr>
                <w:b/>
                <w:bCs/>
                <w:color w:val="000000"/>
              </w:rPr>
              <w:t>Validate definitions</w:t>
            </w:r>
          </w:p>
          <w:p w14:paraId="3B806D5B" w14:textId="77777777" w:rsidR="00040622" w:rsidRDefault="00040622" w:rsidP="00293183">
            <w:r>
              <w:t>Candidate definition rules:</w:t>
            </w:r>
          </w:p>
          <w:p w14:paraId="48F0009E" w14:textId="77777777" w:rsidR="00040622" w:rsidRDefault="00040622" w:rsidP="00293183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>Positive PCR during admission or within 2 weeks before admission</w:t>
            </w:r>
          </w:p>
          <w:p w14:paraId="3A548EF5" w14:textId="77777777" w:rsidR="00040622" w:rsidRDefault="00040622" w:rsidP="00293183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>Positive PCR (ever) before/ during admission</w:t>
            </w:r>
          </w:p>
          <w:p w14:paraId="58FD1383" w14:textId="77777777" w:rsidR="00040622" w:rsidRDefault="00040622" w:rsidP="00293183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>U07.1 ICD code in hospital problem list, billing or discharge diagnosis</w:t>
            </w:r>
          </w:p>
          <w:p w14:paraId="7FE25F81" w14:textId="77777777" w:rsidR="00040622" w:rsidRDefault="00040622" w:rsidP="00293183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>COVID airborne precautions +/- &gt; 72 hours (TBD)</w:t>
            </w:r>
          </w:p>
          <w:p w14:paraId="2A76CCAE" w14:textId="77777777" w:rsidR="00040622" w:rsidRDefault="00040622" w:rsidP="00293183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>Concurrent labs: PaCO2, PaO2, LDH, Procalcitonin</w:t>
            </w:r>
          </w:p>
          <w:p w14:paraId="2A96E995" w14:textId="77777777" w:rsidR="00040622" w:rsidRDefault="00040622" w:rsidP="00293183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 xml:space="preserve">Therapeutics use during admission: Remdesivir or hydroxychloroquine or </w:t>
            </w:r>
            <w:proofErr w:type="spellStart"/>
            <w:r>
              <w:t>baricitinib</w:t>
            </w:r>
            <w:proofErr w:type="spellEnd"/>
            <w:r>
              <w:t xml:space="preserve"> or convalescent plasma or steroids (dexamethasone, prednisone, </w:t>
            </w:r>
            <w:proofErr w:type="spellStart"/>
            <w:r>
              <w:t>methylprednisione</w:t>
            </w:r>
            <w:proofErr w:type="spellEnd"/>
            <w:r>
              <w:t xml:space="preserve">) or ritonavir or lopinavir or tocilizumab or </w:t>
            </w:r>
            <w:proofErr w:type="spellStart"/>
            <w:r>
              <w:t>bamlanivimab</w:t>
            </w:r>
            <w:proofErr w:type="spellEnd"/>
            <w:r>
              <w:t xml:space="preserve"> or </w:t>
            </w:r>
            <w:proofErr w:type="spellStart"/>
            <w:r>
              <w:t>bamlanivimab</w:t>
            </w:r>
            <w:proofErr w:type="spellEnd"/>
            <w:r>
              <w:t>/</w:t>
            </w:r>
            <w:proofErr w:type="spellStart"/>
            <w:r>
              <w:t>etesivimab</w:t>
            </w:r>
            <w:proofErr w:type="spellEnd"/>
            <w:r>
              <w:t xml:space="preserve"> or </w:t>
            </w:r>
            <w:proofErr w:type="spellStart"/>
            <w:r>
              <w:t>casirivimab</w:t>
            </w:r>
            <w:proofErr w:type="spellEnd"/>
            <w:r>
              <w:t>/</w:t>
            </w:r>
            <w:proofErr w:type="spellStart"/>
            <w:r>
              <w:t>imdevimab</w:t>
            </w:r>
            <w:proofErr w:type="spellEnd"/>
            <w:r>
              <w:t xml:space="preserve"> or ivermectin or anakinra</w:t>
            </w:r>
          </w:p>
          <w:p w14:paraId="7A8BBFB5" w14:textId="77777777" w:rsidR="00040622" w:rsidRPr="00774EEA" w:rsidRDefault="00040622" w:rsidP="00293183">
            <w:r w:rsidRPr="00774EEA">
              <w:t>Definition of acute case on chart review: Evidence of active infection (symptomatic/ asymptomatic) or within 2 weeks of positive PCR</w:t>
            </w:r>
          </w:p>
          <w:tbl>
            <w:tblPr>
              <w:tblStyle w:val="GridTable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726"/>
              <w:gridCol w:w="907"/>
              <w:gridCol w:w="907"/>
              <w:gridCol w:w="907"/>
              <w:gridCol w:w="907"/>
              <w:gridCol w:w="907"/>
              <w:gridCol w:w="907"/>
            </w:tblGrid>
            <w:tr w:rsidR="00040622" w14:paraId="57B6FE83" w14:textId="77777777" w:rsidTr="000866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14:paraId="5E468700" w14:textId="77777777" w:rsidR="00040622" w:rsidRPr="006A3F35" w:rsidRDefault="00040622" w:rsidP="00293183">
                  <w:pPr>
                    <w:rPr>
                      <w:b w:val="0"/>
                      <w:bCs w:val="0"/>
                    </w:rPr>
                  </w:pPr>
                  <w:r w:rsidRPr="006A3F35">
                    <w:rPr>
                      <w:b w:val="0"/>
                      <w:bCs w:val="0"/>
                    </w:rPr>
                    <w:t>To be tested</w:t>
                  </w:r>
                </w:p>
              </w:tc>
              <w:tc>
                <w:tcPr>
                  <w:tcW w:w="726" w:type="dxa"/>
                </w:tcPr>
                <w:p w14:paraId="52B5FBC4" w14:textId="77777777" w:rsidR="00040622" w:rsidRDefault="00040622" w:rsidP="0029318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</w:t>
                  </w:r>
                </w:p>
              </w:tc>
              <w:tc>
                <w:tcPr>
                  <w:tcW w:w="907" w:type="dxa"/>
                </w:tcPr>
                <w:p w14:paraId="2A887635" w14:textId="77777777" w:rsidR="00040622" w:rsidRDefault="00040622" w:rsidP="0029318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</w:t>
                  </w:r>
                </w:p>
              </w:tc>
              <w:tc>
                <w:tcPr>
                  <w:tcW w:w="907" w:type="dxa"/>
                </w:tcPr>
                <w:p w14:paraId="502B873A" w14:textId="77777777" w:rsidR="00040622" w:rsidRDefault="00040622" w:rsidP="0029318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2</w:t>
                  </w:r>
                </w:p>
              </w:tc>
              <w:tc>
                <w:tcPr>
                  <w:tcW w:w="907" w:type="dxa"/>
                </w:tcPr>
                <w:p w14:paraId="30EF89D9" w14:textId="77777777" w:rsidR="00040622" w:rsidRDefault="00040622" w:rsidP="0029318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2</w:t>
                  </w:r>
                </w:p>
              </w:tc>
              <w:tc>
                <w:tcPr>
                  <w:tcW w:w="907" w:type="dxa"/>
                </w:tcPr>
                <w:p w14:paraId="70881223" w14:textId="77777777" w:rsidR="00040622" w:rsidRDefault="00040622" w:rsidP="0029318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2</w:t>
                  </w:r>
                </w:p>
              </w:tc>
              <w:tc>
                <w:tcPr>
                  <w:tcW w:w="907" w:type="dxa"/>
                </w:tcPr>
                <w:p w14:paraId="2F2CAD6B" w14:textId="77777777" w:rsidR="00040622" w:rsidRDefault="00040622" w:rsidP="0029318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2</w:t>
                  </w:r>
                </w:p>
              </w:tc>
              <w:tc>
                <w:tcPr>
                  <w:tcW w:w="907" w:type="dxa"/>
                </w:tcPr>
                <w:p w14:paraId="6005C081" w14:textId="77777777" w:rsidR="00040622" w:rsidRDefault="00040622" w:rsidP="0029318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2</w:t>
                  </w:r>
                </w:p>
              </w:tc>
            </w:tr>
            <w:tr w:rsidR="00040622" w14:paraId="0B114AE2" w14:textId="77777777" w:rsidTr="00086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14:paraId="224EC5C7" w14:textId="77777777" w:rsidR="00040622" w:rsidRPr="006A3F35" w:rsidRDefault="00040622" w:rsidP="00293183">
                  <w:pPr>
                    <w:rPr>
                      <w:b w:val="0"/>
                      <w:bCs w:val="0"/>
                      <w:i/>
                      <w:iCs/>
                    </w:rPr>
                  </w:pPr>
                  <w:r w:rsidRPr="006A3F35">
                    <w:rPr>
                      <w:b w:val="0"/>
                      <w:bCs w:val="0"/>
                      <w:i/>
                      <w:iCs/>
                    </w:rPr>
                    <w:t>Qualifier</w:t>
                  </w:r>
                </w:p>
              </w:tc>
              <w:tc>
                <w:tcPr>
                  <w:tcW w:w="726" w:type="dxa"/>
                </w:tcPr>
                <w:p w14:paraId="43062322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907" w:type="dxa"/>
                </w:tcPr>
                <w:p w14:paraId="5D7E9FE6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OR</w:t>
                  </w:r>
                </w:p>
              </w:tc>
              <w:tc>
                <w:tcPr>
                  <w:tcW w:w="907" w:type="dxa"/>
                </w:tcPr>
                <w:p w14:paraId="5DC91E82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OR</w:t>
                  </w:r>
                </w:p>
              </w:tc>
              <w:tc>
                <w:tcPr>
                  <w:tcW w:w="907" w:type="dxa"/>
                </w:tcPr>
                <w:p w14:paraId="07A446E8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OR</w:t>
                  </w:r>
                </w:p>
              </w:tc>
              <w:tc>
                <w:tcPr>
                  <w:tcW w:w="907" w:type="dxa"/>
                </w:tcPr>
                <w:p w14:paraId="4440F86A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OR</w:t>
                  </w:r>
                </w:p>
              </w:tc>
              <w:tc>
                <w:tcPr>
                  <w:tcW w:w="907" w:type="dxa"/>
                </w:tcPr>
                <w:p w14:paraId="0B86D4F3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OR</w:t>
                  </w:r>
                </w:p>
              </w:tc>
              <w:tc>
                <w:tcPr>
                  <w:tcW w:w="907" w:type="dxa"/>
                </w:tcPr>
                <w:p w14:paraId="4EA42AF8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OR</w:t>
                  </w:r>
                </w:p>
              </w:tc>
            </w:tr>
            <w:tr w:rsidR="00040622" w14:paraId="414319C1" w14:textId="77777777" w:rsidTr="0008660E">
              <w:trPr>
                <w:trHeight w:val="2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14:paraId="31726AF6" w14:textId="77777777" w:rsidR="00040622" w:rsidRPr="006A3F35" w:rsidRDefault="00040622" w:rsidP="00293183">
                  <w:pPr>
                    <w:rPr>
                      <w:b w:val="0"/>
                      <w:bCs w:val="0"/>
                      <w:i/>
                      <w:iCs/>
                    </w:rPr>
                  </w:pPr>
                  <w:r w:rsidRPr="006A3F35">
                    <w:rPr>
                      <w:b w:val="0"/>
                      <w:bCs w:val="0"/>
                      <w:i/>
                      <w:iCs/>
                    </w:rPr>
                    <w:t>To be tested</w:t>
                  </w:r>
                </w:p>
              </w:tc>
              <w:tc>
                <w:tcPr>
                  <w:tcW w:w="726" w:type="dxa"/>
                </w:tcPr>
                <w:p w14:paraId="0D7E3550" w14:textId="77777777" w:rsidR="00040622" w:rsidRDefault="00040622" w:rsidP="002931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907" w:type="dxa"/>
                </w:tcPr>
                <w:p w14:paraId="3DCFFEA7" w14:textId="77777777" w:rsidR="00040622" w:rsidRDefault="00040622" w:rsidP="002931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3</w:t>
                  </w:r>
                </w:p>
              </w:tc>
              <w:tc>
                <w:tcPr>
                  <w:tcW w:w="907" w:type="dxa"/>
                </w:tcPr>
                <w:p w14:paraId="6F69162C" w14:textId="77777777" w:rsidR="00040622" w:rsidRDefault="00040622" w:rsidP="002931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3</w:t>
                  </w:r>
                </w:p>
              </w:tc>
              <w:tc>
                <w:tcPr>
                  <w:tcW w:w="907" w:type="dxa"/>
                </w:tcPr>
                <w:p w14:paraId="2D847718" w14:textId="77777777" w:rsidR="00040622" w:rsidRDefault="00040622" w:rsidP="002931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3</w:t>
                  </w:r>
                </w:p>
              </w:tc>
              <w:tc>
                <w:tcPr>
                  <w:tcW w:w="907" w:type="dxa"/>
                </w:tcPr>
                <w:p w14:paraId="4DD996C7" w14:textId="77777777" w:rsidR="00040622" w:rsidRDefault="00040622" w:rsidP="002931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3</w:t>
                  </w:r>
                </w:p>
              </w:tc>
              <w:tc>
                <w:tcPr>
                  <w:tcW w:w="907" w:type="dxa"/>
                </w:tcPr>
                <w:p w14:paraId="2F7A3FF0" w14:textId="77777777" w:rsidR="00040622" w:rsidRDefault="00040622" w:rsidP="002931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3</w:t>
                  </w:r>
                </w:p>
              </w:tc>
              <w:tc>
                <w:tcPr>
                  <w:tcW w:w="907" w:type="dxa"/>
                </w:tcPr>
                <w:p w14:paraId="7FF3A663" w14:textId="77777777" w:rsidR="00040622" w:rsidRDefault="00040622" w:rsidP="002931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3</w:t>
                  </w:r>
                </w:p>
              </w:tc>
            </w:tr>
            <w:tr w:rsidR="00040622" w14:paraId="356DCFCB" w14:textId="77777777" w:rsidTr="00086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14:paraId="463FC945" w14:textId="77777777" w:rsidR="00040622" w:rsidRPr="006A3F35" w:rsidRDefault="00040622" w:rsidP="00293183">
                  <w:pPr>
                    <w:rPr>
                      <w:b w:val="0"/>
                      <w:bCs w:val="0"/>
                      <w:i/>
                      <w:iCs/>
                    </w:rPr>
                  </w:pPr>
                  <w:r w:rsidRPr="006A3F35">
                    <w:rPr>
                      <w:b w:val="0"/>
                      <w:bCs w:val="0"/>
                      <w:i/>
                      <w:iCs/>
                    </w:rPr>
                    <w:t>Qualifier</w:t>
                  </w:r>
                </w:p>
              </w:tc>
              <w:tc>
                <w:tcPr>
                  <w:tcW w:w="726" w:type="dxa"/>
                </w:tcPr>
                <w:p w14:paraId="181932D6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907" w:type="dxa"/>
                </w:tcPr>
                <w:p w14:paraId="19BFFC42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907" w:type="dxa"/>
                </w:tcPr>
                <w:p w14:paraId="753D3283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907" w:type="dxa"/>
                </w:tcPr>
                <w:p w14:paraId="47C7B0D1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AND</w:t>
                  </w:r>
                </w:p>
              </w:tc>
              <w:tc>
                <w:tcPr>
                  <w:tcW w:w="907" w:type="dxa"/>
                </w:tcPr>
                <w:p w14:paraId="52D72B0D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AND</w:t>
                  </w:r>
                </w:p>
              </w:tc>
              <w:tc>
                <w:tcPr>
                  <w:tcW w:w="907" w:type="dxa"/>
                </w:tcPr>
                <w:p w14:paraId="239B657F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AND</w:t>
                  </w:r>
                </w:p>
              </w:tc>
              <w:tc>
                <w:tcPr>
                  <w:tcW w:w="907" w:type="dxa"/>
                </w:tcPr>
                <w:p w14:paraId="1B916F76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AND </w:t>
                  </w:r>
                </w:p>
              </w:tc>
            </w:tr>
            <w:tr w:rsidR="00040622" w14:paraId="3F391477" w14:textId="77777777" w:rsidTr="0008660E">
              <w:trPr>
                <w:trHeight w:val="2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14:paraId="50C974FD" w14:textId="77777777" w:rsidR="00040622" w:rsidRPr="006A3F35" w:rsidRDefault="00040622" w:rsidP="00293183">
                  <w:pPr>
                    <w:rPr>
                      <w:b w:val="0"/>
                      <w:bCs w:val="0"/>
                      <w:i/>
                      <w:iCs/>
                    </w:rPr>
                  </w:pPr>
                  <w:r w:rsidRPr="006A3F35">
                    <w:rPr>
                      <w:b w:val="0"/>
                      <w:bCs w:val="0"/>
                      <w:i/>
                      <w:iCs/>
                    </w:rPr>
                    <w:lastRenderedPageBreak/>
                    <w:t>To be tested</w:t>
                  </w:r>
                </w:p>
              </w:tc>
              <w:tc>
                <w:tcPr>
                  <w:tcW w:w="726" w:type="dxa"/>
                </w:tcPr>
                <w:p w14:paraId="5B99EA5F" w14:textId="77777777" w:rsidR="00040622" w:rsidRDefault="00040622" w:rsidP="002931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907" w:type="dxa"/>
                </w:tcPr>
                <w:p w14:paraId="3AC11DE5" w14:textId="77777777" w:rsidR="00040622" w:rsidRDefault="00040622" w:rsidP="002931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907" w:type="dxa"/>
                </w:tcPr>
                <w:p w14:paraId="1DA4BCCD" w14:textId="77777777" w:rsidR="00040622" w:rsidRDefault="00040622" w:rsidP="002931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907" w:type="dxa"/>
                </w:tcPr>
                <w:p w14:paraId="53EBB972" w14:textId="77777777" w:rsidR="00040622" w:rsidRDefault="00040622" w:rsidP="002931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4/5/6</w:t>
                  </w:r>
                </w:p>
              </w:tc>
              <w:tc>
                <w:tcPr>
                  <w:tcW w:w="907" w:type="dxa"/>
                </w:tcPr>
                <w:p w14:paraId="1536345E" w14:textId="77777777" w:rsidR="00040622" w:rsidRDefault="00040622" w:rsidP="002931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4</w:t>
                  </w:r>
                </w:p>
              </w:tc>
              <w:tc>
                <w:tcPr>
                  <w:tcW w:w="907" w:type="dxa"/>
                </w:tcPr>
                <w:p w14:paraId="5B83A77B" w14:textId="77777777" w:rsidR="00040622" w:rsidRDefault="00040622" w:rsidP="002931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5</w:t>
                  </w:r>
                </w:p>
              </w:tc>
              <w:tc>
                <w:tcPr>
                  <w:tcW w:w="907" w:type="dxa"/>
                </w:tcPr>
                <w:p w14:paraId="64BCEF66" w14:textId="77777777" w:rsidR="00040622" w:rsidRDefault="00040622" w:rsidP="002931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6</w:t>
                  </w:r>
                </w:p>
              </w:tc>
            </w:tr>
            <w:tr w:rsidR="00040622" w14:paraId="7ED33F75" w14:textId="77777777" w:rsidTr="00086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0" w:type="dxa"/>
                </w:tcPr>
                <w:p w14:paraId="0BD2EF1A" w14:textId="77777777" w:rsidR="00040622" w:rsidRPr="006A3F35" w:rsidRDefault="00040622" w:rsidP="00293183">
                  <w:pPr>
                    <w:rPr>
                      <w:b w:val="0"/>
                      <w:bCs w:val="0"/>
                      <w:i/>
                      <w:iCs/>
                    </w:rPr>
                  </w:pPr>
                  <w:r w:rsidRPr="006A3F35">
                    <w:rPr>
                      <w:b w:val="0"/>
                      <w:bCs w:val="0"/>
                      <w:i/>
                      <w:iCs/>
                    </w:rPr>
                    <w:t>Definition</w:t>
                  </w:r>
                </w:p>
              </w:tc>
              <w:tc>
                <w:tcPr>
                  <w:tcW w:w="726" w:type="dxa"/>
                </w:tcPr>
                <w:p w14:paraId="362B7211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</w:t>
                  </w:r>
                </w:p>
              </w:tc>
              <w:tc>
                <w:tcPr>
                  <w:tcW w:w="907" w:type="dxa"/>
                </w:tcPr>
                <w:p w14:paraId="3BC3C3CD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1/3</w:t>
                  </w:r>
                </w:p>
              </w:tc>
              <w:tc>
                <w:tcPr>
                  <w:tcW w:w="907" w:type="dxa"/>
                </w:tcPr>
                <w:p w14:paraId="603B7034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2/3</w:t>
                  </w:r>
                </w:p>
              </w:tc>
              <w:tc>
                <w:tcPr>
                  <w:tcW w:w="907" w:type="dxa"/>
                </w:tcPr>
                <w:p w14:paraId="634C67D6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2/3+4/5/6</w:t>
                  </w:r>
                </w:p>
              </w:tc>
              <w:tc>
                <w:tcPr>
                  <w:tcW w:w="907" w:type="dxa"/>
                </w:tcPr>
                <w:p w14:paraId="05385AA2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2/3+4</w:t>
                  </w:r>
                </w:p>
              </w:tc>
              <w:tc>
                <w:tcPr>
                  <w:tcW w:w="907" w:type="dxa"/>
                </w:tcPr>
                <w:p w14:paraId="5DF99CD1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2/3+5</w:t>
                  </w:r>
                </w:p>
              </w:tc>
              <w:tc>
                <w:tcPr>
                  <w:tcW w:w="907" w:type="dxa"/>
                </w:tcPr>
                <w:p w14:paraId="4C01DEF5" w14:textId="77777777" w:rsidR="00040622" w:rsidRDefault="00040622" w:rsidP="0029318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2/3+6</w:t>
                  </w:r>
                </w:p>
              </w:tc>
            </w:tr>
          </w:tbl>
          <w:p w14:paraId="09365F46" w14:textId="77777777" w:rsidR="00040622" w:rsidRDefault="000406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F1A5F9" w14:textId="77777777" w:rsidR="00040622" w:rsidRDefault="000406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CD7DE62" w14:textId="5D31AA1A" w:rsidR="00040622" w:rsidRPr="008673B8" w:rsidRDefault="00040622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0622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55C265F" w14:textId="77777777" w:rsidR="00040622" w:rsidRPr="0074111E" w:rsidRDefault="00040622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EC6EB85" w14:textId="0B38B96C" w:rsidR="00040622" w:rsidRPr="0074111E" w:rsidRDefault="00040622" w:rsidP="00CF0D06">
            <w:pPr>
              <w:rPr>
                <w:rFonts w:ascii="Calibri Light" w:hAnsi="Calibri Light"/>
                <w:b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A293C30" w14:textId="77777777" w:rsidR="00040622" w:rsidRPr="00D5597C" w:rsidRDefault="00040622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87843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7AF6F35F" w14:textId="77777777" w:rsidR="00040622" w:rsidRPr="00D5597C" w:rsidRDefault="00040622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3810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D5597C">
              <w:rPr>
                <w:rFonts w:asciiTheme="majorHAnsi" w:hAnsiTheme="majorHAnsi" w:cstheme="majorHAnsi"/>
                <w:sz w:val="22"/>
                <w:szCs w:val="22"/>
              </w:rPr>
              <w:t>ICD9/10 codes</w:t>
            </w:r>
          </w:p>
          <w:p w14:paraId="6EE37FF7" w14:textId="77777777" w:rsidR="00040622" w:rsidRPr="00D5597C" w:rsidRDefault="00040622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36972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D5597C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28B11BB2" w14:textId="77777777" w:rsidR="00040622" w:rsidRPr="00D5597C" w:rsidRDefault="00040622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6084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Pr="00D5597C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40461DB7" w14:textId="2D8043F9" w:rsidR="00040622" w:rsidRPr="008673B8" w:rsidRDefault="000406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86811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D5597C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</w:tr>
      <w:tr w:rsidR="00040622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9315DDC" w14:textId="529A21BE" w:rsidR="00040622" w:rsidRPr="000B7654" w:rsidRDefault="00040622" w:rsidP="00CF0D06">
            <w:pPr>
              <w:rPr>
                <w:rFonts w:ascii="Calibri Light" w:hAnsi="Calibri Light"/>
                <w:i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A9ACBE3" w14:textId="621C27AB" w:rsidR="00040622" w:rsidRPr="00D5597C" w:rsidRDefault="00040622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that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proofErr w:type="gramStart"/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>i.e.</w:t>
            </w:r>
            <w:proofErr w:type="gramEnd"/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not common variables above) </w:t>
            </w:r>
          </w:p>
        </w:tc>
        <w:tc>
          <w:tcPr>
            <w:tcW w:w="4132" w:type="dxa"/>
          </w:tcPr>
          <w:p w14:paraId="2574C661" w14:textId="1A686375" w:rsidR="00040622" w:rsidRPr="00D5597C" w:rsidRDefault="00040622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35196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D5597C">
              <w:rPr>
                <w:rFonts w:asciiTheme="majorHAnsi" w:hAnsiTheme="majorHAnsi" w:cstheme="majorHAnsi"/>
                <w:sz w:val="22"/>
                <w:szCs w:val="22"/>
              </w:rPr>
              <w:t>Common Variable Labs</w:t>
            </w:r>
          </w:p>
          <w:p w14:paraId="0BEB2E50" w14:textId="2CE23AAE" w:rsidR="00040622" w:rsidRDefault="00040622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753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D5597C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6E3CB6E1" w14:textId="2CF65926" w:rsidR="00040622" w:rsidRDefault="00040622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696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F6963">
              <w:rPr>
                <w:rFonts w:asciiTheme="majorHAnsi" w:hAnsiTheme="majorHAnsi" w:cstheme="majorHAnsi"/>
                <w:sz w:val="22"/>
                <w:szCs w:val="22"/>
              </w:rPr>
              <w:t xml:space="preserve"> Geocoding 2015 ACS variables</w:t>
            </w:r>
          </w:p>
          <w:p w14:paraId="6EBF0C4F" w14:textId="45753360" w:rsidR="00040622" w:rsidRPr="00376326" w:rsidRDefault="00040622" w:rsidP="00CF603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7891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Other: Case/Control status </w:t>
            </w:r>
          </w:p>
        </w:tc>
      </w:tr>
      <w:tr w:rsidR="00040622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9E46D93" w:rsidR="00040622" w:rsidRPr="0074111E" w:rsidRDefault="00040622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09ECB85" w14:textId="77777777" w:rsidR="00040622" w:rsidRPr="00D5597C" w:rsidRDefault="00040622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0040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Pr="00D5597C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 I-III Merged set (HRC imputed, GWAS)</w:t>
            </w:r>
          </w:p>
          <w:p w14:paraId="76F27B2A" w14:textId="77777777" w:rsidR="00040622" w:rsidRPr="00D5597C" w:rsidRDefault="00040622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2880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Pr="00D5597C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 PGx/</w:t>
            </w:r>
            <w:proofErr w:type="spellStart"/>
            <w:r w:rsidRPr="00D5597C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4F6BEFE5" w14:textId="77777777" w:rsidR="00040622" w:rsidRPr="00D5597C" w:rsidRDefault="00040622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2228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Pr="00D5597C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7ADF04EC" w14:textId="77777777" w:rsidR="00040622" w:rsidRPr="00D5597C" w:rsidRDefault="00040622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97664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Pr="00D5597C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 Whole Genome sequencing data set</w:t>
            </w:r>
          </w:p>
          <w:p w14:paraId="58CCBEAE" w14:textId="77777777" w:rsidR="00040622" w:rsidRPr="00D5597C" w:rsidRDefault="00040622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2941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Pr="00D5597C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 Exome chip data set</w:t>
            </w:r>
          </w:p>
          <w:p w14:paraId="41BBF73F" w14:textId="77777777" w:rsidR="00040622" w:rsidRPr="00D5597C" w:rsidRDefault="00040622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457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Pr="00D5597C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 Whole Exome sequencing data set</w:t>
            </w:r>
          </w:p>
          <w:p w14:paraId="01DCE786" w14:textId="63090427" w:rsidR="00040622" w:rsidRPr="000B7654" w:rsidRDefault="00040622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9418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D5597C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040622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1D23AE36" w:rsidR="00040622" w:rsidRPr="0074111E" w:rsidRDefault="00040622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Does project pertain to an existing </w:t>
            </w:r>
            <w:proofErr w:type="spellStart"/>
            <w:r>
              <w:rPr>
                <w:rFonts w:ascii="Calibri Light" w:hAnsi="Calibri Light"/>
                <w:b/>
                <w:sz w:val="22"/>
              </w:rPr>
              <w:t>eMERGE</w:t>
            </w:r>
            <w:proofErr w:type="spellEnd"/>
            <w:r>
              <w:rPr>
                <w:rFonts w:ascii="Calibri Light" w:hAnsi="Calibri Light"/>
                <w:b/>
                <w:sz w:val="22"/>
              </w:rPr>
              <w:t xml:space="preserve">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E30150D" w14:textId="77777777" w:rsidR="00040622" w:rsidRPr="00D5597C" w:rsidRDefault="00040622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0652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   </w:t>
            </w:r>
          </w:p>
          <w:p w14:paraId="02A57161" w14:textId="75A4793F" w:rsidR="00040622" w:rsidRPr="00D5597C" w:rsidRDefault="00040622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693415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Pr="00D5597C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040622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5A2A6A07" w:rsidR="00040622" w:rsidRPr="0074111E" w:rsidRDefault="00040622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436C29B" w14:textId="77777777" w:rsidR="00040622" w:rsidRPr="008673B8" w:rsidRDefault="000406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D48921" w14:textId="77777777" w:rsidR="00040622" w:rsidRDefault="000406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9D8223" w14:textId="77777777" w:rsidR="00040622" w:rsidRDefault="000406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4968009" w14:textId="77777777" w:rsidR="00040622" w:rsidRDefault="000406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BAB4E7" w14:textId="77777777" w:rsidR="00040622" w:rsidRPr="008673B8" w:rsidRDefault="000406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C71B567" w14:textId="28327ECA" w:rsidR="00040622" w:rsidRPr="00D5597C" w:rsidRDefault="00040622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40622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1F24C763" w:rsidR="00040622" w:rsidRPr="0074111E" w:rsidRDefault="00040622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101DFC1" w14:textId="77777777" w:rsidR="00040622" w:rsidRPr="008673B8" w:rsidRDefault="000406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950299" w14:textId="77777777" w:rsidR="00040622" w:rsidRPr="008673B8" w:rsidRDefault="000406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40622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1AF33C17" w:rsidR="00040622" w:rsidRPr="0074111E" w:rsidRDefault="00040622" w:rsidP="00900D3C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Available Funding or Resources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E264CE2" w14:textId="77777777" w:rsidR="00040622" w:rsidRPr="008673B8" w:rsidRDefault="000406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40622" w:rsidRPr="005F7C97" w14:paraId="2C13AD3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8E6BD7A" w14:textId="56CB3EAB" w:rsidR="00040622" w:rsidRPr="0007246C" w:rsidRDefault="00040622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6FFBD72" w14:textId="4E30147E" w:rsidR="00040622" w:rsidRPr="008673B8" w:rsidRDefault="000406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E3AF5">
              <w:t>JAMA/ JAMA Network Open</w:t>
            </w:r>
          </w:p>
        </w:tc>
      </w:tr>
      <w:tr w:rsidR="00040622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98C603B" w14:textId="77777777" w:rsidR="00040622" w:rsidRDefault="00040622" w:rsidP="00CF0D06">
            <w:pPr>
              <w:rPr>
                <w:rFonts w:ascii="Calibri Light" w:hAnsi="Calibri Light"/>
                <w:b/>
                <w:sz w:val="22"/>
              </w:rPr>
            </w:pPr>
          </w:p>
          <w:p w14:paraId="1954ADF9" w14:textId="77777777" w:rsidR="00040622" w:rsidRDefault="00040622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A2EAB8" w14:textId="77777777" w:rsidR="00040622" w:rsidRPr="0093273D" w:rsidRDefault="00040622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>
              <w:rPr>
                <w:rFonts w:asciiTheme="majorHAnsi" w:hAnsiTheme="majorHAnsi"/>
                <w:i/>
                <w:sz w:val="22"/>
              </w:rPr>
              <w:t xml:space="preserve"> should include the key dates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439A7287" w14:textId="258EFCFE" w:rsidR="00040622" w:rsidRPr="0074111E" w:rsidRDefault="00040622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6BD9369" w14:textId="77777777" w:rsidR="00040622" w:rsidRPr="00083F39" w:rsidRDefault="00040622" w:rsidP="00CF0D06">
            <w:r w:rsidRPr="00083F39">
              <w:t>June 15, 2021: Determine site specific chart review plan</w:t>
            </w:r>
            <w:r>
              <w:t>/ initial data pull</w:t>
            </w:r>
          </w:p>
          <w:p w14:paraId="21CCE994" w14:textId="77777777" w:rsidR="00040622" w:rsidRPr="00083F39" w:rsidRDefault="00040622" w:rsidP="00CF0D06">
            <w:r w:rsidRPr="00083F39">
              <w:t>June 20,2021: Discuss issues with initial chart review</w:t>
            </w:r>
          </w:p>
          <w:p w14:paraId="4D29A2B7" w14:textId="77777777" w:rsidR="00040622" w:rsidRDefault="00040622" w:rsidP="00CF0D06">
            <w:r w:rsidRPr="00083F39">
              <w:t>July 15, 2021: Deadline to submit chart reviews</w:t>
            </w:r>
          </w:p>
          <w:p w14:paraId="5154190D" w14:textId="77777777" w:rsidR="00040622" w:rsidRDefault="00040622" w:rsidP="00247A43">
            <w:r>
              <w:t>August 1, 2021: Data analysis</w:t>
            </w:r>
          </w:p>
          <w:p w14:paraId="2251E802" w14:textId="77777777" w:rsidR="00040622" w:rsidRDefault="00040622" w:rsidP="00247A43">
            <w:r>
              <w:t xml:space="preserve">August 15, 2021: Develop consensus definition to use in phenotypes, temporal description, </w:t>
            </w:r>
            <w:proofErr w:type="spellStart"/>
            <w:r>
              <w:t>etc</w:t>
            </w:r>
            <w:proofErr w:type="spellEnd"/>
          </w:p>
          <w:p w14:paraId="098C9F46" w14:textId="651376B3" w:rsidR="00040622" w:rsidRPr="00CE3AF5" w:rsidRDefault="00040622" w:rsidP="00CF0D06"/>
        </w:tc>
      </w:tr>
      <w:tr w:rsidR="00040622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DF07AF9" w14:textId="77777777" w:rsidR="00040622" w:rsidRPr="0074111E" w:rsidRDefault="00040622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089201E" w14:textId="195B9DA0" w:rsidR="00040622" w:rsidRPr="00083F39" w:rsidRDefault="00040622" w:rsidP="00CF0D06"/>
        </w:tc>
      </w:tr>
    </w:tbl>
    <w:p w14:paraId="4BF2BAC8" w14:textId="77777777" w:rsidR="002142B6" w:rsidRDefault="00040622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 xml:space="preserve">: (repeated values &amp; age at event): ICD, CPT, </w:t>
      </w:r>
      <w:proofErr w:type="spellStart"/>
      <w:r>
        <w:rPr>
          <w:rFonts w:ascii="Calibri" w:hAnsi="Calibri" w:cs="Calibri"/>
          <w:sz w:val="22"/>
          <w:szCs w:val="22"/>
        </w:rPr>
        <w:t>Phecodes</w:t>
      </w:r>
      <w:proofErr w:type="spellEnd"/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D697" w14:textId="77777777" w:rsidR="00296525" w:rsidRDefault="00296525" w:rsidP="0093273D">
      <w:r>
        <w:separator/>
      </w:r>
    </w:p>
  </w:endnote>
  <w:endnote w:type="continuationSeparator" w:id="0">
    <w:p w14:paraId="2F17804C" w14:textId="77777777" w:rsidR="00296525" w:rsidRDefault="00296525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734CDFAF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D5597C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E8D4" w14:textId="77777777" w:rsidR="00296525" w:rsidRDefault="00296525" w:rsidP="0093273D">
      <w:r>
        <w:separator/>
      </w:r>
    </w:p>
  </w:footnote>
  <w:footnote w:type="continuationSeparator" w:id="0">
    <w:p w14:paraId="0A76A586" w14:textId="77777777" w:rsidR="00296525" w:rsidRDefault="00296525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CE7"/>
    <w:multiLevelType w:val="hybridMultilevel"/>
    <w:tmpl w:val="C4325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84381"/>
    <w:multiLevelType w:val="hybridMultilevel"/>
    <w:tmpl w:val="E9CA7302"/>
    <w:lvl w:ilvl="0" w:tplc="9A203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B60E8"/>
    <w:multiLevelType w:val="hybridMultilevel"/>
    <w:tmpl w:val="5076407E"/>
    <w:lvl w:ilvl="0" w:tplc="9CB43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97F9F"/>
    <w:multiLevelType w:val="hybridMultilevel"/>
    <w:tmpl w:val="F71A6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70E35"/>
    <w:multiLevelType w:val="hybridMultilevel"/>
    <w:tmpl w:val="CC325784"/>
    <w:lvl w:ilvl="0" w:tplc="094277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613CC9"/>
    <w:multiLevelType w:val="hybridMultilevel"/>
    <w:tmpl w:val="2D404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15C01"/>
    <w:multiLevelType w:val="hybridMultilevel"/>
    <w:tmpl w:val="C4FEF7E4"/>
    <w:lvl w:ilvl="0" w:tplc="C95EB5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5812FD"/>
    <w:multiLevelType w:val="hybridMultilevel"/>
    <w:tmpl w:val="B46ACB84"/>
    <w:lvl w:ilvl="0" w:tplc="AD507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2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xMbYwMjIzNjcyMjdT0lEKTi0uzszPAykwqgUAAiGdYCwAAAA="/>
  </w:docVars>
  <w:rsids>
    <w:rsidRoot w:val="0093273D"/>
    <w:rsid w:val="0002040E"/>
    <w:rsid w:val="00040622"/>
    <w:rsid w:val="00061A7E"/>
    <w:rsid w:val="0007246C"/>
    <w:rsid w:val="000726B0"/>
    <w:rsid w:val="00082219"/>
    <w:rsid w:val="00083F39"/>
    <w:rsid w:val="000A12A3"/>
    <w:rsid w:val="000B7654"/>
    <w:rsid w:val="00117500"/>
    <w:rsid w:val="001859C5"/>
    <w:rsid w:val="001D3C4C"/>
    <w:rsid w:val="001F3540"/>
    <w:rsid w:val="00247A43"/>
    <w:rsid w:val="0025109A"/>
    <w:rsid w:val="00293183"/>
    <w:rsid w:val="00296525"/>
    <w:rsid w:val="00376326"/>
    <w:rsid w:val="003B2D38"/>
    <w:rsid w:val="003F367E"/>
    <w:rsid w:val="003F76B7"/>
    <w:rsid w:val="004D7F55"/>
    <w:rsid w:val="004E0E86"/>
    <w:rsid w:val="00571D40"/>
    <w:rsid w:val="00594CF3"/>
    <w:rsid w:val="00595E27"/>
    <w:rsid w:val="005B49BC"/>
    <w:rsid w:val="00614403"/>
    <w:rsid w:val="006166BF"/>
    <w:rsid w:val="00625689"/>
    <w:rsid w:val="0063131E"/>
    <w:rsid w:val="006C0F8E"/>
    <w:rsid w:val="00702039"/>
    <w:rsid w:val="00743B44"/>
    <w:rsid w:val="007D7B06"/>
    <w:rsid w:val="007F3F81"/>
    <w:rsid w:val="008673B8"/>
    <w:rsid w:val="00870367"/>
    <w:rsid w:val="008B0CE2"/>
    <w:rsid w:val="008B754A"/>
    <w:rsid w:val="008C2527"/>
    <w:rsid w:val="00900D3C"/>
    <w:rsid w:val="0093273D"/>
    <w:rsid w:val="00934EAD"/>
    <w:rsid w:val="00A14096"/>
    <w:rsid w:val="00A674F0"/>
    <w:rsid w:val="00A726E3"/>
    <w:rsid w:val="00AF586E"/>
    <w:rsid w:val="00B671E8"/>
    <w:rsid w:val="00B845FF"/>
    <w:rsid w:val="00C367EC"/>
    <w:rsid w:val="00CE3AF5"/>
    <w:rsid w:val="00CF6036"/>
    <w:rsid w:val="00D5597C"/>
    <w:rsid w:val="00D93D28"/>
    <w:rsid w:val="00E82632"/>
    <w:rsid w:val="00EC0BA7"/>
    <w:rsid w:val="00EF6963"/>
    <w:rsid w:val="00F8798E"/>
    <w:rsid w:val="00FA709D"/>
    <w:rsid w:val="00FB22BD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table" w:styleId="GridTable2">
    <w:name w:val="Grid Table 2"/>
    <w:basedOn w:val="TableNormal"/>
    <w:uiPriority w:val="47"/>
    <w:rsid w:val="0029318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1934</Words>
  <Characters>11025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Walker, Henry P</cp:lastModifiedBy>
  <cp:revision>2</cp:revision>
  <dcterms:created xsi:type="dcterms:W3CDTF">2021-12-16T19:39:00Z</dcterms:created>
  <dcterms:modified xsi:type="dcterms:W3CDTF">2021-12-16T19:39:00Z</dcterms:modified>
</cp:coreProperties>
</file>