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62BBB7F8" w:rsidR="0093273D" w:rsidRPr="00A726E3" w:rsidRDefault="00061A7E" w:rsidP="00A726E3">
            <w:pPr>
              <w:spacing w:before="120"/>
              <w:jc w:val="center"/>
              <w:rPr>
                <w:rFonts w:asciiTheme="majorHAnsi" w:hAnsiTheme="majorHAnsi"/>
                <w:b/>
                <w:color w:val="FFFFFF" w:themeColor="background1"/>
                <w:sz w:val="28"/>
                <w:szCs w:val="28"/>
              </w:rPr>
            </w:pPr>
            <w:proofErr w:type="spellStart"/>
            <w:r>
              <w:rPr>
                <w:rFonts w:asciiTheme="majorHAnsi" w:hAnsiTheme="majorHAnsi"/>
                <w:b/>
                <w:color w:val="FFFFFF" w:themeColor="background1"/>
                <w:sz w:val="28"/>
                <w:szCs w:val="28"/>
              </w:rPr>
              <w:t>eMERGE</w:t>
            </w:r>
            <w:proofErr w:type="spellEnd"/>
            <w:r>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72411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72411F">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C30210A" w:rsidR="0093273D" w:rsidRPr="00083F39" w:rsidRDefault="00F2358F" w:rsidP="0072411F">
            <w:r>
              <w:t>NT446</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72411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A43093D" w:rsidR="0093273D" w:rsidRPr="00083F39" w:rsidRDefault="00F2358F" w:rsidP="0072411F">
            <w:r>
              <w:t>3/31/22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72411F">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9BD487B" w:rsidR="0093273D" w:rsidRPr="008673B8" w:rsidRDefault="00F3332A" w:rsidP="0072411F">
            <w:pPr>
              <w:rPr>
                <w:rFonts w:asciiTheme="majorHAnsi" w:hAnsiTheme="majorHAnsi" w:cstheme="majorHAnsi"/>
                <w:sz w:val="22"/>
                <w:szCs w:val="22"/>
              </w:rPr>
            </w:pPr>
            <w:r>
              <w:t>C</w:t>
            </w:r>
            <w:r w:rsidRPr="00F3332A">
              <w:t xml:space="preserve">omputed </w:t>
            </w:r>
            <w:r>
              <w:t>A</w:t>
            </w:r>
            <w:r w:rsidRPr="00F3332A">
              <w:t xml:space="preserve">lgorithms </w:t>
            </w:r>
            <w:r w:rsidR="00E44445">
              <w:t xml:space="preserve">for Multicentric Assessment of </w:t>
            </w:r>
            <w:r>
              <w:t>M</w:t>
            </w:r>
            <w:r w:rsidRPr="00F3332A">
              <w:t xml:space="preserve">yocardial </w:t>
            </w:r>
            <w:r>
              <w:t>I</w:t>
            </w:r>
            <w:r w:rsidRPr="00F3332A">
              <w:t xml:space="preserve">njury </w:t>
            </w:r>
            <w:r w:rsidR="00E44445">
              <w:t xml:space="preserve">Subtypes </w:t>
            </w:r>
            <w:r w:rsidRPr="00F3332A">
              <w:t xml:space="preserve">in </w:t>
            </w:r>
            <w:r>
              <w:t>A</w:t>
            </w:r>
            <w:r w:rsidRPr="00F3332A">
              <w:t>cute COVID-19</w:t>
            </w:r>
            <w:r w:rsidR="00AE5369">
              <w:t xml:space="preserve">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72411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9A21BC" w14:textId="77777777" w:rsidR="0093273D" w:rsidRDefault="0093273D" w:rsidP="0072411F">
            <w:pPr>
              <w:rPr>
                <w:rFonts w:asciiTheme="majorHAnsi" w:hAnsiTheme="majorHAnsi" w:cstheme="majorHAnsi"/>
                <w:sz w:val="22"/>
                <w:szCs w:val="22"/>
              </w:rPr>
            </w:pPr>
          </w:p>
          <w:p w14:paraId="7ACA34EC" w14:textId="3F571432" w:rsidR="00F8798E" w:rsidRPr="00FD5D52" w:rsidRDefault="00F3332A" w:rsidP="0072411F">
            <w:r>
              <w:t>Benjamin A. Satterfiel</w:t>
            </w:r>
            <w:r w:rsidR="008E1DBD">
              <w:t>d</w:t>
            </w:r>
            <w:r w:rsidR="00882658" w:rsidRPr="00F3332A">
              <w:rPr>
                <w:vertAlign w:val="superscript"/>
              </w:rPr>
              <w:t>1</w:t>
            </w:r>
            <w:r w:rsidR="00FD5D52">
              <w:t>, Lubna Alhalabi</w:t>
            </w:r>
            <w:r w:rsidR="00FD5D52" w:rsidRPr="00F3332A">
              <w:rPr>
                <w:vertAlign w:val="superscript"/>
              </w:rPr>
              <w:t>1</w:t>
            </w:r>
          </w:p>
        </w:tc>
      </w:tr>
      <w:tr w:rsidR="00EF6963" w:rsidRPr="005F7C97" w14:paraId="761E04C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72411F">
            <w:pPr>
              <w:rPr>
                <w:rFonts w:ascii="Calibri Light" w:hAnsi="Calibri Light"/>
                <w:b/>
                <w:sz w:val="22"/>
              </w:rPr>
            </w:pPr>
            <w:r w:rsidRPr="00EF6963">
              <w:rPr>
                <w:rFonts w:ascii="Calibri Light" w:hAnsi="Calibri Light"/>
                <w:b/>
                <w:sz w:val="22"/>
              </w:rPr>
              <w:t xml:space="preserve">Tentative Lead Investigator Email Address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0B3BD0C0" w:rsidR="00EF6963" w:rsidRPr="008E1DBD" w:rsidRDefault="00F3332A" w:rsidP="0072411F">
            <w:pPr>
              <w:rPr>
                <w:sz w:val="22"/>
                <w:szCs w:val="22"/>
              </w:rPr>
            </w:pPr>
            <w:r w:rsidRPr="008E1DBD">
              <w:t>satterfield.benjamin@mayo.edu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72411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72411F">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B306AB8" w:rsidR="0093273D" w:rsidRPr="00F8798E" w:rsidRDefault="00F3332A" w:rsidP="0072411F">
            <w:r>
              <w:t>Iftikhar J. Kullo</w:t>
            </w:r>
            <w:r w:rsidR="00934EAD">
              <w:rPr>
                <w:vertAlign w:val="superscript"/>
              </w:rPr>
              <w:t>1</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72411F">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7585DEE5" w:rsidR="008C2527" w:rsidRPr="008E1DBD" w:rsidRDefault="008E1DBD" w:rsidP="0072411F">
            <w:pPr>
              <w:rPr>
                <w:sz w:val="22"/>
                <w:szCs w:val="22"/>
              </w:rPr>
            </w:pPr>
            <w:r w:rsidRPr="008E1DBD">
              <w:t>Mayo Clinic</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0AAE8AA0" w:rsidR="0093273D" w:rsidRPr="008673B8" w:rsidRDefault="00882658" w:rsidP="00F3332A">
            <w:pPr>
              <w:rPr>
                <w:rFonts w:asciiTheme="majorHAnsi" w:hAnsiTheme="majorHAnsi" w:cstheme="majorHAnsi"/>
                <w:sz w:val="22"/>
                <w:szCs w:val="22"/>
              </w:rPr>
            </w:pPr>
            <w:r>
              <w:t>Marwan Hamed</w:t>
            </w:r>
            <w:r w:rsidRPr="00F3332A">
              <w:rPr>
                <w:vertAlign w:val="superscript"/>
              </w:rPr>
              <w:t>1</w:t>
            </w:r>
            <w:r>
              <w:t>, Alborz Sherafati</w:t>
            </w:r>
            <w:r w:rsidRPr="00F3332A">
              <w:rPr>
                <w:vertAlign w:val="superscript"/>
              </w:rPr>
              <w:t>1</w:t>
            </w:r>
            <w:r>
              <w:t xml:space="preserve">, </w:t>
            </w:r>
            <w:r w:rsidR="00F3332A">
              <w:t>Seyedmohammad Saadatagah</w:t>
            </w:r>
            <w:r w:rsidR="00F3332A" w:rsidRPr="00F3332A">
              <w:rPr>
                <w:vertAlign w:val="superscript"/>
              </w:rPr>
              <w:t>1</w:t>
            </w:r>
            <w:r w:rsidR="00F3332A">
              <w:t>, Ozan Dikilitas</w:t>
            </w:r>
            <w:r w:rsidR="00F3332A" w:rsidRPr="00F3332A">
              <w:rPr>
                <w:vertAlign w:val="superscript"/>
              </w:rPr>
              <w:t>1</w:t>
            </w:r>
            <w:r w:rsidR="00F3332A">
              <w:t>, …</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72411F">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97E616" w14:textId="1B708CB6" w:rsidR="0011190A" w:rsidRDefault="0011190A" w:rsidP="008E1DBD">
            <w:r w:rsidRPr="00F3332A">
              <w:rPr>
                <w:vertAlign w:val="superscript"/>
              </w:rPr>
              <w:t>1</w:t>
            </w:r>
            <w:r>
              <w:t xml:space="preserve"> Mayo Clinic</w:t>
            </w:r>
          </w:p>
          <w:p w14:paraId="47D2F1B1" w14:textId="0CB5D33C" w:rsidR="008B3CD1" w:rsidRPr="0011190A" w:rsidRDefault="008B3CD1" w:rsidP="008E1DBD">
            <w:r>
              <w:t xml:space="preserve">Northwestern </w:t>
            </w:r>
          </w:p>
          <w:p w14:paraId="604A8F3A" w14:textId="310A1DEA" w:rsidR="00F8798E" w:rsidRDefault="00E37345" w:rsidP="008E1DBD">
            <w:r>
              <w:t>Marshfield</w:t>
            </w:r>
          </w:p>
          <w:p w14:paraId="6C2A54F9" w14:textId="74EB699C" w:rsidR="00E37345" w:rsidRDefault="00E37345" w:rsidP="008E1DBD">
            <w:r>
              <w:t>MGH</w:t>
            </w:r>
          </w:p>
          <w:p w14:paraId="063F83EE" w14:textId="34074F2F" w:rsidR="00E37345" w:rsidRPr="00F8798E" w:rsidRDefault="00E37345" w:rsidP="008E1DBD">
            <w:r>
              <w:t>Others…</w:t>
            </w:r>
          </w:p>
          <w:p w14:paraId="07C5FDB2" w14:textId="77777777" w:rsidR="0093273D" w:rsidRPr="008673B8" w:rsidRDefault="0093273D" w:rsidP="0072411F">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72411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D9A1EF1" w14:textId="696C3F7B" w:rsidR="00B53C80" w:rsidRPr="00B53C80" w:rsidRDefault="00B53C80" w:rsidP="003A1647">
            <w:pPr>
              <w:rPr>
                <w:b/>
                <w:bCs/>
              </w:rPr>
            </w:pPr>
            <w:r>
              <w:rPr>
                <w:b/>
                <w:bCs/>
              </w:rPr>
              <w:t xml:space="preserve">Myocardial injury and </w:t>
            </w:r>
            <w:r w:rsidR="00A80166">
              <w:rPr>
                <w:b/>
                <w:bCs/>
              </w:rPr>
              <w:t>COVID-19</w:t>
            </w:r>
          </w:p>
          <w:p w14:paraId="52DD3737" w14:textId="430CFF75" w:rsidR="00EA7989" w:rsidRDefault="003B0639" w:rsidP="003A1647">
            <w:r>
              <w:t xml:space="preserve">       </w:t>
            </w:r>
            <w:r w:rsidR="00AC47DD">
              <w:t>M</w:t>
            </w:r>
            <w:r w:rsidR="0011190A">
              <w:t>yocardial injury</w:t>
            </w:r>
            <w:r w:rsidR="00766323">
              <w:t xml:space="preserve"> </w:t>
            </w:r>
            <w:r w:rsidR="0011190A">
              <w:t>is common in patients hospitalized with COVID-19</w:t>
            </w:r>
            <w:r w:rsidR="00B53C80">
              <w:rPr>
                <w:vertAlign w:val="superscript"/>
              </w:rPr>
              <w:t>1</w:t>
            </w:r>
            <w:r w:rsidR="001058DD">
              <w:t xml:space="preserve">. </w:t>
            </w:r>
            <w:r w:rsidR="00AC47DD">
              <w:t>Myocardial injury</w:t>
            </w:r>
            <w:r w:rsidR="00EF60C9">
              <w:t xml:space="preserve"> is</w:t>
            </w:r>
            <w:r w:rsidR="00B53C80">
              <w:t xml:space="preserve"> defined by the Fo</w:t>
            </w:r>
            <w:r w:rsidR="00766323">
              <w:t>u</w:t>
            </w:r>
            <w:r w:rsidR="00B53C80">
              <w:t xml:space="preserve">rth Universal Definition of Myocardial </w:t>
            </w:r>
            <w:r w:rsidR="00EF60C9">
              <w:t>I</w:t>
            </w:r>
            <w:r w:rsidR="00B53C80">
              <w:t>nfarction</w:t>
            </w:r>
            <w:r w:rsidR="00AC47DD">
              <w:rPr>
                <w:vertAlign w:val="superscript"/>
              </w:rPr>
              <w:t>2</w:t>
            </w:r>
            <w:r w:rsidR="00AC47DD">
              <w:t xml:space="preserve"> a</w:t>
            </w:r>
            <w:r w:rsidR="00B53C80">
              <w:t xml:space="preserve">s detection of a cardiac troponin </w:t>
            </w:r>
            <w:r w:rsidR="00AC47DD">
              <w:t>measurement</w:t>
            </w:r>
            <w:r w:rsidR="00B53C80">
              <w:t xml:space="preserve"> above the 99</w:t>
            </w:r>
            <w:r w:rsidR="00B53C80" w:rsidRPr="00B6052E">
              <w:rPr>
                <w:vertAlign w:val="superscript"/>
              </w:rPr>
              <w:t>th</w:t>
            </w:r>
            <w:r w:rsidR="00B53C80">
              <w:t xml:space="preserve"> percentile of upper normal limit</w:t>
            </w:r>
            <w:r w:rsidR="00AC47DD">
              <w:t xml:space="preserve">; the injury is considered acute if there is a significant increase or decrease on repeat </w:t>
            </w:r>
            <w:r w:rsidR="00B53C80">
              <w:t>measure</w:t>
            </w:r>
            <w:r w:rsidR="00AC47DD">
              <w:t>ment</w:t>
            </w:r>
            <w:r w:rsidR="00B53C80">
              <w:t xml:space="preserve">. </w:t>
            </w:r>
            <w:r w:rsidR="00766323">
              <w:t>Among COVID-19 patients, an elevated</w:t>
            </w:r>
            <w:r w:rsidR="00A80166">
              <w:t xml:space="preserve"> troponin level is more likely in patients with</w:t>
            </w:r>
            <w:r w:rsidR="00766323">
              <w:t xml:space="preserve"> a</w:t>
            </w:r>
            <w:r w:rsidR="00A80166">
              <w:t xml:space="preserve"> history of chronic cardiac diseases and </w:t>
            </w:r>
            <w:r w:rsidR="00766323">
              <w:t xml:space="preserve">in </w:t>
            </w:r>
            <w:r w:rsidR="00A80166">
              <w:t xml:space="preserve">patients with </w:t>
            </w:r>
            <w:r w:rsidR="00766323">
              <w:t xml:space="preserve">more </w:t>
            </w:r>
            <w:r w:rsidR="00A80166">
              <w:t xml:space="preserve">severe </w:t>
            </w:r>
            <w:r w:rsidR="001F0B61">
              <w:t>COVID-19</w:t>
            </w:r>
            <w:r w:rsidR="00A80166">
              <w:rPr>
                <w:vertAlign w:val="superscript"/>
              </w:rPr>
              <w:t>3</w:t>
            </w:r>
            <w:r w:rsidR="00A80166">
              <w:t xml:space="preserve">. </w:t>
            </w:r>
            <w:r w:rsidR="001058DD">
              <w:t>M</w:t>
            </w:r>
            <w:r w:rsidR="0011190A">
              <w:t xml:space="preserve">ultiple studies have demonstrated </w:t>
            </w:r>
            <w:r w:rsidR="001058DD">
              <w:t>association</w:t>
            </w:r>
            <w:r w:rsidR="00766323">
              <w:t>s</w:t>
            </w:r>
            <w:r w:rsidR="0011190A">
              <w:t xml:space="preserve"> </w:t>
            </w:r>
            <w:r w:rsidR="00766323">
              <w:t xml:space="preserve">between </w:t>
            </w:r>
            <w:r w:rsidR="00AC47DD">
              <w:t>myocardial injury</w:t>
            </w:r>
            <w:r w:rsidR="00766323">
              <w:t xml:space="preserve"> in COVID-19 and </w:t>
            </w:r>
            <w:r w:rsidR="0011190A">
              <w:t>worse short-term outcomes</w:t>
            </w:r>
            <w:r w:rsidR="00A63B94">
              <w:t xml:space="preserve"> including a 5-fold increase in requiring invasive mechanical ventilation and an 11-fold </w:t>
            </w:r>
            <w:r w:rsidR="003A1647">
              <w:t>increase in mortality compared to those without elevated troponin levels</w:t>
            </w:r>
            <w:r w:rsidR="00A63B94" w:rsidRPr="00FD5D52">
              <w:rPr>
                <w:vertAlign w:val="superscript"/>
              </w:rPr>
              <w:t>4</w:t>
            </w:r>
            <w:r w:rsidR="00886387">
              <w:rPr>
                <w:vertAlign w:val="superscript"/>
              </w:rPr>
              <w:t>-13</w:t>
            </w:r>
            <w:r w:rsidR="00A80166">
              <w:t>.</w:t>
            </w:r>
            <w:r w:rsidR="0011190A">
              <w:t xml:space="preserve"> </w:t>
            </w:r>
            <w:r w:rsidR="00DD4574">
              <w:t>This highlights the need for early identification of such high-risk individuals</w:t>
            </w:r>
            <w:r w:rsidR="00AC47DD">
              <w:t>,</w:t>
            </w:r>
            <w:r w:rsidR="00DD4574">
              <w:t xml:space="preserve"> </w:t>
            </w:r>
            <w:r w:rsidR="00766323">
              <w:t>thus allowing for closer monitoring and earlier intervention where possible</w:t>
            </w:r>
            <w:r w:rsidR="001058DD">
              <w:t>.</w:t>
            </w:r>
          </w:p>
          <w:p w14:paraId="1D3BD8C6" w14:textId="247384F0" w:rsidR="00A80166" w:rsidRPr="00E42292" w:rsidRDefault="003B0639" w:rsidP="003A1647">
            <w:r>
              <w:t xml:space="preserve">       </w:t>
            </w:r>
            <w:r w:rsidR="00AC47DD">
              <w:t>Myocardial injury</w:t>
            </w:r>
            <w:r w:rsidR="00766323">
              <w:t xml:space="preserve"> can be seen with multiple cardiovascular conditions including acute</w:t>
            </w:r>
            <w:r w:rsidR="00A80166">
              <w:t xml:space="preserve"> myocardial infarction, myocarditis,</w:t>
            </w:r>
            <w:r w:rsidR="00766323">
              <w:t xml:space="preserve"> pericarditis,</w:t>
            </w:r>
            <w:r w:rsidR="00A80166">
              <w:t xml:space="preserve"> stress cardiomyopathy, </w:t>
            </w:r>
            <w:r w:rsidR="00766323">
              <w:t xml:space="preserve">pulmonary embolism, </w:t>
            </w:r>
            <w:r w:rsidR="00A80166">
              <w:t>and acute heart failure</w:t>
            </w:r>
            <w:r w:rsidR="00A80166">
              <w:rPr>
                <w:vertAlign w:val="superscript"/>
              </w:rPr>
              <w:t>3</w:t>
            </w:r>
            <w:r w:rsidR="00A80166">
              <w:t xml:space="preserve">. However, noncardiac conditions </w:t>
            </w:r>
            <w:r w:rsidR="008B3CD1">
              <w:t>including</w:t>
            </w:r>
            <w:r w:rsidR="00A80166">
              <w:t xml:space="preserve"> severe respiratory involvement with hypoxia, </w:t>
            </w:r>
            <w:r w:rsidR="00766323">
              <w:t xml:space="preserve">acute or chronic renal failure, </w:t>
            </w:r>
            <w:r w:rsidR="00A80166">
              <w:t xml:space="preserve">critical illness with systemic inflammation, and sepsis can </w:t>
            </w:r>
            <w:r w:rsidR="008B4E4B">
              <w:t xml:space="preserve">also </w:t>
            </w:r>
            <w:r w:rsidR="00A80166">
              <w:t xml:space="preserve">result in </w:t>
            </w:r>
            <w:r w:rsidR="00766323">
              <w:t xml:space="preserve">elevated </w:t>
            </w:r>
            <w:r w:rsidR="00A80166">
              <w:t>troponin level</w:t>
            </w:r>
            <w:r w:rsidR="00A80166">
              <w:rPr>
                <w:vertAlign w:val="superscript"/>
              </w:rPr>
              <w:t>3,1</w:t>
            </w:r>
            <w:r w:rsidR="00886387">
              <w:rPr>
                <w:vertAlign w:val="superscript"/>
              </w:rPr>
              <w:t>4</w:t>
            </w:r>
            <w:r w:rsidR="00A80166">
              <w:t xml:space="preserve">. </w:t>
            </w:r>
            <w:r w:rsidR="00916D38">
              <w:t xml:space="preserve">It has been noted that in </w:t>
            </w:r>
            <w:r w:rsidR="00916D38">
              <w:lastRenderedPageBreak/>
              <w:t>COVID-19</w:t>
            </w:r>
            <w:r w:rsidR="00E42292">
              <w:t>, mild elevation (2-3 times the upper normal limit) in cardiac troponin level can be the result of acute stress</w:t>
            </w:r>
            <w:r w:rsidR="004E104D">
              <w:t xml:space="preserve"> due</w:t>
            </w:r>
            <w:r w:rsidR="00E42292">
              <w:t xml:space="preserve"> to COVID-19</w:t>
            </w:r>
            <w:r w:rsidR="00E42292">
              <w:rPr>
                <w:vertAlign w:val="superscript"/>
              </w:rPr>
              <w:t>1</w:t>
            </w:r>
            <w:r w:rsidR="00E42292">
              <w:t xml:space="preserve">. </w:t>
            </w:r>
            <w:r w:rsidR="004E104D">
              <w:t xml:space="preserve">Thus, it is important to </w:t>
            </w:r>
            <w:r w:rsidR="00916D38">
              <w:t>determine the etiology of</w:t>
            </w:r>
            <w:r w:rsidR="004E104D">
              <w:t xml:space="preserve"> elevated troponin level</w:t>
            </w:r>
            <w:r w:rsidR="00916D38">
              <w:t>s</w:t>
            </w:r>
            <w:r w:rsidR="004E104D">
              <w:t xml:space="preserve"> </w:t>
            </w:r>
            <w:r w:rsidR="00916D38">
              <w:t xml:space="preserve">to risk-stratify for </w:t>
            </w:r>
            <w:r w:rsidR="004E104D">
              <w:t>cardiovascular complication</w:t>
            </w:r>
            <w:r w:rsidR="00916D38">
              <w:t>s</w:t>
            </w:r>
            <w:r w:rsidR="004E104D">
              <w:t xml:space="preserve">. </w:t>
            </w:r>
          </w:p>
          <w:p w14:paraId="4BEAB038" w14:textId="05773F58" w:rsidR="004E104D" w:rsidRDefault="004E104D" w:rsidP="003A1647">
            <w:pPr>
              <w:rPr>
                <w:b/>
                <w:bCs/>
              </w:rPr>
            </w:pPr>
          </w:p>
          <w:p w14:paraId="4AC5D521" w14:textId="5A1D64D4" w:rsidR="004E104D" w:rsidRPr="004E104D" w:rsidRDefault="004E104D" w:rsidP="003A1647">
            <w:pPr>
              <w:rPr>
                <w:b/>
                <w:bCs/>
              </w:rPr>
            </w:pPr>
            <w:r>
              <w:rPr>
                <w:b/>
                <w:bCs/>
              </w:rPr>
              <w:t>Electronic health records (EHR)</w:t>
            </w:r>
            <w:r w:rsidR="00AC47DD">
              <w:rPr>
                <w:b/>
                <w:bCs/>
              </w:rPr>
              <w:t>-</w:t>
            </w:r>
            <w:r>
              <w:rPr>
                <w:b/>
                <w:bCs/>
              </w:rPr>
              <w:t>based algorithms:</w:t>
            </w:r>
          </w:p>
          <w:p w14:paraId="431A88D6" w14:textId="1AFCB17D" w:rsidR="004E5331" w:rsidRDefault="003B0639" w:rsidP="003A1647">
            <w:r>
              <w:t xml:space="preserve">       </w:t>
            </w:r>
            <w:r w:rsidR="00916D38">
              <w:t>Simplistic EHR</w:t>
            </w:r>
            <w:r w:rsidR="004E104D">
              <w:t xml:space="preserve">-based algorithms use one or more </w:t>
            </w:r>
            <w:r w:rsidR="00916D38" w:rsidRPr="00916D38">
              <w:t>International Classification of Diseases (ICD)</w:t>
            </w:r>
            <w:r w:rsidR="00916D38">
              <w:t xml:space="preserve"> </w:t>
            </w:r>
            <w:r w:rsidR="004E104D">
              <w:t>diagnos</w:t>
            </w:r>
            <w:r w:rsidR="008B3CD1">
              <w:t>i</w:t>
            </w:r>
            <w:r w:rsidR="004E104D">
              <w:t xml:space="preserve">s codes for the definition of cardiovascular diseases. However, </w:t>
            </w:r>
            <w:r w:rsidR="00916D38">
              <w:t>the accuracy of these</w:t>
            </w:r>
            <w:r w:rsidR="004E104D">
              <w:t xml:space="preserve"> to identify </w:t>
            </w:r>
            <w:r w:rsidR="008B4E4B">
              <w:t>high-risk</w:t>
            </w:r>
            <w:r w:rsidR="004E104D">
              <w:t xml:space="preserve"> patients</w:t>
            </w:r>
            <w:r w:rsidR="00916D38">
              <w:t xml:space="preserve"> is poor</w:t>
            </w:r>
            <w:r w:rsidR="00F8630B">
              <w:rPr>
                <w:vertAlign w:val="superscript"/>
              </w:rPr>
              <w:t>1</w:t>
            </w:r>
            <w:r w:rsidR="00886387">
              <w:rPr>
                <w:vertAlign w:val="superscript"/>
              </w:rPr>
              <w:t>5</w:t>
            </w:r>
            <w:r w:rsidR="004E104D">
              <w:t>. Sometimes patients who do not meet the definition of cardiovascular diseases are labeled with these codes</w:t>
            </w:r>
            <w:r w:rsidR="00916D38">
              <w:t xml:space="preserve"> </w:t>
            </w:r>
            <w:r w:rsidR="00B62202">
              <w:t>–</w:t>
            </w:r>
            <w:r w:rsidR="00916D38">
              <w:t xml:space="preserve"> </w:t>
            </w:r>
            <w:proofErr w:type="gramStart"/>
            <w:r w:rsidR="00916D38">
              <w:t>i.e</w:t>
            </w:r>
            <w:r w:rsidR="004E104D">
              <w:t>.</w:t>
            </w:r>
            <w:proofErr w:type="gramEnd"/>
            <w:r w:rsidR="004E104D">
              <w:t xml:space="preserve"> a patient with only a mild aortic ectasia may be labeled as </w:t>
            </w:r>
            <w:r w:rsidR="008B4E4B">
              <w:t xml:space="preserve">an </w:t>
            </w:r>
            <w:r w:rsidR="004E5331">
              <w:t>abdominal aortic aneurysm</w:t>
            </w:r>
            <w:r w:rsidR="004E104D">
              <w:t xml:space="preserve">. </w:t>
            </w:r>
            <w:r w:rsidR="00916D38">
              <w:t>Other times,</w:t>
            </w:r>
            <w:r w:rsidR="004E104D">
              <w:t xml:space="preserve"> ICD codes cannot differentiate cardiovascular diseases from other conditions </w:t>
            </w:r>
            <w:r w:rsidR="00B62202">
              <w:t>–</w:t>
            </w:r>
            <w:r w:rsidR="00916D38">
              <w:t xml:space="preserve"> </w:t>
            </w:r>
            <w:proofErr w:type="gramStart"/>
            <w:r w:rsidR="00916D38">
              <w:t>i.e.</w:t>
            </w:r>
            <w:proofErr w:type="gramEnd"/>
            <w:r w:rsidR="004E5331">
              <w:t xml:space="preserve"> the ICD-9 code 433.1 (occlusion and stenosis of carotid artery) is widely used for those with mild atherosclerosis of carotid arteries and cannot differentiate these cases from obstructive carotid artery stenosis. </w:t>
            </w:r>
            <w:r w:rsidR="00916D38">
              <w:t xml:space="preserve">The presence of an ICD code also has poor accuracy for determining whether a diagnosis is acute or chronic. </w:t>
            </w:r>
          </w:p>
          <w:p w14:paraId="59288D51" w14:textId="37C71571" w:rsidR="00B62202" w:rsidRDefault="003B0639" w:rsidP="003A1647">
            <w:r>
              <w:t xml:space="preserve">       </w:t>
            </w:r>
            <w:r w:rsidR="004E5331">
              <w:t>EHR-</w:t>
            </w:r>
            <w:r w:rsidR="00DD4574">
              <w:t xml:space="preserve">based algorithms </w:t>
            </w:r>
            <w:r>
              <w:t>using other EHR-</w:t>
            </w:r>
            <w:r w:rsidR="00916D38">
              <w:t xml:space="preserve">derived </w:t>
            </w:r>
            <w:r>
              <w:t xml:space="preserve">data </w:t>
            </w:r>
            <w:r w:rsidR="00FB4B8A">
              <w:t>(</w:t>
            </w:r>
            <w:proofErr w:type="gramStart"/>
            <w:r w:rsidR="00FB4B8A">
              <w:t>i.e.</w:t>
            </w:r>
            <w:proofErr w:type="gramEnd"/>
            <w:r w:rsidR="00FB4B8A">
              <w:t xml:space="preserve"> CPT/ICD procedure codes, laboratory values, etc.) in addition to ICD-codes </w:t>
            </w:r>
            <w:r w:rsidR="00DD4574">
              <w:t xml:space="preserve">have been used </w:t>
            </w:r>
            <w:r w:rsidR="004E5331">
              <w:t xml:space="preserve">previously </w:t>
            </w:r>
            <w:r>
              <w:t xml:space="preserve">with acceptable accuracy </w:t>
            </w:r>
            <w:r w:rsidR="00DD4574">
              <w:t xml:space="preserve">for identifying individuals with a high risk for a </w:t>
            </w:r>
            <w:r w:rsidR="008B3CD1">
              <w:t xml:space="preserve">chronic </w:t>
            </w:r>
            <w:r w:rsidR="00DD4574">
              <w:t>certain phenotype, such as familial hypercholesterolemia</w:t>
            </w:r>
            <w:r w:rsidR="004E5331">
              <w:rPr>
                <w:vertAlign w:val="superscript"/>
              </w:rPr>
              <w:t>1</w:t>
            </w:r>
            <w:r w:rsidR="00886387">
              <w:rPr>
                <w:vertAlign w:val="superscript"/>
              </w:rPr>
              <w:t>6</w:t>
            </w:r>
            <w:r w:rsidR="004E5331">
              <w:t>, abdominal aortic aneurysm</w:t>
            </w:r>
            <w:r w:rsidR="004E5331">
              <w:rPr>
                <w:vertAlign w:val="superscript"/>
              </w:rPr>
              <w:t>1</w:t>
            </w:r>
            <w:r w:rsidR="00886387">
              <w:rPr>
                <w:vertAlign w:val="superscript"/>
              </w:rPr>
              <w:t>7</w:t>
            </w:r>
            <w:r w:rsidR="004E5331">
              <w:t>, and peripheral artery disease</w:t>
            </w:r>
            <w:r w:rsidR="004E5331">
              <w:rPr>
                <w:vertAlign w:val="superscript"/>
              </w:rPr>
              <w:t>1</w:t>
            </w:r>
            <w:r w:rsidR="00886387">
              <w:rPr>
                <w:vertAlign w:val="superscript"/>
              </w:rPr>
              <w:t>8</w:t>
            </w:r>
            <w:r w:rsidR="004E5331">
              <w:t>.</w:t>
            </w:r>
            <w:r w:rsidR="004E5331">
              <w:rPr>
                <w:color w:val="FF0000"/>
              </w:rPr>
              <w:t xml:space="preserve"> </w:t>
            </w:r>
            <w:r>
              <w:t>These algorithms</w:t>
            </w:r>
            <w:r w:rsidR="008B4E4B">
              <w:t xml:space="preserve"> </w:t>
            </w:r>
            <w:r>
              <w:t xml:space="preserve">help </w:t>
            </w:r>
            <w:r w:rsidR="008B4E4B">
              <w:t>monitor</w:t>
            </w:r>
            <w:r>
              <w:t xml:space="preserve"> for mid-term and long-term outcomes and could be part of an automated clinical decision support tool to flag high-risk individuals. </w:t>
            </w:r>
            <w:r w:rsidR="001058DD">
              <w:t>Here</w:t>
            </w:r>
            <w:r>
              <w:t>,</w:t>
            </w:r>
            <w:r w:rsidR="001058DD">
              <w:t xml:space="preserve"> we propose </w:t>
            </w:r>
            <w:r w:rsidR="00B62202">
              <w:t>the</w:t>
            </w:r>
            <w:r w:rsidR="001058DD">
              <w:t xml:space="preserve"> develop</w:t>
            </w:r>
            <w:r w:rsidR="00B62202">
              <w:t>ment of</w:t>
            </w:r>
            <w:r w:rsidR="001058DD">
              <w:t xml:space="preserve"> EHR-based algorithms </w:t>
            </w:r>
            <w:bookmarkStart w:id="0" w:name="_Hlk84707530"/>
            <w:r w:rsidR="001058DD">
              <w:t xml:space="preserve">to identify </w:t>
            </w:r>
            <w:r w:rsidR="00FB4B8A">
              <w:t xml:space="preserve">the underlying </w:t>
            </w:r>
            <w:r w:rsidR="00B62202">
              <w:t>subtype</w:t>
            </w:r>
            <w:r w:rsidR="00FB4B8A">
              <w:t xml:space="preserve"> of </w:t>
            </w:r>
            <w:r w:rsidR="00B62202">
              <w:t>myocardial</w:t>
            </w:r>
            <w:r w:rsidR="00FB4B8A">
              <w:t xml:space="preserve"> </w:t>
            </w:r>
            <w:r w:rsidR="00B62202">
              <w:t xml:space="preserve">injury </w:t>
            </w:r>
            <w:r w:rsidR="00FB4B8A">
              <w:t xml:space="preserve">in </w:t>
            </w:r>
            <w:r w:rsidR="001058DD">
              <w:t>patients</w:t>
            </w:r>
            <w:r w:rsidR="00FB4B8A">
              <w:t xml:space="preserve"> with acute</w:t>
            </w:r>
            <w:r w:rsidR="001058DD">
              <w:t xml:space="preserve"> </w:t>
            </w:r>
            <w:bookmarkEnd w:id="0"/>
            <w:r>
              <w:t>COVID-19</w:t>
            </w:r>
            <w:r w:rsidR="00B62202">
              <w:t xml:space="preserve">. Our experience shows that using such algorithms are useful and accurate in detecting cardiovascular traits. Specifically, we propose algorithms for 5 myocardial injury subtypes, including stress cardiomyopathy, myocarditis, pericarditis, acute pulmonary embolism, and acute myocardial infarction. These subtypes are </w:t>
            </w:r>
            <w:r w:rsidR="00B62202" w:rsidRPr="003B0639">
              <w:t>associated with elevated cardiac troponin measurements</w:t>
            </w:r>
            <w:r w:rsidR="00B62202" w:rsidRPr="001058DD">
              <w:rPr>
                <w:color w:val="FF0000"/>
              </w:rPr>
              <w:t xml:space="preserve"> </w:t>
            </w:r>
            <w:r w:rsidR="00B62202" w:rsidRPr="003B0639">
              <w:t xml:space="preserve">and </w:t>
            </w:r>
            <w:r w:rsidR="00B62202">
              <w:t>adverse</w:t>
            </w:r>
            <w:r w:rsidR="00B62202" w:rsidRPr="003B0639">
              <w:t xml:space="preserve"> outcomes </w:t>
            </w:r>
            <w:r w:rsidR="00B62202">
              <w:t xml:space="preserve">in </w:t>
            </w:r>
            <w:r w:rsidR="00B62202" w:rsidRPr="003B0639">
              <w:t>patients with COVID-19</w:t>
            </w:r>
            <w:r w:rsidR="00B62202">
              <w:t xml:space="preserve"> </w:t>
            </w:r>
            <w:r w:rsidR="00B62202" w:rsidRPr="005D680D">
              <w:t>based on the previous studies.</w:t>
            </w:r>
            <w:r w:rsidR="008B3CD1">
              <w:t xml:space="preserve"> Challenges are anticipated with creating the algorithms to focus on only acute phenotypes occurring is temporal relationship to the acute COVID-19 infection.</w:t>
            </w:r>
          </w:p>
          <w:p w14:paraId="009D7D04" w14:textId="4696075C" w:rsidR="003B0639" w:rsidRDefault="00B62202" w:rsidP="003A1647">
            <w:r>
              <w:t xml:space="preserve">       We also propose to</w:t>
            </w:r>
            <w:r w:rsidR="001058DD">
              <w:t xml:space="preserve"> </w:t>
            </w:r>
            <w:r w:rsidR="003B0639">
              <w:t>assess the</w:t>
            </w:r>
            <w:r>
              <w:t xml:space="preserve"> </w:t>
            </w:r>
            <w:r w:rsidR="003B0639">
              <w:t>short-term</w:t>
            </w:r>
            <w:r w:rsidR="001058DD">
              <w:t xml:space="preserve"> outcomes</w:t>
            </w:r>
            <w:r>
              <w:t xml:space="preserve"> of these cohorts</w:t>
            </w:r>
            <w:r w:rsidR="003B0639">
              <w:t xml:space="preserve"> including </w:t>
            </w:r>
            <w:r>
              <w:t xml:space="preserve">need for intensive care unit (ICU) level of care, length of index hospitalization, 30-day re-hospitalization rate, and </w:t>
            </w:r>
            <w:r w:rsidR="001058DD">
              <w:t>30</w:t>
            </w:r>
            <w:r w:rsidR="003B0639">
              <w:t>-</w:t>
            </w:r>
            <w:r w:rsidR="001058DD">
              <w:t>day mortality</w:t>
            </w:r>
            <w:r>
              <w:t xml:space="preserve"> rate</w:t>
            </w:r>
            <w:r w:rsidR="001058DD">
              <w:t>.</w:t>
            </w:r>
            <w:r w:rsidR="003B0639">
              <w:t xml:space="preserve"> </w:t>
            </w:r>
            <w:r>
              <w:t>Once established, these cohorts can also be followed in the future to re-assess mid-term and long-term outcomes</w:t>
            </w:r>
            <w:r w:rsidR="008B3CD1">
              <w:t xml:space="preserve">, as well as to compare outcomes of patients infected during various temporal waves of COVID-19 with different characteristics – </w:t>
            </w:r>
            <w:proofErr w:type="gramStart"/>
            <w:r w:rsidR="008B3CD1">
              <w:t>i.e.</w:t>
            </w:r>
            <w:proofErr w:type="gramEnd"/>
            <w:r w:rsidR="008B3CD1">
              <w:t xml:space="preserve"> Delta variant vs Omicron variant</w:t>
            </w:r>
            <w:r>
              <w:t xml:space="preserve">. </w:t>
            </w:r>
          </w:p>
          <w:p w14:paraId="188587BE" w14:textId="3EEE4430" w:rsidR="00A437E9" w:rsidRPr="004E5331" w:rsidRDefault="003B0639" w:rsidP="003A1647">
            <w:pPr>
              <w:rPr>
                <w:color w:val="FF0000"/>
              </w:rPr>
            </w:pPr>
            <w:r>
              <w:t xml:space="preserve">       </w:t>
            </w:r>
          </w:p>
          <w:p w14:paraId="697E79C5" w14:textId="693B5D9C" w:rsidR="00030B2F" w:rsidRDefault="00886387" w:rsidP="003A1647">
            <w:pPr>
              <w:rPr>
                <w:b/>
                <w:bCs/>
              </w:rPr>
            </w:pPr>
            <w:r>
              <w:rPr>
                <w:b/>
                <w:bCs/>
              </w:rPr>
              <w:t>M</w:t>
            </w:r>
            <w:r w:rsidR="00FB4B8A">
              <w:rPr>
                <w:b/>
                <w:bCs/>
              </w:rPr>
              <w:t xml:space="preserve">yocardial </w:t>
            </w:r>
            <w:r w:rsidR="00030B2F">
              <w:rPr>
                <w:b/>
                <w:bCs/>
              </w:rPr>
              <w:t>injury subtypes</w:t>
            </w:r>
            <w:r>
              <w:rPr>
                <w:b/>
                <w:bCs/>
              </w:rPr>
              <w:t xml:space="preserve"> in acute COVID-19</w:t>
            </w:r>
            <w:r w:rsidR="00030B2F">
              <w:rPr>
                <w:b/>
                <w:bCs/>
              </w:rPr>
              <w:t>:</w:t>
            </w:r>
          </w:p>
          <w:p w14:paraId="5F865848" w14:textId="77777777" w:rsidR="00A437E9" w:rsidRDefault="00A437E9" w:rsidP="003A1647">
            <w:pPr>
              <w:rPr>
                <w:b/>
                <w:bCs/>
              </w:rPr>
            </w:pPr>
          </w:p>
          <w:p w14:paraId="47160372" w14:textId="25832BAD" w:rsidR="00F8630B" w:rsidRPr="009D2F0C" w:rsidRDefault="00F8630B" w:rsidP="00F8630B">
            <w:pPr>
              <w:pStyle w:val="ListParagraph"/>
              <w:numPr>
                <w:ilvl w:val="0"/>
                <w:numId w:val="16"/>
              </w:numPr>
              <w:rPr>
                <w:i/>
                <w:iCs/>
              </w:rPr>
            </w:pPr>
            <w:r w:rsidRPr="009D2F0C">
              <w:rPr>
                <w:i/>
                <w:iCs/>
              </w:rPr>
              <w:t>Stress Cardiomyopathy</w:t>
            </w:r>
          </w:p>
          <w:p w14:paraId="328EF578" w14:textId="6D71343A" w:rsidR="00F8630B" w:rsidRDefault="00F8630B" w:rsidP="00F8630B">
            <w:pPr>
              <w:pStyle w:val="ListParagraph"/>
            </w:pPr>
            <w:r>
              <w:t>Stress cardiomyopathy</w:t>
            </w:r>
            <w:r w:rsidR="00886387">
              <w:t>, also called Takotsubo cardiomyopathy,</w:t>
            </w:r>
            <w:r>
              <w:t xml:space="preserve"> is a type of acute, usually reversible, ventricular dysfunction that is brought about by an emotional or physical stressor. Classically this </w:t>
            </w:r>
            <w:r w:rsidR="009D42D2">
              <w:t>occurs more frequently is elderly</w:t>
            </w:r>
            <w:r>
              <w:t xml:space="preserve"> women. Cardiac imaging typically shows a left ventricular apical </w:t>
            </w:r>
            <w:r>
              <w:lastRenderedPageBreak/>
              <w:t>ballooning pattern, although other subtypes exist. Obstructive coronary artery disease needs to be ruled out for the diagnosis to be made</w:t>
            </w:r>
            <w:r w:rsidR="00912BE5">
              <w:rPr>
                <w:vertAlign w:val="superscript"/>
              </w:rPr>
              <w:t>19</w:t>
            </w:r>
            <w:r>
              <w:t xml:space="preserve">. Many case reports exist for COVID related stress cardiomyopathy that have been reviewed by </w:t>
            </w:r>
            <w:proofErr w:type="spellStart"/>
            <w:r>
              <w:t>Moady</w:t>
            </w:r>
            <w:proofErr w:type="spellEnd"/>
            <w:r>
              <w:t xml:space="preserve"> </w:t>
            </w:r>
            <w:r>
              <w:rPr>
                <w:i/>
                <w:iCs/>
              </w:rPr>
              <w:t>et al.</w:t>
            </w:r>
            <w:r w:rsidR="00912BE5">
              <w:rPr>
                <w:vertAlign w:val="superscript"/>
              </w:rPr>
              <w:t>20</w:t>
            </w:r>
            <w:r>
              <w:t xml:space="preserve"> A few larger series have been reported in the literature which showed chest pain and ECG</w:t>
            </w:r>
            <w:r w:rsidR="009D42D2">
              <w:t xml:space="preserve"> changes</w:t>
            </w:r>
            <w:r>
              <w:t xml:space="preserve"> being present in a minority of cases and with mortality rates ranging from 19-57%</w:t>
            </w:r>
            <w:r w:rsidR="00912BE5">
              <w:rPr>
                <w:vertAlign w:val="superscript"/>
              </w:rPr>
              <w:t>21-24</w:t>
            </w:r>
            <w:r>
              <w:t xml:space="preserve">. For classical stress cardiomyopathy the </w:t>
            </w:r>
            <w:proofErr w:type="spellStart"/>
            <w:r>
              <w:t>InterTAK</w:t>
            </w:r>
            <w:proofErr w:type="spellEnd"/>
            <w:r>
              <w:t xml:space="preserve"> diagnostic score has been useful but this has not been examined in COVID cases</w:t>
            </w:r>
            <w:r w:rsidR="00912BE5">
              <w:rPr>
                <w:vertAlign w:val="superscript"/>
              </w:rPr>
              <w:t>25</w:t>
            </w:r>
            <w:r w:rsidR="0058227F">
              <w:t>, therefore we will examine this within the COVID cohort</w:t>
            </w:r>
            <w:r w:rsidR="009D42D2">
              <w:t>. We built our approach to</w:t>
            </w:r>
            <w:r w:rsidR="0058227F">
              <w:t xml:space="preserve"> clinical</w:t>
            </w:r>
            <w:r w:rsidR="009D42D2">
              <w:t>ly define</w:t>
            </w:r>
            <w:r w:rsidR="0058227F">
              <w:t xml:space="preserve"> stress cardiomyopathy </w:t>
            </w:r>
            <w:r w:rsidR="00223660">
              <w:t xml:space="preserve">based </w:t>
            </w:r>
            <w:r w:rsidR="009D42D2">
              <w:t xml:space="preserve">on </w:t>
            </w:r>
            <w:r w:rsidR="00441685">
              <w:t>the</w:t>
            </w:r>
            <w:r w:rsidR="00223660">
              <w:t xml:space="preserve"> </w:t>
            </w:r>
            <w:r w:rsidR="009D42D2">
              <w:t xml:space="preserve">Modified </w:t>
            </w:r>
            <w:r w:rsidR="00223660">
              <w:t>Mayo Clinic Diagnostic Criteria for stress cardiomyopathy</w:t>
            </w:r>
            <w:r w:rsidR="00441685">
              <w:rPr>
                <w:vertAlign w:val="superscript"/>
              </w:rPr>
              <w:t>26</w:t>
            </w:r>
            <w:r w:rsidR="00223660">
              <w:t>:</w:t>
            </w:r>
          </w:p>
          <w:p w14:paraId="7F3D627E" w14:textId="77777777" w:rsidR="00223660" w:rsidRDefault="00223660" w:rsidP="00F8630B">
            <w:pPr>
              <w:pStyle w:val="ListParagraph"/>
            </w:pPr>
          </w:p>
          <w:p w14:paraId="64E4F872" w14:textId="2AED8C95" w:rsidR="00223660" w:rsidRPr="00223660" w:rsidRDefault="00223660" w:rsidP="00223660">
            <w:pPr>
              <w:pStyle w:val="ListParagraph"/>
            </w:pPr>
            <w:r>
              <w:t>1.</w:t>
            </w:r>
            <w:r w:rsidRPr="00223660">
              <w:t xml:space="preserve"> </w:t>
            </w:r>
            <w:r>
              <w:t>L</w:t>
            </w:r>
            <w:r w:rsidRPr="00223660">
              <w:t>eft ventricular regional wall motion abnormalities (hypokinesis, akinesis, or dyskinesis) that are typically transient (&lt;21 days) and typically extend beyond the distribution of a single coronary artery</w:t>
            </w:r>
            <w:r w:rsidR="009D42D2">
              <w:t>.</w:t>
            </w:r>
          </w:p>
          <w:p w14:paraId="3F1C0A8D" w14:textId="7636FF2D" w:rsidR="00223660" w:rsidRPr="00223660" w:rsidRDefault="00223660" w:rsidP="00223660">
            <w:pPr>
              <w:pStyle w:val="ListParagraph"/>
            </w:pPr>
            <w:r>
              <w:t>2.</w:t>
            </w:r>
            <w:r w:rsidRPr="00223660">
              <w:t xml:space="preserve"> </w:t>
            </w:r>
            <w:r>
              <w:t>T</w:t>
            </w:r>
            <w:r w:rsidRPr="00223660">
              <w:t>he absence of angiographic evidence of obstructive coronary artery disease or plaque rupture which is responsible for the respective wall motion abnormality</w:t>
            </w:r>
            <w:r w:rsidR="009D42D2">
              <w:t>.</w:t>
            </w:r>
          </w:p>
          <w:p w14:paraId="31CD9499" w14:textId="45454D7A" w:rsidR="00223660" w:rsidRPr="00223660" w:rsidRDefault="00223660" w:rsidP="00223660">
            <w:pPr>
              <w:pStyle w:val="ListParagraph"/>
            </w:pPr>
            <w:r>
              <w:t>3.</w:t>
            </w:r>
            <w:r w:rsidRPr="00223660">
              <w:t xml:space="preserve"> </w:t>
            </w:r>
            <w:r>
              <w:t>M</w:t>
            </w:r>
            <w:r w:rsidRPr="00223660">
              <w:t>odestly increased troponin values or ECG abnormalities</w:t>
            </w:r>
            <w:r w:rsidR="009D42D2">
              <w:t>.</w:t>
            </w:r>
          </w:p>
          <w:p w14:paraId="40BAD25D" w14:textId="6559E8D0" w:rsidR="00223660" w:rsidRDefault="00223660" w:rsidP="00223660">
            <w:pPr>
              <w:pStyle w:val="ListParagraph"/>
            </w:pPr>
            <w:r>
              <w:t>4.</w:t>
            </w:r>
            <w:r w:rsidRPr="00223660">
              <w:t xml:space="preserve"> </w:t>
            </w:r>
            <w:r>
              <w:t>E</w:t>
            </w:r>
            <w:r w:rsidRPr="00223660">
              <w:t xml:space="preserve">xclude myocarditis and </w:t>
            </w:r>
            <w:proofErr w:type="gramStart"/>
            <w:r w:rsidRPr="00223660">
              <w:t>pheochromocytoma</w:t>
            </w:r>
            <w:r w:rsidR="009D42D2">
              <w:t>.</w:t>
            </w:r>
            <w:r>
              <w:t>*</w:t>
            </w:r>
            <w:proofErr w:type="gramEnd"/>
          </w:p>
          <w:p w14:paraId="32732535" w14:textId="0667392D" w:rsidR="00223660" w:rsidRDefault="00223660" w:rsidP="00223660">
            <w:pPr>
              <w:pStyle w:val="ListParagraph"/>
            </w:pPr>
          </w:p>
          <w:p w14:paraId="41091B6F" w14:textId="4ED33D60" w:rsidR="00223660" w:rsidRPr="00223660" w:rsidRDefault="00223660" w:rsidP="00223660">
            <w:pPr>
              <w:pStyle w:val="ListParagraph"/>
            </w:pPr>
            <w:r>
              <w:t>*Pheochromocytoma</w:t>
            </w:r>
            <w:r w:rsidR="009D42D2">
              <w:t>s</w:t>
            </w:r>
            <w:r>
              <w:t xml:space="preserve"> are extremely </w:t>
            </w:r>
            <w:proofErr w:type="gramStart"/>
            <w:r>
              <w:t>rare</w:t>
            </w:r>
            <w:proofErr w:type="gramEnd"/>
            <w:r>
              <w:t xml:space="preserve"> and we did not include this requirement in our algorithm.</w:t>
            </w:r>
          </w:p>
          <w:p w14:paraId="24105518" w14:textId="77777777" w:rsidR="00093AB2" w:rsidRPr="00093AB2" w:rsidRDefault="00093AB2" w:rsidP="00F8630B"/>
          <w:p w14:paraId="35C9FAFA" w14:textId="7ED1EF93" w:rsidR="0046550F" w:rsidRPr="00936128" w:rsidRDefault="0046550F" w:rsidP="00936128">
            <w:pPr>
              <w:pStyle w:val="ListParagraph"/>
              <w:numPr>
                <w:ilvl w:val="0"/>
                <w:numId w:val="16"/>
              </w:numPr>
              <w:rPr>
                <w:i/>
                <w:iCs/>
              </w:rPr>
            </w:pPr>
            <w:r w:rsidRPr="00936128">
              <w:rPr>
                <w:i/>
                <w:iCs/>
              </w:rPr>
              <w:t>Myocarditis</w:t>
            </w:r>
          </w:p>
          <w:p w14:paraId="5358C3B7" w14:textId="527CC892" w:rsidR="004F55E2" w:rsidRPr="004F55E2" w:rsidRDefault="0058227F" w:rsidP="0058227F">
            <w:pPr>
              <w:pStyle w:val="ListParagraph"/>
            </w:pPr>
            <w:r>
              <w:t xml:space="preserve">Myocarditis is inflammation of the muscular tissue of the heart; this can lead to temporary or permanent ventricular dysfunction and scarring of the cardiac parenchyma. The gold standard for myocarditis diagnosis is an endomyocardial biopsy which is </w:t>
            </w:r>
            <w:r w:rsidR="009D42D2">
              <w:t>seldom</w:t>
            </w:r>
            <w:r>
              <w:t xml:space="preserve"> performed in acute COVID-19. Cardiac MRI has good diagnostic yield, but this is also relatively infrequently performed during acute COVID-19</w:t>
            </w:r>
            <w:r w:rsidR="004F55E2">
              <w:t>, although it is becoming more frequently utilized shortly after the acute phase and these MRI results have been recently reviewed</w:t>
            </w:r>
            <w:r w:rsidR="004F55E2">
              <w:rPr>
                <w:vertAlign w:val="superscript"/>
              </w:rPr>
              <w:t>27</w:t>
            </w:r>
            <w:r>
              <w:t xml:space="preserve">. </w:t>
            </w:r>
            <w:r w:rsidR="004F55E2">
              <w:t xml:space="preserve">Additionally, a review of autopsy results showing myocarditis in COVID-19 patients who succumbed to the disease </w:t>
            </w:r>
            <w:r w:rsidR="004F55E2" w:rsidRPr="00122106">
              <w:t>has been published</w:t>
            </w:r>
            <w:r w:rsidR="004F55E2" w:rsidRPr="00122106">
              <w:rPr>
                <w:vertAlign w:val="superscript"/>
              </w:rPr>
              <w:t>28</w:t>
            </w:r>
            <w:r w:rsidR="004F55E2" w:rsidRPr="00122106">
              <w:t>. Together these studies suggest that clinically relevant myocarditis is less frequent than was initially feared in the early alarming reports.</w:t>
            </w:r>
            <w:r w:rsidR="00612C74" w:rsidRPr="00122106">
              <w:t xml:space="preserve"> One large EHR-based retrospective cohort study</w:t>
            </w:r>
            <w:r w:rsidR="00612C74" w:rsidRPr="00122106">
              <w:rPr>
                <w:vertAlign w:val="superscript"/>
              </w:rPr>
              <w:t>29</w:t>
            </w:r>
            <w:r w:rsidR="00612C74" w:rsidRPr="00122106">
              <w:t xml:space="preserve"> of 718,365 COVID-19 patients</w:t>
            </w:r>
            <w:r w:rsidR="00122106" w:rsidRPr="00122106">
              <w:t xml:space="preserve"> in the </w:t>
            </w:r>
            <w:proofErr w:type="spellStart"/>
            <w:r w:rsidR="00122106" w:rsidRPr="00122106">
              <w:t>TriNetX</w:t>
            </w:r>
            <w:proofErr w:type="spellEnd"/>
            <w:r w:rsidR="00122106" w:rsidRPr="00122106">
              <w:t xml:space="preserve"> network</w:t>
            </w:r>
            <w:r w:rsidR="00612C74" w:rsidRPr="00122106">
              <w:t xml:space="preserve"> found that 5% developed new-onset myocarditis with a 6-month all-cause mortality of 3.9%</w:t>
            </w:r>
            <w:r w:rsidR="00122106" w:rsidRPr="00122106">
              <w:t xml:space="preserve"> compared to 2.9% of matched COVID-19 patients without myocarditis</w:t>
            </w:r>
            <w:r w:rsidR="00612C74" w:rsidRPr="00122106">
              <w:t>.</w:t>
            </w:r>
            <w:r w:rsidR="00122106" w:rsidRPr="00122106">
              <w:t xml:space="preserve"> However, the presence of Myocarditis was based purely on the presence of ICD codes, which is often inaccurate, and there is no mention of chart review</w:t>
            </w:r>
            <w:r w:rsidR="00122106">
              <w:t xml:space="preserve"> to validate their phenotype. </w:t>
            </w:r>
          </w:p>
          <w:p w14:paraId="6B6A2611" w14:textId="77777777" w:rsidR="004F55E2" w:rsidRDefault="004F55E2" w:rsidP="0058227F">
            <w:pPr>
              <w:pStyle w:val="ListParagraph"/>
            </w:pPr>
          </w:p>
          <w:p w14:paraId="4C089B53" w14:textId="5C7FD70E" w:rsidR="0058227F" w:rsidRDefault="004F55E2" w:rsidP="0058227F">
            <w:pPr>
              <w:pStyle w:val="ListParagraph"/>
            </w:pPr>
            <w:r>
              <w:t xml:space="preserve">Due to </w:t>
            </w:r>
            <w:r w:rsidR="00910853">
              <w:t>diagnostic limitations</w:t>
            </w:r>
            <w:r>
              <w:t xml:space="preserve">, </w:t>
            </w:r>
            <w:r w:rsidR="0058227F">
              <w:t>clinical criteria for suspected myocarditis need to be employed. We utilized the criteria from the 2013 European Society of Cardiology position statement on clinically suspected myocarditis</w:t>
            </w:r>
            <w:r w:rsidR="00612C74">
              <w:rPr>
                <w:vertAlign w:val="superscript"/>
              </w:rPr>
              <w:t>30</w:t>
            </w:r>
            <w:r w:rsidR="0058227F">
              <w:t xml:space="preserve">. This includes either at least one clinical presentation and at least one diagnostic criteria, or at least 2 diagnostic criteria from the </w:t>
            </w:r>
            <w:r w:rsidR="0058227F">
              <w:lastRenderedPageBreak/>
              <w:t>following list (in the absence of angiographically detectable obstructive coronary artery disease):</w:t>
            </w:r>
          </w:p>
          <w:p w14:paraId="1B951A7F" w14:textId="77777777" w:rsidR="0058227F" w:rsidRDefault="0058227F" w:rsidP="0058227F">
            <w:pPr>
              <w:pStyle w:val="ListParagraph"/>
            </w:pPr>
          </w:p>
          <w:p w14:paraId="5207B2B4" w14:textId="5A58CBF3" w:rsidR="0058227F" w:rsidRDefault="0058227F" w:rsidP="0058227F">
            <w:pPr>
              <w:pStyle w:val="ListParagraph"/>
            </w:pPr>
            <w:r>
              <w:t>1. Clinical presentations</w:t>
            </w:r>
          </w:p>
          <w:p w14:paraId="768D8E92" w14:textId="1827583E" w:rsidR="0058227F" w:rsidRDefault="0058227F" w:rsidP="0058227F">
            <w:pPr>
              <w:pStyle w:val="ListParagraph"/>
            </w:pPr>
            <w:r>
              <w:t xml:space="preserve">    a. Acute chest pain, pericarditic, or pseudo-ischemic</w:t>
            </w:r>
            <w:r w:rsidR="009D42D2">
              <w:t>.</w:t>
            </w:r>
          </w:p>
          <w:p w14:paraId="3942A6B7" w14:textId="3870F5C6" w:rsidR="0058227F" w:rsidRDefault="0058227F" w:rsidP="0058227F">
            <w:pPr>
              <w:pStyle w:val="ListParagraph"/>
            </w:pPr>
            <w:r>
              <w:t xml:space="preserve">    b. New-onset (days up to 3 months) or worsening of: dyspnea at rest or      exercise, and/or fatigue, with or without left and/or right heart failure signs</w:t>
            </w:r>
            <w:r w:rsidR="009D42D2">
              <w:t>.</w:t>
            </w:r>
          </w:p>
          <w:p w14:paraId="202120C0" w14:textId="6091900F" w:rsidR="0058227F" w:rsidRDefault="0058227F" w:rsidP="0058227F">
            <w:pPr>
              <w:pStyle w:val="ListParagraph"/>
            </w:pPr>
            <w:r>
              <w:t xml:space="preserve">    c. Subacute/chronic (&gt;3 months) or worsening </w:t>
            </w:r>
            <w:proofErr w:type="gramStart"/>
            <w:r>
              <w:t>of:</w:t>
            </w:r>
            <w:proofErr w:type="gramEnd"/>
            <w:r>
              <w:t xml:space="preserve"> dyspnea at rest or      exercise, and/or fatigue, with or without left and/or right heart failure signs</w:t>
            </w:r>
            <w:r w:rsidR="009D42D2">
              <w:t>.</w:t>
            </w:r>
          </w:p>
          <w:p w14:paraId="4BDFA96E" w14:textId="4B507534" w:rsidR="0058227F" w:rsidRDefault="0058227F" w:rsidP="0058227F">
            <w:pPr>
              <w:pStyle w:val="ListParagraph"/>
            </w:pPr>
            <w:r>
              <w:t xml:space="preserve">    d. Palpitations, and/or unexplained arrythmia symptoms and/or syncope, and/or aborted sudden cardiac death</w:t>
            </w:r>
            <w:r w:rsidR="009D42D2">
              <w:t>.</w:t>
            </w:r>
          </w:p>
          <w:p w14:paraId="39A396F8" w14:textId="68AD18FD" w:rsidR="0058227F" w:rsidRDefault="0058227F" w:rsidP="0058227F">
            <w:pPr>
              <w:pStyle w:val="ListParagraph"/>
            </w:pPr>
            <w:r>
              <w:t xml:space="preserve">    e. Unexplained cardiogenic shock</w:t>
            </w:r>
            <w:r w:rsidR="009D42D2">
              <w:t>.</w:t>
            </w:r>
          </w:p>
          <w:p w14:paraId="50543351" w14:textId="77777777" w:rsidR="0058227F" w:rsidRDefault="0058227F" w:rsidP="0058227F">
            <w:pPr>
              <w:pStyle w:val="ListParagraph"/>
            </w:pPr>
          </w:p>
          <w:p w14:paraId="075D449F" w14:textId="3C21B44F" w:rsidR="0058227F" w:rsidRDefault="0058227F" w:rsidP="0058227F">
            <w:pPr>
              <w:pStyle w:val="ListParagraph"/>
            </w:pPr>
            <w:r>
              <w:t>2. Diagnostic criteria*</w:t>
            </w:r>
          </w:p>
          <w:p w14:paraId="36194E16" w14:textId="53A49E97" w:rsidR="0058227F" w:rsidRDefault="0058227F" w:rsidP="0058227F">
            <w:pPr>
              <w:pStyle w:val="ListParagraph"/>
            </w:pPr>
            <w:r>
              <w:t xml:space="preserve">    a. Functional and structural abnormalities on cardiac imaging (echo/angiogram/cardiac MRI) including new, otherwise unexplained left and/or right ventricle structure and function abnormality, with or without ventricular dilatation, increased wall thickness, pericardial effusion, or endocavitary thrombi</w:t>
            </w:r>
            <w:r w:rsidR="009D42D2">
              <w:t>.</w:t>
            </w:r>
          </w:p>
          <w:p w14:paraId="3B32FF32" w14:textId="6D64EA48" w:rsidR="0058227F" w:rsidRDefault="0058227F" w:rsidP="0058227F">
            <w:pPr>
              <w:pStyle w:val="ListParagraph"/>
            </w:pPr>
            <w:r>
              <w:t xml:space="preserve">    b. Tissue characterization by cardiac MRI including edema and/or late gadolinium enhancement of classical myocarditic pattern</w:t>
            </w:r>
            <w:r w:rsidR="009D42D2">
              <w:t>.</w:t>
            </w:r>
          </w:p>
          <w:p w14:paraId="7688444D" w14:textId="77777777" w:rsidR="0058227F" w:rsidRDefault="0058227F" w:rsidP="0058227F">
            <w:pPr>
              <w:pStyle w:val="ListParagraph"/>
            </w:pPr>
          </w:p>
          <w:p w14:paraId="3DE6504D" w14:textId="799488C5" w:rsidR="0058227F" w:rsidRDefault="0058227F" w:rsidP="0058227F">
            <w:pPr>
              <w:pStyle w:val="ListParagraph"/>
            </w:pPr>
            <w:r>
              <w:t>*</w:t>
            </w:r>
            <w:r w:rsidR="009D42D2">
              <w:t>T</w:t>
            </w:r>
            <w:r>
              <w:t xml:space="preserve">he published criteria also include elevated troponin which is moot since we are only examining cases with elevated troponin; they also include a criterion for electrocardiogram abnormalities that are extensive and would be very difficult to easily incorporate into </w:t>
            </w:r>
            <w:r w:rsidR="007C7501">
              <w:t>the electronic algorithm</w:t>
            </w:r>
            <w:r w:rsidR="009D42D2">
              <w:t>.</w:t>
            </w:r>
            <w:r>
              <w:t xml:space="preserve"> </w:t>
            </w:r>
          </w:p>
          <w:p w14:paraId="657A861F" w14:textId="28783DE3" w:rsidR="0058227F" w:rsidRDefault="0058227F" w:rsidP="0058227F">
            <w:pPr>
              <w:pStyle w:val="ListParagraph"/>
            </w:pPr>
          </w:p>
          <w:p w14:paraId="7E1594A9" w14:textId="77777777" w:rsidR="00F8630B" w:rsidRPr="0001617D" w:rsidRDefault="00F8630B" w:rsidP="00F8630B">
            <w:pPr>
              <w:pStyle w:val="ListParagraph"/>
              <w:numPr>
                <w:ilvl w:val="0"/>
                <w:numId w:val="16"/>
              </w:numPr>
              <w:rPr>
                <w:i/>
                <w:iCs/>
              </w:rPr>
            </w:pPr>
            <w:r w:rsidRPr="00954B6D">
              <w:rPr>
                <w:i/>
                <w:iCs/>
              </w:rPr>
              <w:t>Pericarditis</w:t>
            </w:r>
          </w:p>
          <w:p w14:paraId="1CF5016C" w14:textId="28C667AA" w:rsidR="00F8630B" w:rsidRDefault="00122106" w:rsidP="00122106">
            <w:pPr>
              <w:pStyle w:val="ListParagraph"/>
            </w:pPr>
            <w:r>
              <w:t xml:space="preserve">Pericarditis is inflammation of the pericardium, or sack around the heart. This can occur with or without elevated troponins, however, as we are assessing the cause of myocardial injury, we are only assessing the subset with elevated troponin values. Pericarditis can occur in isolation or in conjunction with myocarditis (myopericarditis). Myopericarditis behaves more like myocarditis, therefore we will focus on pericarditis in isolation and group myopericarditis with myocarditis. </w:t>
            </w:r>
          </w:p>
          <w:p w14:paraId="5E839DB4" w14:textId="7A45DE06" w:rsidR="00122106" w:rsidRDefault="00122106" w:rsidP="00122106">
            <w:pPr>
              <w:pStyle w:val="ListParagraph"/>
            </w:pPr>
          </w:p>
          <w:p w14:paraId="12E48263" w14:textId="631EE7E0" w:rsidR="00122106" w:rsidRDefault="00122106" w:rsidP="00122106">
            <w:pPr>
              <w:pStyle w:val="ListParagraph"/>
            </w:pPr>
            <w:r w:rsidRPr="00122106">
              <w:t xml:space="preserve">In the previously mentioned </w:t>
            </w:r>
            <w:proofErr w:type="spellStart"/>
            <w:r w:rsidRPr="00122106">
              <w:t>TriNetX</w:t>
            </w:r>
            <w:proofErr w:type="spellEnd"/>
            <w:r w:rsidRPr="00122106">
              <w:t xml:space="preserve"> study</w:t>
            </w:r>
            <w:r w:rsidRPr="00122106">
              <w:rPr>
                <w:vertAlign w:val="superscript"/>
              </w:rPr>
              <w:t>29</w:t>
            </w:r>
            <w:r w:rsidRPr="00122106">
              <w:t xml:space="preserve"> on myocarditis, they also examined pericarditis, and found 1.5% prevalence of pericarditis in COVID-19 patients, but with a strikingly high mortality rate of 15.5% compared to 6.7% of matched controls. Pericarditis again was determined based purely on a few ICD codes and no mention is made of verifying the phenotype with manual chart review. </w:t>
            </w:r>
          </w:p>
          <w:p w14:paraId="33B268A6" w14:textId="7AADF48D" w:rsidR="0095704C" w:rsidRDefault="0095704C" w:rsidP="00122106">
            <w:pPr>
              <w:pStyle w:val="ListParagraph"/>
            </w:pPr>
          </w:p>
          <w:p w14:paraId="5D7E860A" w14:textId="5C1EED9E" w:rsidR="009D42D2" w:rsidRDefault="0095704C" w:rsidP="00122106">
            <w:pPr>
              <w:pStyle w:val="ListParagraph"/>
            </w:pPr>
            <w:r>
              <w:t>In our manual chart review, acute pericarditis is diagnosed when at least two of the following four criteria were present</w:t>
            </w:r>
            <w:r w:rsidR="009D42D2">
              <w:rPr>
                <w:vertAlign w:val="superscript"/>
              </w:rPr>
              <w:t>31</w:t>
            </w:r>
            <w:r>
              <w:t xml:space="preserve">: </w:t>
            </w:r>
          </w:p>
          <w:p w14:paraId="4BB1380A" w14:textId="7C17A343" w:rsidR="009D42D2" w:rsidRDefault="009D42D2" w:rsidP="00122106">
            <w:pPr>
              <w:pStyle w:val="ListParagraph"/>
            </w:pPr>
            <w:r>
              <w:br/>
              <w:t>1. P</w:t>
            </w:r>
            <w:r w:rsidR="0095704C">
              <w:t>ericardial chest pain</w:t>
            </w:r>
          </w:p>
          <w:p w14:paraId="5D525E46" w14:textId="77777777" w:rsidR="009D42D2" w:rsidRDefault="009D42D2" w:rsidP="00122106">
            <w:pPr>
              <w:pStyle w:val="ListParagraph"/>
            </w:pPr>
            <w:r>
              <w:t>2. P</w:t>
            </w:r>
            <w:r w:rsidR="0095704C">
              <w:t>ericardial friction rub</w:t>
            </w:r>
          </w:p>
          <w:p w14:paraId="3B51C2D4" w14:textId="77777777" w:rsidR="009D42D2" w:rsidRDefault="009D42D2" w:rsidP="00122106">
            <w:pPr>
              <w:pStyle w:val="ListParagraph"/>
            </w:pPr>
            <w:r>
              <w:lastRenderedPageBreak/>
              <w:t>3. S</w:t>
            </w:r>
            <w:r w:rsidR="0095704C">
              <w:t>uggestive ECG changes (typically widespread ST-segment elevation, PR depression)</w:t>
            </w:r>
          </w:p>
          <w:p w14:paraId="37B8365D" w14:textId="298EB0CC" w:rsidR="009D42D2" w:rsidRDefault="009D42D2" w:rsidP="00122106">
            <w:pPr>
              <w:pStyle w:val="ListParagraph"/>
            </w:pPr>
            <w:r>
              <w:t>4. N</w:t>
            </w:r>
            <w:r w:rsidR="0095704C">
              <w:t>ew or worsening pericardial effusion on imaging (typically echocardiogram)</w:t>
            </w:r>
          </w:p>
          <w:p w14:paraId="62215940" w14:textId="77777777" w:rsidR="009D42D2" w:rsidRDefault="009D42D2" w:rsidP="00122106">
            <w:pPr>
              <w:pStyle w:val="ListParagraph"/>
            </w:pPr>
          </w:p>
          <w:p w14:paraId="74339A28" w14:textId="3469CF9B" w:rsidR="0095704C" w:rsidRPr="00122106" w:rsidRDefault="009D42D2" w:rsidP="00122106">
            <w:pPr>
              <w:pStyle w:val="ListParagraph"/>
            </w:pPr>
            <w:r>
              <w:t>*</w:t>
            </w:r>
            <w:r w:rsidR="0095704C">
              <w:t>Although some authors will use C-reactive protein levels, these are frequently high in acute COVID-19 and would be very non-specific for pericarditis in this population.</w:t>
            </w:r>
          </w:p>
          <w:p w14:paraId="1B6F793D" w14:textId="77777777" w:rsidR="00F8630B" w:rsidRDefault="00F8630B" w:rsidP="00F8630B">
            <w:pPr>
              <w:pStyle w:val="ListParagraph"/>
            </w:pPr>
          </w:p>
          <w:p w14:paraId="03137331" w14:textId="72F564DD" w:rsidR="00954B6D" w:rsidRDefault="0095704C" w:rsidP="00954B6D">
            <w:pPr>
              <w:pStyle w:val="ListParagraph"/>
              <w:numPr>
                <w:ilvl w:val="0"/>
                <w:numId w:val="16"/>
              </w:numPr>
              <w:rPr>
                <w:i/>
                <w:iCs/>
              </w:rPr>
            </w:pPr>
            <w:r>
              <w:rPr>
                <w:i/>
                <w:iCs/>
              </w:rPr>
              <w:t>Acute P</w:t>
            </w:r>
            <w:r w:rsidR="00954B6D">
              <w:rPr>
                <w:i/>
                <w:iCs/>
              </w:rPr>
              <w:t>ulmonary Embolism</w:t>
            </w:r>
          </w:p>
          <w:p w14:paraId="2BCAECCB" w14:textId="3E7AFA91" w:rsidR="00F8630B" w:rsidRDefault="0095704C" w:rsidP="005E0FF2">
            <w:pPr>
              <w:pStyle w:val="ListParagraph"/>
            </w:pPr>
            <w:r>
              <w:t>Acute pulmonary embolism occurs when a blood clot (thrombus) becomes lodged in the pulmonary arteries</w:t>
            </w:r>
            <w:r w:rsidR="00C419AF">
              <w:t>.</w:t>
            </w:r>
            <w:r>
              <w:t xml:space="preserve"> </w:t>
            </w:r>
            <w:r w:rsidR="00C419AF">
              <w:t>T</w:t>
            </w:r>
            <w:r>
              <w:t xml:space="preserve">his thrombus is typically formed in the deep venous system of the lower extremities and migrates to the pulmonary arteries. Due to the thrombogenic state in acute COVID-19, pulmonary emboli </w:t>
            </w:r>
            <w:r w:rsidR="00C419AF">
              <w:t>are</w:t>
            </w:r>
            <w:r>
              <w:t xml:space="preserve"> frequent</w:t>
            </w:r>
            <w:r w:rsidR="00C419AF">
              <w:t>ly</w:t>
            </w:r>
            <w:r>
              <w:t xml:space="preserve"> </w:t>
            </w:r>
            <w:r w:rsidR="00C419AF">
              <w:t xml:space="preserve">occurring </w:t>
            </w:r>
            <w:r>
              <w:t xml:space="preserve">complications. </w:t>
            </w:r>
            <w:r w:rsidR="0072411F">
              <w:t xml:space="preserve">In </w:t>
            </w:r>
            <w:r>
              <w:t xml:space="preserve">one </w:t>
            </w:r>
            <w:r w:rsidR="0072411F">
              <w:t>retrospective multicentric study</w:t>
            </w:r>
            <w:r w:rsidR="005E0FF2">
              <w:rPr>
                <w:vertAlign w:val="superscript"/>
              </w:rPr>
              <w:t>32</w:t>
            </w:r>
            <w:r>
              <w:t xml:space="preserve"> of</w:t>
            </w:r>
            <w:r w:rsidR="0072411F">
              <w:t xml:space="preserve"> 1</w:t>
            </w:r>
            <w:r w:rsidR="00612488">
              <w:t>,</w:t>
            </w:r>
            <w:r w:rsidR="0072411F">
              <w:t xml:space="preserve">240 hospitalized </w:t>
            </w:r>
            <w:r w:rsidR="001F0B61">
              <w:t>COVID-19 patients</w:t>
            </w:r>
            <w:r w:rsidR="00AE5369">
              <w:t>,</w:t>
            </w:r>
            <w:r w:rsidR="00612488">
              <w:t xml:space="preserve"> </w:t>
            </w:r>
            <w:r w:rsidR="0072411F">
              <w:t xml:space="preserve">8.3% had pulmonary embolism confirmed by CT </w:t>
            </w:r>
            <w:r w:rsidR="00612488">
              <w:t>pulmonary angiography</w:t>
            </w:r>
            <w:r>
              <w:t>, the gold standard test for diagnosis</w:t>
            </w:r>
            <w:r w:rsidR="0072411F">
              <w:t xml:space="preserve">. The </w:t>
            </w:r>
            <w:r w:rsidR="00612488">
              <w:t xml:space="preserve">need for </w:t>
            </w:r>
            <w:r w:rsidR="0072411F">
              <w:t xml:space="preserve">ICU transfer </w:t>
            </w:r>
            <w:r>
              <w:t xml:space="preserve">(31.1% vs 13.5%) </w:t>
            </w:r>
            <w:r w:rsidR="0072411F">
              <w:t xml:space="preserve">and mechanical ventilation </w:t>
            </w:r>
            <w:r>
              <w:t xml:space="preserve">(24.3% vs 7.3%) </w:t>
            </w:r>
            <w:r w:rsidR="00B71A7A">
              <w:t>were</w:t>
            </w:r>
            <w:r w:rsidR="0072411F">
              <w:t xml:space="preserve"> significantly higher among these patients</w:t>
            </w:r>
            <w:r>
              <w:t xml:space="preserve"> than COVID matched controls without pulmonary emboli</w:t>
            </w:r>
            <w:r w:rsidR="0072411F">
              <w:t xml:space="preserve">. </w:t>
            </w:r>
            <w:r w:rsidR="005E0FF2">
              <w:t>Another study</w:t>
            </w:r>
            <w:r w:rsidR="005E0FF2">
              <w:rPr>
                <w:vertAlign w:val="superscript"/>
              </w:rPr>
              <w:t>33</w:t>
            </w:r>
            <w:r w:rsidR="006F7183">
              <w:t xml:space="preserve"> </w:t>
            </w:r>
            <w:r w:rsidR="00B254E7">
              <w:t xml:space="preserve">of </w:t>
            </w:r>
            <w:r w:rsidR="006F7183">
              <w:t xml:space="preserve">224 hospitalized </w:t>
            </w:r>
            <w:r w:rsidR="00AF4A9C">
              <w:t>COVID-19 patients</w:t>
            </w:r>
            <w:r w:rsidR="005E0FF2">
              <w:t xml:space="preserve"> found </w:t>
            </w:r>
            <w:r w:rsidR="00B254E7">
              <w:t xml:space="preserve">14% </w:t>
            </w:r>
            <w:r w:rsidR="005E0FF2">
              <w:t>with</w:t>
            </w:r>
            <w:r w:rsidR="00B254E7">
              <w:t xml:space="preserve"> </w:t>
            </w:r>
            <w:r w:rsidR="006F7183">
              <w:t>pulmonary embolism</w:t>
            </w:r>
            <w:r w:rsidR="005E0FF2">
              <w:t xml:space="preserve"> by CT pulmonary angiography and this was associated with increased l</w:t>
            </w:r>
            <w:r w:rsidR="006F7183">
              <w:t>ength of hospital stay (7 vs 3 days)</w:t>
            </w:r>
            <w:r w:rsidR="005E0FF2">
              <w:t>, higher m</w:t>
            </w:r>
            <w:r w:rsidR="006F7183">
              <w:t xml:space="preserve">ortality rate (50% vs 27%) and </w:t>
            </w:r>
            <w:r w:rsidR="005E0FF2">
              <w:t xml:space="preserve">higher rates of </w:t>
            </w:r>
            <w:r w:rsidR="006F7183">
              <w:t>cardiogenic shock (37% vs 14%).</w:t>
            </w:r>
          </w:p>
          <w:p w14:paraId="388B18AF" w14:textId="6B51715B" w:rsidR="005E0FF2" w:rsidRDefault="005E0FF2" w:rsidP="005E0FF2">
            <w:pPr>
              <w:pStyle w:val="ListParagraph"/>
            </w:pPr>
          </w:p>
          <w:p w14:paraId="41ACE316" w14:textId="14DD7B6B" w:rsidR="005E0FF2" w:rsidRPr="00F8630B" w:rsidRDefault="006D0E8D" w:rsidP="005E0FF2">
            <w:pPr>
              <w:pStyle w:val="ListParagraph"/>
              <w:rPr>
                <w:i/>
                <w:iCs/>
              </w:rPr>
            </w:pPr>
            <w:r>
              <w:t xml:space="preserve">Given that acute pulmonary embolism is a diagnosis on imaging, the largest </w:t>
            </w:r>
            <w:r w:rsidR="00C419AF">
              <w:t>obstacle in detecting acute event</w:t>
            </w:r>
            <w:r>
              <w:t xml:space="preserve"> when using ICD codes has been </w:t>
            </w:r>
            <w:r w:rsidR="00C419AF">
              <w:t>old</w:t>
            </w:r>
            <w:r>
              <w:t xml:space="preserve"> diagnos</w:t>
            </w:r>
            <w:r w:rsidR="00C419AF">
              <w:t>e</w:t>
            </w:r>
            <w:r>
              <w:t>s being carried forward when someone had a previous pulmonary embolism</w:t>
            </w:r>
            <w:r w:rsidR="00C419AF">
              <w:t xml:space="preserve"> unrelated to COVID-19;</w:t>
            </w:r>
            <w:r>
              <w:t xml:space="preserve"> therefore</w:t>
            </w:r>
            <w:r w:rsidR="00C419AF">
              <w:t>,</w:t>
            </w:r>
            <w:r>
              <w:t xml:space="preserve"> we will use an exclusion period prior to the COVID diagnosis where pulmonary embolism has been previously mentioned.</w:t>
            </w:r>
            <w:r w:rsidR="00D15214">
              <w:t xml:space="preserve"> Manual chart review consists simply of examining the CT imaging </w:t>
            </w:r>
            <w:r w:rsidR="00C419AF">
              <w:t>reports</w:t>
            </w:r>
            <w:r w:rsidR="00D15214">
              <w:t xml:space="preserve">. </w:t>
            </w:r>
          </w:p>
          <w:p w14:paraId="1E5E82F0" w14:textId="4BC05007" w:rsidR="006F7183" w:rsidRPr="00F8630B" w:rsidRDefault="006F7183" w:rsidP="00F8630B">
            <w:pPr>
              <w:rPr>
                <w:i/>
                <w:iCs/>
              </w:rPr>
            </w:pPr>
            <w:r>
              <w:t xml:space="preserve"> </w:t>
            </w:r>
          </w:p>
          <w:p w14:paraId="71671E95" w14:textId="2A306140" w:rsidR="00F8630B" w:rsidRDefault="00D15214" w:rsidP="00F8630B">
            <w:pPr>
              <w:pStyle w:val="ListParagraph"/>
              <w:numPr>
                <w:ilvl w:val="0"/>
                <w:numId w:val="16"/>
              </w:numPr>
              <w:rPr>
                <w:i/>
                <w:iCs/>
              </w:rPr>
            </w:pPr>
            <w:r>
              <w:rPr>
                <w:i/>
                <w:iCs/>
              </w:rPr>
              <w:t xml:space="preserve">Acute </w:t>
            </w:r>
            <w:r w:rsidR="00F8630B">
              <w:rPr>
                <w:i/>
                <w:iCs/>
              </w:rPr>
              <w:t>Myocardial Infarction:</w:t>
            </w:r>
          </w:p>
          <w:p w14:paraId="2B8D0359" w14:textId="656D3B47" w:rsidR="00CA67F5" w:rsidRDefault="00D15214" w:rsidP="00CA67F5">
            <w:pPr>
              <w:pStyle w:val="ListParagraph"/>
            </w:pPr>
            <w:r>
              <w:t>Acute myocardial infarction occurs when a coronary artery becomes acutely occluded, typically due to a ruptured atherothrombotic plaque caus</w:t>
            </w:r>
            <w:r w:rsidR="00F1752F">
              <w:t>ing</w:t>
            </w:r>
            <w:r>
              <w:t xml:space="preserve"> thrombus formation. This is a frequent finding in COVID-19 patients, likely</w:t>
            </w:r>
            <w:r w:rsidR="00CA67F5">
              <w:t xml:space="preserve"> secondary to the altered inflammatory milieu. Acute myocardial infarction consists of ST-segment elevation myocardial infarction (STEMI) and non- ST-segment elevation myocardial infarction (NSTEMI). One study</w:t>
            </w:r>
            <w:r w:rsidR="00CA67F5">
              <w:rPr>
                <w:vertAlign w:val="superscript"/>
              </w:rPr>
              <w:t>34</w:t>
            </w:r>
            <w:r w:rsidR="00CA67F5">
              <w:t xml:space="preserve"> found that </w:t>
            </w:r>
            <w:r w:rsidR="00F1752F">
              <w:t xml:space="preserve">among </w:t>
            </w:r>
            <w:r w:rsidR="00CA67F5">
              <w:t>COVID patients with a</w:t>
            </w:r>
            <w:r w:rsidR="00F1752F">
              <w:t xml:space="preserve"> STEMI</w:t>
            </w:r>
            <w:r w:rsidR="00CA67F5">
              <w:t xml:space="preserve">, 85.7% had the STEMI as the first symptoms of COVID-19. </w:t>
            </w:r>
          </w:p>
          <w:p w14:paraId="5EB10B28" w14:textId="77777777" w:rsidR="00CA67F5" w:rsidRDefault="00CA67F5" w:rsidP="00CA67F5">
            <w:pPr>
              <w:pStyle w:val="ListParagraph"/>
            </w:pPr>
          </w:p>
          <w:p w14:paraId="1C0D2EDF" w14:textId="57F7657F" w:rsidR="00F8630B" w:rsidRDefault="00F8630B" w:rsidP="00CA67F5">
            <w:pPr>
              <w:pStyle w:val="ListParagraph"/>
            </w:pPr>
            <w:r>
              <w:t>Results of the</w:t>
            </w:r>
            <w:r w:rsidR="00CA67F5">
              <w:t xml:space="preserve"> international</w:t>
            </w:r>
            <w:r>
              <w:t xml:space="preserve"> COVID-ACS registry</w:t>
            </w:r>
            <w:r w:rsidR="00D15214">
              <w:rPr>
                <w:vertAlign w:val="superscript"/>
              </w:rPr>
              <w:t>3</w:t>
            </w:r>
            <w:r w:rsidR="00CA67F5">
              <w:rPr>
                <w:vertAlign w:val="superscript"/>
              </w:rPr>
              <w:t>5</w:t>
            </w:r>
            <w:r>
              <w:t xml:space="preserve"> revealed that COVID-19 patients had a prolonged symptom-to-admission time </w:t>
            </w:r>
            <w:r w:rsidR="00CA67F5">
              <w:t xml:space="preserve">(339 min vs 173 min for STEMI and 417 min vs 295 min for NSTEMI) </w:t>
            </w:r>
            <w:r>
              <w:t>and higher in-hospital mortality</w:t>
            </w:r>
            <w:r w:rsidR="00CA67F5">
              <w:t xml:space="preserve"> (22.9% vs 5.7%</w:t>
            </w:r>
            <w:r>
              <w:t xml:space="preserve"> </w:t>
            </w:r>
            <w:r w:rsidR="00CA67F5">
              <w:t xml:space="preserve">in STEMI and 6.6% vs 1.2% in </w:t>
            </w:r>
            <w:r w:rsidR="00CA67F5">
              <w:lastRenderedPageBreak/>
              <w:t xml:space="preserve">NSTEMI) </w:t>
            </w:r>
            <w:r>
              <w:t xml:space="preserve">in comparison to pre-COVID-19 </w:t>
            </w:r>
            <w:r w:rsidR="00CA67F5">
              <w:t>myocardial infarction</w:t>
            </w:r>
            <w:r>
              <w:t xml:space="preserve"> population. </w:t>
            </w:r>
          </w:p>
          <w:p w14:paraId="40CBD47D" w14:textId="77777777" w:rsidR="00F8630B" w:rsidRDefault="00F8630B" w:rsidP="00F8630B">
            <w:pPr>
              <w:pStyle w:val="ListParagraph"/>
            </w:pPr>
          </w:p>
          <w:p w14:paraId="61076541" w14:textId="4D6532D7" w:rsidR="006E6C0C" w:rsidRDefault="00F8630B" w:rsidP="00CA67F5">
            <w:pPr>
              <w:pStyle w:val="ListParagraph"/>
            </w:pPr>
            <w:r>
              <w:t>In a retrospective cohort study</w:t>
            </w:r>
            <w:r w:rsidR="00D15214">
              <w:rPr>
                <w:vertAlign w:val="superscript"/>
              </w:rPr>
              <w:t>3</w:t>
            </w:r>
            <w:r w:rsidR="00CA67F5">
              <w:rPr>
                <w:vertAlign w:val="superscript"/>
              </w:rPr>
              <w:t>6</w:t>
            </w:r>
            <w:r>
              <w:rPr>
                <w:vertAlign w:val="superscript"/>
              </w:rPr>
              <w:t xml:space="preserve"> </w:t>
            </w:r>
            <w:r>
              <w:t>consisting of 509 US centers in the Vizient clinical database, 76,434 out-of-hospital and 4,015 in-hospital STEMI patients were assessed. Among patients with out-of-hospital STEMI, the rate of in-hospital mortality was significantly higher in COVID-19 positive than COVID-19 negative patients (15% vs 11%). In-hospital mortality was also significantly higher in COVID-19 positive patients among the in-hospital STEMI patients (78.5% vs 46.1%).</w:t>
            </w:r>
          </w:p>
          <w:p w14:paraId="3E5C495B" w14:textId="75770D6F" w:rsidR="00CA67F5" w:rsidRDefault="00CA67F5" w:rsidP="00CA67F5">
            <w:pPr>
              <w:pStyle w:val="ListParagraph"/>
            </w:pPr>
          </w:p>
          <w:p w14:paraId="7D59FACB" w14:textId="685F5735" w:rsidR="00CA67F5" w:rsidRDefault="00CA67F5" w:rsidP="00CA67F5">
            <w:pPr>
              <w:pStyle w:val="ListParagraph"/>
            </w:pPr>
            <w:r>
              <w:t xml:space="preserve">Identifying acute myocardial infarction by ICD code is challenging since many old codes </w:t>
            </w:r>
            <w:r w:rsidR="00F1752F">
              <w:t>are</w:t>
            </w:r>
            <w:r>
              <w:t xml:space="preserve"> carried forward in the chart, and the label “type 2 NSTEMI”</w:t>
            </w:r>
            <w:r w:rsidR="00F1752F">
              <w:t xml:space="preserve"> or “demand ischemia”</w:t>
            </w:r>
            <w:r>
              <w:t xml:space="preserve"> will often be given to patients simply because of an elevated troponin, when “acute myocardial injury” would be more appropriate because there is no evidence of ischemia. For chart review, we will utilize the definition for the Fourth Universal Definition of Myocardial Infarction</w:t>
            </w:r>
            <w:r>
              <w:rPr>
                <w:vertAlign w:val="superscript"/>
              </w:rPr>
              <w:t>2</w:t>
            </w:r>
            <w:r>
              <w:t xml:space="preserve">; in </w:t>
            </w:r>
            <w:r w:rsidRPr="00CA67F5">
              <w:t xml:space="preserve">addition to </w:t>
            </w:r>
            <w:r>
              <w:t xml:space="preserve">an </w:t>
            </w:r>
            <w:r w:rsidRPr="00CA67F5">
              <w:t xml:space="preserve">elevated </w:t>
            </w:r>
            <w:proofErr w:type="gramStart"/>
            <w:r w:rsidRPr="00CA67F5">
              <w:t>troponin</w:t>
            </w:r>
            <w:proofErr w:type="gramEnd"/>
            <w:r w:rsidRPr="00CA67F5">
              <w:t xml:space="preserve"> </w:t>
            </w:r>
            <w:r>
              <w:t xml:space="preserve">we </w:t>
            </w:r>
            <w:r w:rsidRPr="00CA67F5">
              <w:t>require at least one of</w:t>
            </w:r>
            <w:r>
              <w:t xml:space="preserve"> the following</w:t>
            </w:r>
            <w:r w:rsidRPr="00CA67F5">
              <w:t>:</w:t>
            </w:r>
          </w:p>
          <w:p w14:paraId="2CA17767" w14:textId="77777777" w:rsidR="00F1752F" w:rsidRDefault="00F1752F" w:rsidP="00CA67F5">
            <w:pPr>
              <w:pStyle w:val="ListParagraph"/>
            </w:pPr>
          </w:p>
          <w:p w14:paraId="7C728C93" w14:textId="6B695D41" w:rsidR="00CA67F5" w:rsidRDefault="00CA67F5" w:rsidP="00CA67F5">
            <w:pPr>
              <w:pStyle w:val="ListParagraph"/>
            </w:pPr>
            <w:r w:rsidRPr="00CA67F5">
              <w:t>1</w:t>
            </w:r>
            <w:r>
              <w:t>.</w:t>
            </w:r>
            <w:r w:rsidRPr="00CA67F5">
              <w:t xml:space="preserve"> </w:t>
            </w:r>
            <w:r>
              <w:t>S</w:t>
            </w:r>
            <w:r w:rsidRPr="00CA67F5">
              <w:t>ymptoms of myocardial ischemia (ischemic pain or dyspnea, etc)</w:t>
            </w:r>
          </w:p>
          <w:p w14:paraId="0E147C37" w14:textId="55640BB9" w:rsidR="00CA67F5" w:rsidRDefault="00CA67F5" w:rsidP="00CA67F5">
            <w:pPr>
              <w:pStyle w:val="ListParagraph"/>
            </w:pPr>
            <w:r w:rsidRPr="00CA67F5">
              <w:t>2</w:t>
            </w:r>
            <w:r>
              <w:t>.</w:t>
            </w:r>
            <w:r w:rsidRPr="00CA67F5">
              <w:t xml:space="preserve"> </w:t>
            </w:r>
            <w:r>
              <w:t>N</w:t>
            </w:r>
            <w:r w:rsidRPr="00CA67F5">
              <w:t>ew ischemic ECG changes</w:t>
            </w:r>
          </w:p>
          <w:p w14:paraId="5502F9AD" w14:textId="0C59DF41" w:rsidR="00CA67F5" w:rsidRDefault="00CA67F5" w:rsidP="00CA67F5">
            <w:pPr>
              <w:pStyle w:val="ListParagraph"/>
            </w:pPr>
            <w:r>
              <w:t>3.</w:t>
            </w:r>
            <w:r w:rsidRPr="00CA67F5">
              <w:t xml:space="preserve"> </w:t>
            </w:r>
            <w:r>
              <w:t>I</w:t>
            </w:r>
            <w:r w:rsidRPr="00CA67F5">
              <w:t xml:space="preserve">maging evidence of new loss of viable myocardium or new regional wall motion abnormalities in a </w:t>
            </w:r>
            <w:proofErr w:type="gramStart"/>
            <w:r w:rsidRPr="00CA67F5">
              <w:t>patterns</w:t>
            </w:r>
            <w:proofErr w:type="gramEnd"/>
            <w:r w:rsidRPr="00CA67F5">
              <w:t xml:space="preserve"> consistent with an ischemic etiology</w:t>
            </w:r>
          </w:p>
          <w:p w14:paraId="4608DBB2" w14:textId="32F43641" w:rsidR="00CA67F5" w:rsidRPr="00CA67F5" w:rsidRDefault="00CA67F5" w:rsidP="00CA67F5">
            <w:pPr>
              <w:pStyle w:val="ListParagraph"/>
            </w:pPr>
            <w:r>
              <w:t>4.</w:t>
            </w:r>
            <w:r w:rsidRPr="00CA67F5">
              <w:t xml:space="preserve"> </w:t>
            </w:r>
            <w:r>
              <w:t>I</w:t>
            </w:r>
            <w:r w:rsidRPr="00CA67F5">
              <w:t xml:space="preserve">dentification of a coronary thrombus by angiography or autopsy </w:t>
            </w:r>
          </w:p>
          <w:p w14:paraId="6E1AD358" w14:textId="4D5A7EFE" w:rsidR="0001617D" w:rsidRDefault="00F1752F" w:rsidP="0001617D">
            <w:pPr>
              <w:pStyle w:val="ListParagraph"/>
            </w:pPr>
            <w:r>
              <w:t xml:space="preserve">5. The </w:t>
            </w:r>
            <w:r w:rsidR="00CA67F5">
              <w:t>d</w:t>
            </w:r>
            <w:r w:rsidR="00CA67F5" w:rsidRPr="00CA67F5">
              <w:t xml:space="preserve">evelopment of </w:t>
            </w:r>
            <w:r>
              <w:t xml:space="preserve">new </w:t>
            </w:r>
            <w:r w:rsidR="00CA67F5" w:rsidRPr="00CA67F5">
              <w:t>pathological Q waves on ECG</w:t>
            </w:r>
          </w:p>
          <w:p w14:paraId="0317D58C" w14:textId="77777777" w:rsidR="0001617D" w:rsidRDefault="0001617D" w:rsidP="0001617D">
            <w:pPr>
              <w:pStyle w:val="ListParagraph"/>
            </w:pPr>
          </w:p>
          <w:p w14:paraId="0629324B" w14:textId="0B7E3585" w:rsidR="00F8798E" w:rsidRDefault="00F8798E" w:rsidP="003A1647">
            <w:r>
              <w:t>REFERENCES</w:t>
            </w:r>
          </w:p>
          <w:p w14:paraId="329B923F" w14:textId="2CA291C4" w:rsidR="00F8630B" w:rsidRPr="00F8630B" w:rsidRDefault="00B53C80" w:rsidP="00F8630B">
            <w:pPr>
              <w:pStyle w:val="ListParagraph"/>
              <w:numPr>
                <w:ilvl w:val="0"/>
                <w:numId w:val="14"/>
              </w:numPr>
              <w:rPr>
                <w:sz w:val="22"/>
                <w:szCs w:val="22"/>
              </w:rPr>
            </w:pPr>
            <w:r w:rsidRPr="00F8630B">
              <w:rPr>
                <w:noProof/>
                <w:sz w:val="22"/>
                <w:szCs w:val="22"/>
              </w:rPr>
              <w:t>Baigent C, Windecker S, Andreini D, Arbelo E, Barbato E, Bartorelli AL, et al. European Society of Cardiology guidance for the diagnosis and management of cardiovascular disease during the COVID-19 pandemic: part 1—epidemiology, pathophysiology, and diagnosis. Cardiovascular Research</w:t>
            </w:r>
            <w:r w:rsidR="00A437E9" w:rsidRPr="00F8630B">
              <w:rPr>
                <w:noProof/>
                <w:sz w:val="22"/>
                <w:szCs w:val="22"/>
              </w:rPr>
              <w:t>.</w:t>
            </w:r>
          </w:p>
          <w:p w14:paraId="242C688B" w14:textId="6E716292" w:rsidR="00B53C80" w:rsidRPr="00F8630B" w:rsidRDefault="00B53C80" w:rsidP="003A1647">
            <w:pPr>
              <w:pStyle w:val="ListParagraph"/>
              <w:numPr>
                <w:ilvl w:val="0"/>
                <w:numId w:val="14"/>
              </w:numPr>
              <w:rPr>
                <w:sz w:val="22"/>
                <w:szCs w:val="22"/>
              </w:rPr>
            </w:pPr>
            <w:r w:rsidRPr="00F8630B">
              <w:rPr>
                <w:noProof/>
                <w:sz w:val="22"/>
                <w:szCs w:val="22"/>
              </w:rPr>
              <w:t>Thygesen K, Alpert JS, Jaffe AS, Chaitman BR, Bax JJ, Morrow DA, et al. Fourth universal definition of myocardial infarction (2018). Journal of the American College of Cardiology. 2018;72(18):2231-64</w:t>
            </w:r>
            <w:r w:rsidR="00A437E9" w:rsidRPr="00F8630B">
              <w:rPr>
                <w:noProof/>
                <w:sz w:val="22"/>
                <w:szCs w:val="22"/>
              </w:rPr>
              <w:t>.</w:t>
            </w:r>
          </w:p>
          <w:p w14:paraId="44134193" w14:textId="31C78669" w:rsidR="00A80166" w:rsidRPr="00F8630B" w:rsidRDefault="00A80166" w:rsidP="003A1647">
            <w:pPr>
              <w:pStyle w:val="ListParagraph"/>
              <w:numPr>
                <w:ilvl w:val="0"/>
                <w:numId w:val="14"/>
              </w:numPr>
              <w:rPr>
                <w:sz w:val="22"/>
                <w:szCs w:val="22"/>
              </w:rPr>
            </w:pPr>
            <w:r w:rsidRPr="00F8630B">
              <w:rPr>
                <w:noProof/>
                <w:sz w:val="22"/>
                <w:szCs w:val="22"/>
              </w:rPr>
              <w:t>Sandoval Y, Januzzi JL, Jr., Jaffe AS. Cardiac Troponin for Assessment of Myocardial Injury in COVID-19: JACC Review Topic of the Week. J Am Coll Cardiol. 2020;76(10):1244-58.</w:t>
            </w:r>
          </w:p>
          <w:p w14:paraId="03D7EF16" w14:textId="5571B9EF"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Huang, C. et al. Clinical features of patients infected with 2019 novel coronavirus in Wuhan, China. </w:t>
            </w:r>
            <w:r w:rsidRPr="00F8630B">
              <w:rPr>
                <w:i/>
                <w:iCs/>
                <w:color w:val="222222"/>
                <w:sz w:val="22"/>
                <w:szCs w:val="22"/>
                <w:shd w:val="clear" w:color="auto" w:fill="FFFFFF"/>
              </w:rPr>
              <w:t>Lancet</w:t>
            </w:r>
            <w:r w:rsidRPr="00F8630B">
              <w:rPr>
                <w:color w:val="222222"/>
                <w:sz w:val="22"/>
                <w:szCs w:val="22"/>
                <w:shd w:val="clear" w:color="auto" w:fill="FFFFFF"/>
              </w:rPr>
              <w:t> </w:t>
            </w:r>
            <w:r w:rsidRPr="00F8630B">
              <w:rPr>
                <w:b/>
                <w:bCs/>
                <w:color w:val="222222"/>
                <w:sz w:val="22"/>
                <w:szCs w:val="22"/>
                <w:shd w:val="clear" w:color="auto" w:fill="FFFFFF"/>
              </w:rPr>
              <w:t>395</w:t>
            </w:r>
            <w:r w:rsidRPr="00F8630B">
              <w:rPr>
                <w:color w:val="222222"/>
                <w:sz w:val="22"/>
                <w:szCs w:val="22"/>
                <w:shd w:val="clear" w:color="auto" w:fill="FFFFFF"/>
              </w:rPr>
              <w:t>, 497–506 (2020).</w:t>
            </w:r>
          </w:p>
          <w:p w14:paraId="76BD568A" w14:textId="7C217584"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Wang, D. et al. Clinical characteristics of 138 hospitalized patients with 2019 novel coronavirus-infected pneumonia in Wuhan, China. </w:t>
            </w:r>
            <w:r w:rsidRPr="00F8630B">
              <w:rPr>
                <w:i/>
                <w:iCs/>
                <w:color w:val="222222"/>
                <w:sz w:val="22"/>
                <w:szCs w:val="22"/>
                <w:shd w:val="clear" w:color="auto" w:fill="FFFFFF"/>
              </w:rPr>
              <w:t>JAMA</w:t>
            </w:r>
            <w:r w:rsidRPr="00F8630B">
              <w:rPr>
                <w:color w:val="222222"/>
                <w:sz w:val="22"/>
                <w:szCs w:val="22"/>
                <w:shd w:val="clear" w:color="auto" w:fill="FFFFFF"/>
              </w:rPr>
              <w:t> </w:t>
            </w:r>
            <w:hyperlink r:id="rId7" w:history="1">
              <w:r w:rsidRPr="00F8630B">
                <w:rPr>
                  <w:rStyle w:val="Hyperlink"/>
                  <w:color w:val="006699"/>
                  <w:sz w:val="22"/>
                  <w:szCs w:val="22"/>
                  <w:shd w:val="clear" w:color="auto" w:fill="FFFFFF"/>
                </w:rPr>
                <w:t>https://doi.org/10.1001/jama.2020.1585</w:t>
              </w:r>
            </w:hyperlink>
            <w:r w:rsidRPr="00F8630B">
              <w:rPr>
                <w:color w:val="222222"/>
                <w:sz w:val="22"/>
                <w:szCs w:val="22"/>
                <w:shd w:val="clear" w:color="auto" w:fill="FFFFFF"/>
              </w:rPr>
              <w:t> (2020).</w:t>
            </w:r>
          </w:p>
          <w:p w14:paraId="2AA655BF" w14:textId="0A5076CA"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Zhou, F. et al. Clinical course and risk factors for mortality of adult inpatients with COVID-19 in Wuhan, China: a retrospective cohort study. </w:t>
            </w:r>
            <w:r w:rsidRPr="00F8630B">
              <w:rPr>
                <w:i/>
                <w:iCs/>
                <w:color w:val="222222"/>
                <w:sz w:val="22"/>
                <w:szCs w:val="22"/>
                <w:shd w:val="clear" w:color="auto" w:fill="FFFFFF"/>
              </w:rPr>
              <w:t>Lancet</w:t>
            </w:r>
            <w:r w:rsidRPr="00F8630B">
              <w:rPr>
                <w:color w:val="222222"/>
                <w:sz w:val="22"/>
                <w:szCs w:val="22"/>
                <w:shd w:val="clear" w:color="auto" w:fill="FFFFFF"/>
              </w:rPr>
              <w:t> </w:t>
            </w:r>
            <w:r w:rsidRPr="00F8630B">
              <w:rPr>
                <w:b/>
                <w:bCs/>
                <w:color w:val="222222"/>
                <w:sz w:val="22"/>
                <w:szCs w:val="22"/>
                <w:shd w:val="clear" w:color="auto" w:fill="FFFFFF"/>
              </w:rPr>
              <w:t>395</w:t>
            </w:r>
            <w:r w:rsidRPr="00F8630B">
              <w:rPr>
                <w:color w:val="222222"/>
                <w:sz w:val="22"/>
                <w:szCs w:val="22"/>
                <w:shd w:val="clear" w:color="auto" w:fill="FFFFFF"/>
              </w:rPr>
              <w:t>, 1054–1062 (2020).</w:t>
            </w:r>
          </w:p>
          <w:p w14:paraId="4BE9DEA7" w14:textId="0EB4BAE2"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Guan, W. J. et al. Clinical characteristics of coronavirus disease 2019 in China. </w:t>
            </w:r>
            <w:r w:rsidRPr="00F8630B">
              <w:rPr>
                <w:i/>
                <w:iCs/>
                <w:color w:val="222222"/>
                <w:sz w:val="22"/>
                <w:szCs w:val="22"/>
                <w:shd w:val="clear" w:color="auto" w:fill="FFFFFF"/>
              </w:rPr>
              <w:t>N. Engl. J. Med.</w:t>
            </w:r>
            <w:r w:rsidRPr="00F8630B">
              <w:rPr>
                <w:color w:val="222222"/>
                <w:sz w:val="22"/>
                <w:szCs w:val="22"/>
                <w:shd w:val="clear" w:color="auto" w:fill="FFFFFF"/>
              </w:rPr>
              <w:t> </w:t>
            </w:r>
            <w:r w:rsidRPr="00F8630B">
              <w:rPr>
                <w:b/>
                <w:bCs/>
                <w:color w:val="222222"/>
                <w:sz w:val="22"/>
                <w:szCs w:val="22"/>
                <w:shd w:val="clear" w:color="auto" w:fill="FFFFFF"/>
              </w:rPr>
              <w:t>382</w:t>
            </w:r>
            <w:r w:rsidRPr="00F8630B">
              <w:rPr>
                <w:color w:val="222222"/>
                <w:sz w:val="22"/>
                <w:szCs w:val="22"/>
                <w:shd w:val="clear" w:color="auto" w:fill="FFFFFF"/>
              </w:rPr>
              <w:t>, 1708–1720 (2020).</w:t>
            </w:r>
          </w:p>
          <w:p w14:paraId="46722095" w14:textId="4C1E6D77"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 xml:space="preserve">Wu, Z. &amp; McGoogan, J. M. Characteristics of and important lessons from the coronavirus disease 2019 (COVID-19) outbreak in China: summary of a report of </w:t>
            </w:r>
            <w:r w:rsidRPr="00F8630B">
              <w:rPr>
                <w:color w:val="222222"/>
                <w:sz w:val="22"/>
                <w:szCs w:val="22"/>
                <w:shd w:val="clear" w:color="auto" w:fill="FFFFFF"/>
              </w:rPr>
              <w:lastRenderedPageBreak/>
              <w:t>72314 cases from the Chinese Center for Disease Control and Prevention. </w:t>
            </w:r>
            <w:r w:rsidRPr="00F8630B">
              <w:rPr>
                <w:i/>
                <w:iCs/>
                <w:color w:val="222222"/>
                <w:sz w:val="22"/>
                <w:szCs w:val="22"/>
                <w:shd w:val="clear" w:color="auto" w:fill="FFFFFF"/>
              </w:rPr>
              <w:t>JAMA</w:t>
            </w:r>
            <w:r w:rsidRPr="00F8630B">
              <w:rPr>
                <w:color w:val="222222"/>
                <w:sz w:val="22"/>
                <w:szCs w:val="22"/>
                <w:shd w:val="clear" w:color="auto" w:fill="FFFFFF"/>
              </w:rPr>
              <w:t> </w:t>
            </w:r>
            <w:hyperlink r:id="rId8" w:history="1">
              <w:r w:rsidRPr="00F8630B">
                <w:rPr>
                  <w:rStyle w:val="Hyperlink"/>
                  <w:color w:val="006699"/>
                  <w:sz w:val="22"/>
                  <w:szCs w:val="22"/>
                  <w:shd w:val="clear" w:color="auto" w:fill="FFFFFF"/>
                </w:rPr>
                <w:t>https://doi.org/10.1001/jama.2020.2648</w:t>
              </w:r>
            </w:hyperlink>
            <w:r w:rsidRPr="00F8630B">
              <w:rPr>
                <w:color w:val="222222"/>
                <w:sz w:val="22"/>
                <w:szCs w:val="22"/>
                <w:shd w:val="clear" w:color="auto" w:fill="FFFFFF"/>
              </w:rPr>
              <w:t> (2020).</w:t>
            </w:r>
          </w:p>
          <w:p w14:paraId="465A3C9B" w14:textId="7CC86E01"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Shi, S. et al. Association of cardiac injury with mortality in hospitalized patients with COVID-19 in Wuhan, China. </w:t>
            </w:r>
            <w:r w:rsidRPr="00F8630B">
              <w:rPr>
                <w:i/>
                <w:iCs/>
                <w:color w:val="222222"/>
                <w:sz w:val="22"/>
                <w:szCs w:val="22"/>
                <w:shd w:val="clear" w:color="auto" w:fill="FFFFFF"/>
              </w:rPr>
              <w:t xml:space="preserve">JAMA </w:t>
            </w:r>
            <w:proofErr w:type="spellStart"/>
            <w:r w:rsidRPr="00F8630B">
              <w:rPr>
                <w:i/>
                <w:iCs/>
                <w:color w:val="222222"/>
                <w:sz w:val="22"/>
                <w:szCs w:val="22"/>
                <w:shd w:val="clear" w:color="auto" w:fill="FFFFFF"/>
              </w:rPr>
              <w:t>Cardiol</w:t>
            </w:r>
            <w:proofErr w:type="spellEnd"/>
            <w:r w:rsidRPr="00F8630B">
              <w:rPr>
                <w:i/>
                <w:iCs/>
                <w:color w:val="222222"/>
                <w:sz w:val="22"/>
                <w:szCs w:val="22"/>
                <w:shd w:val="clear" w:color="auto" w:fill="FFFFFF"/>
              </w:rPr>
              <w:t>.</w:t>
            </w:r>
            <w:r w:rsidRPr="00F8630B">
              <w:rPr>
                <w:color w:val="222222"/>
                <w:sz w:val="22"/>
                <w:szCs w:val="22"/>
                <w:shd w:val="clear" w:color="auto" w:fill="FFFFFF"/>
              </w:rPr>
              <w:t> </w:t>
            </w:r>
            <w:hyperlink r:id="rId9" w:history="1">
              <w:r w:rsidRPr="00F8630B">
                <w:rPr>
                  <w:rStyle w:val="Hyperlink"/>
                  <w:color w:val="006699"/>
                  <w:sz w:val="22"/>
                  <w:szCs w:val="22"/>
                  <w:shd w:val="clear" w:color="auto" w:fill="FFFFFF"/>
                </w:rPr>
                <w:t>https://doi.org/10.1001/jamacardio.2020.0950</w:t>
              </w:r>
            </w:hyperlink>
            <w:r w:rsidRPr="00F8630B">
              <w:rPr>
                <w:color w:val="222222"/>
                <w:sz w:val="22"/>
                <w:szCs w:val="22"/>
                <w:shd w:val="clear" w:color="auto" w:fill="FFFFFF"/>
              </w:rPr>
              <w:t> (2020).</w:t>
            </w:r>
          </w:p>
          <w:p w14:paraId="30310C4F" w14:textId="481238C1" w:rsidR="00A63B94" w:rsidRPr="00F8630B" w:rsidRDefault="00A63B94" w:rsidP="003A1647">
            <w:pPr>
              <w:pStyle w:val="ListParagraph"/>
              <w:numPr>
                <w:ilvl w:val="0"/>
                <w:numId w:val="14"/>
              </w:numPr>
              <w:rPr>
                <w:sz w:val="22"/>
                <w:szCs w:val="22"/>
              </w:rPr>
            </w:pPr>
            <w:r w:rsidRPr="00F8630B">
              <w:rPr>
                <w:color w:val="222222"/>
                <w:sz w:val="22"/>
                <w:szCs w:val="22"/>
                <w:shd w:val="clear" w:color="auto" w:fill="FFFFFF"/>
              </w:rPr>
              <w:t>Guo, T. et al. Cardiovascular implications of fatal outcomes of patients with coronavirus disease 2019 (COVID-19). </w:t>
            </w:r>
            <w:r w:rsidRPr="00F8630B">
              <w:rPr>
                <w:i/>
                <w:iCs/>
                <w:color w:val="222222"/>
                <w:sz w:val="22"/>
                <w:szCs w:val="22"/>
                <w:shd w:val="clear" w:color="auto" w:fill="FFFFFF"/>
              </w:rPr>
              <w:t xml:space="preserve">JAMA </w:t>
            </w:r>
            <w:proofErr w:type="spellStart"/>
            <w:r w:rsidRPr="00F8630B">
              <w:rPr>
                <w:i/>
                <w:iCs/>
                <w:color w:val="222222"/>
                <w:sz w:val="22"/>
                <w:szCs w:val="22"/>
                <w:shd w:val="clear" w:color="auto" w:fill="FFFFFF"/>
              </w:rPr>
              <w:t>Cardiol</w:t>
            </w:r>
            <w:proofErr w:type="spellEnd"/>
            <w:r w:rsidRPr="00F8630B">
              <w:rPr>
                <w:i/>
                <w:iCs/>
                <w:color w:val="222222"/>
                <w:sz w:val="22"/>
                <w:szCs w:val="22"/>
                <w:shd w:val="clear" w:color="auto" w:fill="FFFFFF"/>
              </w:rPr>
              <w:t>.</w:t>
            </w:r>
            <w:r w:rsidRPr="00F8630B">
              <w:rPr>
                <w:color w:val="222222"/>
                <w:sz w:val="22"/>
                <w:szCs w:val="22"/>
                <w:shd w:val="clear" w:color="auto" w:fill="FFFFFF"/>
              </w:rPr>
              <w:t> </w:t>
            </w:r>
            <w:hyperlink r:id="rId10" w:history="1">
              <w:r w:rsidRPr="00F8630B">
                <w:rPr>
                  <w:rStyle w:val="Hyperlink"/>
                  <w:color w:val="006699"/>
                  <w:sz w:val="22"/>
                  <w:szCs w:val="22"/>
                  <w:shd w:val="clear" w:color="auto" w:fill="FFFFFF"/>
                </w:rPr>
                <w:t>https://doi.org/10.1001/jamacardio.2020.1017</w:t>
              </w:r>
            </w:hyperlink>
            <w:r w:rsidRPr="00F8630B">
              <w:rPr>
                <w:color w:val="222222"/>
                <w:sz w:val="22"/>
                <w:szCs w:val="22"/>
                <w:shd w:val="clear" w:color="auto" w:fill="FFFFFF"/>
              </w:rPr>
              <w:t> (2020).</w:t>
            </w:r>
          </w:p>
          <w:p w14:paraId="7E182465" w14:textId="7069B80C" w:rsidR="003A1647" w:rsidRPr="00F8630B" w:rsidRDefault="003A1647" w:rsidP="003A1647">
            <w:pPr>
              <w:pStyle w:val="ListParagraph"/>
              <w:numPr>
                <w:ilvl w:val="0"/>
                <w:numId w:val="14"/>
              </w:numPr>
              <w:rPr>
                <w:sz w:val="22"/>
                <w:szCs w:val="22"/>
              </w:rPr>
            </w:pPr>
            <w:r w:rsidRPr="00F8630B">
              <w:rPr>
                <w:color w:val="222222"/>
                <w:sz w:val="22"/>
                <w:szCs w:val="22"/>
                <w:shd w:val="clear" w:color="auto" w:fill="FFFFFF"/>
              </w:rPr>
              <w:t>Shi, S. et al. Characteristics and clinical significance of myocardial injury in patients with severe coronavirus disease 2019. </w:t>
            </w:r>
            <w:r w:rsidRPr="00F8630B">
              <w:rPr>
                <w:i/>
                <w:iCs/>
                <w:color w:val="222222"/>
                <w:sz w:val="22"/>
                <w:szCs w:val="22"/>
                <w:shd w:val="clear" w:color="auto" w:fill="FFFFFF"/>
              </w:rPr>
              <w:t>Eur. Heart J.</w:t>
            </w:r>
            <w:r w:rsidRPr="00F8630B">
              <w:rPr>
                <w:color w:val="222222"/>
                <w:sz w:val="22"/>
                <w:szCs w:val="22"/>
                <w:shd w:val="clear" w:color="auto" w:fill="FFFFFF"/>
              </w:rPr>
              <w:t> </w:t>
            </w:r>
            <w:r w:rsidRPr="00F8630B">
              <w:rPr>
                <w:b/>
                <w:bCs/>
                <w:color w:val="222222"/>
                <w:sz w:val="22"/>
                <w:szCs w:val="22"/>
                <w:shd w:val="clear" w:color="auto" w:fill="FFFFFF"/>
              </w:rPr>
              <w:t>41</w:t>
            </w:r>
            <w:r w:rsidRPr="00F8630B">
              <w:rPr>
                <w:color w:val="222222"/>
                <w:sz w:val="22"/>
                <w:szCs w:val="22"/>
                <w:shd w:val="clear" w:color="auto" w:fill="FFFFFF"/>
              </w:rPr>
              <w:t>, 2070–2079 (2020).</w:t>
            </w:r>
          </w:p>
          <w:p w14:paraId="5A3BF3F8" w14:textId="77777777" w:rsidR="00886387" w:rsidRPr="00F8630B" w:rsidRDefault="00886387" w:rsidP="00886387">
            <w:pPr>
              <w:pStyle w:val="ListParagraph"/>
              <w:numPr>
                <w:ilvl w:val="0"/>
                <w:numId w:val="14"/>
              </w:numPr>
              <w:rPr>
                <w:sz w:val="22"/>
                <w:szCs w:val="22"/>
              </w:rPr>
            </w:pPr>
            <w:r w:rsidRPr="00F8630B">
              <w:rPr>
                <w:noProof/>
                <w:sz w:val="22"/>
                <w:szCs w:val="22"/>
              </w:rPr>
              <w:t>Bhatia KS, Sritharan HP, Chia J, Ciofani J, Nour D, Chui K, et al. Cardiac Complications in Patients Hospitalised With COVID-19 in Australia. Heart Lung Circ. 2021;30(12):1834-40.</w:t>
            </w:r>
          </w:p>
          <w:p w14:paraId="490B5F03" w14:textId="77777777" w:rsidR="00886387" w:rsidRPr="00F8630B" w:rsidRDefault="00886387" w:rsidP="00886387">
            <w:pPr>
              <w:pStyle w:val="ListParagraph"/>
              <w:numPr>
                <w:ilvl w:val="0"/>
                <w:numId w:val="14"/>
              </w:numPr>
              <w:rPr>
                <w:sz w:val="22"/>
                <w:szCs w:val="22"/>
              </w:rPr>
            </w:pPr>
            <w:r w:rsidRPr="00F8630B">
              <w:rPr>
                <w:noProof/>
                <w:sz w:val="22"/>
                <w:szCs w:val="22"/>
              </w:rPr>
              <w:t>Linschoten M, Peters S, van Smeden M, Jewbali LS, Schaap J, Siebelink HM, et al. Cardiac complications in patients hospitalised with COVID-19. Eur Heart J Acute Cardiovasc Care. 2020;9(8):817-23.</w:t>
            </w:r>
          </w:p>
          <w:p w14:paraId="22C69CFF" w14:textId="44721A11" w:rsidR="00A80166" w:rsidRDefault="00A80166" w:rsidP="003A1647">
            <w:pPr>
              <w:pStyle w:val="ListParagraph"/>
              <w:numPr>
                <w:ilvl w:val="0"/>
                <w:numId w:val="14"/>
              </w:numPr>
              <w:rPr>
                <w:sz w:val="22"/>
                <w:szCs w:val="22"/>
              </w:rPr>
            </w:pPr>
            <w:r w:rsidRPr="00F8630B">
              <w:rPr>
                <w:noProof/>
                <w:sz w:val="22"/>
                <w:szCs w:val="22"/>
              </w:rPr>
              <w:t>Imazio M, Klingel K, Kindermann I, Brucato A, De Rosa FG, Adler Y, et al. COVID-19 pandemic and troponin: indirect myocardial injury, myocardial inflammation or myocarditis? Heart. 2020;106(15):1127-31</w:t>
            </w:r>
            <w:r w:rsidR="00A437E9" w:rsidRPr="00F8630B">
              <w:rPr>
                <w:noProof/>
                <w:sz w:val="22"/>
                <w:szCs w:val="22"/>
              </w:rPr>
              <w:t>.</w:t>
            </w:r>
          </w:p>
          <w:p w14:paraId="685ED9F6" w14:textId="59474411" w:rsidR="00F8630B" w:rsidRPr="00F8630B" w:rsidRDefault="00F8630B" w:rsidP="003A1647">
            <w:pPr>
              <w:pStyle w:val="ListParagraph"/>
              <w:numPr>
                <w:ilvl w:val="0"/>
                <w:numId w:val="14"/>
              </w:numPr>
              <w:rPr>
                <w:sz w:val="22"/>
                <w:szCs w:val="22"/>
              </w:rPr>
            </w:pPr>
            <w:r w:rsidRPr="00F8630B">
              <w:rPr>
                <w:sz w:val="22"/>
                <w:szCs w:val="22"/>
              </w:rPr>
              <w:t>Birman-</w:t>
            </w:r>
            <w:proofErr w:type="spellStart"/>
            <w:r w:rsidRPr="00F8630B">
              <w:rPr>
                <w:sz w:val="22"/>
                <w:szCs w:val="22"/>
              </w:rPr>
              <w:t>Deych</w:t>
            </w:r>
            <w:proofErr w:type="spellEnd"/>
            <w:r w:rsidRPr="00F8630B">
              <w:rPr>
                <w:sz w:val="22"/>
                <w:szCs w:val="22"/>
              </w:rPr>
              <w:t xml:space="preserve"> E, Waterman AD, Yan Y, </w:t>
            </w:r>
            <w:proofErr w:type="spellStart"/>
            <w:r w:rsidRPr="00F8630B">
              <w:rPr>
                <w:sz w:val="22"/>
                <w:szCs w:val="22"/>
              </w:rPr>
              <w:t>Nilasena</w:t>
            </w:r>
            <w:proofErr w:type="spellEnd"/>
            <w:r w:rsidRPr="00F8630B">
              <w:rPr>
                <w:sz w:val="22"/>
                <w:szCs w:val="22"/>
              </w:rPr>
              <w:t xml:space="preserve"> DS, Radford MJ, Gage BF. Accuracy of ICD-9-CM codes for identifying cardiovascular and stroke risk factors. Medical care. 2005:480-5</w:t>
            </w:r>
          </w:p>
          <w:p w14:paraId="155E2BB6" w14:textId="5BDCD534" w:rsidR="004E5331" w:rsidRPr="00F8630B" w:rsidRDefault="004E5331" w:rsidP="003A1647">
            <w:pPr>
              <w:pStyle w:val="ListParagraph"/>
              <w:numPr>
                <w:ilvl w:val="0"/>
                <w:numId w:val="14"/>
              </w:numPr>
              <w:rPr>
                <w:sz w:val="22"/>
                <w:szCs w:val="22"/>
              </w:rPr>
            </w:pPr>
            <w:r w:rsidRPr="00F8630B">
              <w:rPr>
                <w:noProof/>
                <w:sz w:val="22"/>
                <w:szCs w:val="22"/>
              </w:rPr>
              <w:t>Bangash H, Pencille L, Gundelach JH, Makkawy A, Sutton J, Makkawy L, et al. An implementation science framework to develop a clinical decision support tool for familial hypercholesterolemia. Journal of personalized medicine. 2020;10(3):67</w:t>
            </w:r>
            <w:r w:rsidR="00A437E9" w:rsidRPr="00F8630B">
              <w:rPr>
                <w:noProof/>
                <w:sz w:val="22"/>
                <w:szCs w:val="22"/>
              </w:rPr>
              <w:t>.</w:t>
            </w:r>
          </w:p>
          <w:p w14:paraId="4E1C84E9" w14:textId="53401119" w:rsidR="004E5331" w:rsidRPr="00F8630B" w:rsidRDefault="004E5331" w:rsidP="003A1647">
            <w:pPr>
              <w:pStyle w:val="ListParagraph"/>
              <w:numPr>
                <w:ilvl w:val="0"/>
                <w:numId w:val="14"/>
              </w:numPr>
              <w:rPr>
                <w:sz w:val="22"/>
                <w:szCs w:val="22"/>
              </w:rPr>
            </w:pPr>
            <w:r w:rsidRPr="00F8630B">
              <w:rPr>
                <w:noProof/>
                <w:sz w:val="22"/>
                <w:szCs w:val="22"/>
              </w:rPr>
              <w:t>Sohn S, Ye Z, Liu H, Chute CG, Kullo IJ. Identifying abdominal aortic aneurysm cases and controls using natural language processing of radiology reports. AMIA summits on translational science proceedings. 2013;2013:249</w:t>
            </w:r>
            <w:r w:rsidR="00A437E9" w:rsidRPr="00F8630B">
              <w:rPr>
                <w:noProof/>
                <w:sz w:val="22"/>
                <w:szCs w:val="22"/>
              </w:rPr>
              <w:t>.</w:t>
            </w:r>
          </w:p>
          <w:p w14:paraId="559F7584" w14:textId="7501705A" w:rsidR="00A437E9" w:rsidRPr="00F8630B" w:rsidRDefault="004E5331" w:rsidP="00A437E9">
            <w:pPr>
              <w:pStyle w:val="ListParagraph"/>
              <w:numPr>
                <w:ilvl w:val="0"/>
                <w:numId w:val="14"/>
              </w:numPr>
              <w:rPr>
                <w:sz w:val="22"/>
                <w:szCs w:val="22"/>
              </w:rPr>
            </w:pPr>
            <w:r w:rsidRPr="00F8630B">
              <w:rPr>
                <w:noProof/>
                <w:sz w:val="22"/>
                <w:szCs w:val="22"/>
              </w:rPr>
              <w:t>Savova GK, Fan J, Ye Z, Murphy SP, Zheng J, Chute CG, et al., editors. Discovering peripheral arterial disease cases from radiology notes using natural language processing. AMIA Annual Symposium Proceedings; 2010: American Medical Informatics Association</w:t>
            </w:r>
            <w:r w:rsidR="00A437E9" w:rsidRPr="00F8630B">
              <w:rPr>
                <w:noProof/>
                <w:sz w:val="22"/>
                <w:szCs w:val="22"/>
              </w:rPr>
              <w:t>.</w:t>
            </w:r>
          </w:p>
          <w:p w14:paraId="4BA0E20D" w14:textId="77777777" w:rsidR="00912BE5" w:rsidRPr="00F8630B" w:rsidRDefault="00912BE5" w:rsidP="00912BE5">
            <w:pPr>
              <w:pStyle w:val="ListParagraph"/>
              <w:numPr>
                <w:ilvl w:val="0"/>
                <w:numId w:val="14"/>
              </w:numPr>
              <w:rPr>
                <w:sz w:val="22"/>
                <w:szCs w:val="22"/>
              </w:rPr>
            </w:pPr>
            <w:proofErr w:type="spellStart"/>
            <w:r w:rsidRPr="00F8630B">
              <w:rPr>
                <w:sz w:val="22"/>
                <w:szCs w:val="22"/>
              </w:rPr>
              <w:t>Ghadri</w:t>
            </w:r>
            <w:proofErr w:type="spellEnd"/>
            <w:r w:rsidRPr="00F8630B">
              <w:rPr>
                <w:sz w:val="22"/>
                <w:szCs w:val="22"/>
              </w:rPr>
              <w:t xml:space="preserve">, Jelena-Rima, </w:t>
            </w:r>
            <w:proofErr w:type="spellStart"/>
            <w:r w:rsidRPr="00F8630B">
              <w:rPr>
                <w:sz w:val="22"/>
                <w:szCs w:val="22"/>
              </w:rPr>
              <w:t>Ilan</w:t>
            </w:r>
            <w:proofErr w:type="spellEnd"/>
            <w:r w:rsidRPr="00F8630B">
              <w:rPr>
                <w:sz w:val="22"/>
                <w:szCs w:val="22"/>
              </w:rPr>
              <w:t xml:space="preserve"> Shor </w:t>
            </w:r>
            <w:proofErr w:type="spellStart"/>
            <w:r w:rsidRPr="00F8630B">
              <w:rPr>
                <w:sz w:val="22"/>
                <w:szCs w:val="22"/>
              </w:rPr>
              <w:t>Wittstein</w:t>
            </w:r>
            <w:proofErr w:type="spellEnd"/>
            <w:r w:rsidRPr="00F8630B">
              <w:rPr>
                <w:sz w:val="22"/>
                <w:szCs w:val="22"/>
              </w:rPr>
              <w:t xml:space="preserve">, </w:t>
            </w:r>
            <w:proofErr w:type="spellStart"/>
            <w:r w:rsidRPr="00F8630B">
              <w:rPr>
                <w:sz w:val="22"/>
                <w:szCs w:val="22"/>
              </w:rPr>
              <w:t>Abhiram</w:t>
            </w:r>
            <w:proofErr w:type="spellEnd"/>
            <w:r w:rsidRPr="00F8630B">
              <w:rPr>
                <w:sz w:val="22"/>
                <w:szCs w:val="22"/>
              </w:rPr>
              <w:t xml:space="preserve"> Prasad, Scott Sharkey, </w:t>
            </w:r>
            <w:proofErr w:type="spellStart"/>
            <w:r w:rsidRPr="00F8630B">
              <w:rPr>
                <w:sz w:val="22"/>
                <w:szCs w:val="22"/>
              </w:rPr>
              <w:t>Keigo</w:t>
            </w:r>
            <w:proofErr w:type="spellEnd"/>
            <w:r w:rsidRPr="00F8630B">
              <w:rPr>
                <w:sz w:val="22"/>
                <w:szCs w:val="22"/>
              </w:rPr>
              <w:t xml:space="preserve"> Dote, Yoshihiro John Akashi, Victoria Lucia Cammann et al. "International expert consensus document on Takotsubo syndrome (part I): clinical characteristics, diagnostic criteria, and pathophysiology." European heart journal 39, no. 22 (2018): 2032-2046.</w:t>
            </w:r>
          </w:p>
          <w:p w14:paraId="7D22277D" w14:textId="65392BEC" w:rsidR="00912BE5" w:rsidRDefault="00912BE5" w:rsidP="00912BE5">
            <w:pPr>
              <w:pStyle w:val="ListParagraph"/>
              <w:numPr>
                <w:ilvl w:val="0"/>
                <w:numId w:val="14"/>
              </w:numPr>
              <w:rPr>
                <w:sz w:val="22"/>
                <w:szCs w:val="22"/>
              </w:rPr>
            </w:pPr>
            <w:proofErr w:type="spellStart"/>
            <w:r w:rsidRPr="00912BE5">
              <w:rPr>
                <w:sz w:val="22"/>
                <w:szCs w:val="22"/>
              </w:rPr>
              <w:t>Moady</w:t>
            </w:r>
            <w:proofErr w:type="spellEnd"/>
            <w:r w:rsidRPr="00912BE5">
              <w:rPr>
                <w:sz w:val="22"/>
                <w:szCs w:val="22"/>
              </w:rPr>
              <w:t xml:space="preserve">, </w:t>
            </w:r>
            <w:proofErr w:type="spellStart"/>
            <w:r w:rsidRPr="00912BE5">
              <w:rPr>
                <w:sz w:val="22"/>
                <w:szCs w:val="22"/>
              </w:rPr>
              <w:t>Gassan</w:t>
            </w:r>
            <w:proofErr w:type="spellEnd"/>
            <w:r w:rsidRPr="00912BE5">
              <w:rPr>
                <w:sz w:val="22"/>
                <w:szCs w:val="22"/>
              </w:rPr>
              <w:t xml:space="preserve">, and </w:t>
            </w:r>
            <w:proofErr w:type="spellStart"/>
            <w:r w:rsidRPr="00912BE5">
              <w:rPr>
                <w:sz w:val="22"/>
                <w:szCs w:val="22"/>
              </w:rPr>
              <w:t>Shaul</w:t>
            </w:r>
            <w:proofErr w:type="spellEnd"/>
            <w:r w:rsidRPr="00912BE5">
              <w:rPr>
                <w:sz w:val="22"/>
                <w:szCs w:val="22"/>
              </w:rPr>
              <w:t xml:space="preserve"> </w:t>
            </w:r>
            <w:proofErr w:type="spellStart"/>
            <w:r w:rsidRPr="00912BE5">
              <w:rPr>
                <w:sz w:val="22"/>
                <w:szCs w:val="22"/>
              </w:rPr>
              <w:t>Atar</w:t>
            </w:r>
            <w:proofErr w:type="spellEnd"/>
            <w:r w:rsidRPr="00912BE5">
              <w:rPr>
                <w:sz w:val="22"/>
                <w:szCs w:val="22"/>
              </w:rPr>
              <w:t>. "Takotsubo Syndrome During the COVID-19 Pandemic: State-of-the-Art Review." CJC open 3, no. 10 (2021): 1249-1256.</w:t>
            </w:r>
          </w:p>
          <w:p w14:paraId="15067EBF" w14:textId="19020262" w:rsidR="00912BE5" w:rsidRPr="00F8630B" w:rsidRDefault="00912BE5" w:rsidP="00912BE5">
            <w:pPr>
              <w:pStyle w:val="ListParagraph"/>
              <w:numPr>
                <w:ilvl w:val="0"/>
                <w:numId w:val="14"/>
              </w:numPr>
              <w:rPr>
                <w:sz w:val="22"/>
                <w:szCs w:val="22"/>
              </w:rPr>
            </w:pPr>
            <w:r w:rsidRPr="00F8630B">
              <w:rPr>
                <w:noProof/>
                <w:sz w:val="22"/>
                <w:szCs w:val="22"/>
              </w:rPr>
              <w:t>Jabri A, Kalra A, Kumar A, Alameh A, Adroja S, Bashir H, et al. Incidence of stress cardiomyopathy during the coronavirus disease 2019 pandemic. JAMA network open. 2020;3(7):e2014780-e.</w:t>
            </w:r>
          </w:p>
          <w:p w14:paraId="35393257" w14:textId="77777777" w:rsidR="00912BE5" w:rsidRPr="00F8630B" w:rsidRDefault="00912BE5" w:rsidP="00912BE5">
            <w:pPr>
              <w:pStyle w:val="ListParagraph"/>
              <w:numPr>
                <w:ilvl w:val="0"/>
                <w:numId w:val="14"/>
              </w:numPr>
              <w:rPr>
                <w:sz w:val="22"/>
                <w:szCs w:val="22"/>
              </w:rPr>
            </w:pPr>
            <w:r w:rsidRPr="00F8630B">
              <w:rPr>
                <w:noProof/>
                <w:sz w:val="22"/>
                <w:szCs w:val="22"/>
              </w:rPr>
              <w:t>Giustino G, Croft LB, Oates CP, Rahman K, Lerakis S, Reddy VY, et al. Takotsubo Cardiomyopathy in COVID-19. J Am Coll Cardiol. 2020;76(5):628-9.</w:t>
            </w:r>
          </w:p>
          <w:p w14:paraId="6E4CFBFC" w14:textId="77777777" w:rsidR="00912BE5" w:rsidRPr="00F8630B" w:rsidRDefault="00912BE5" w:rsidP="00912BE5">
            <w:pPr>
              <w:pStyle w:val="ListParagraph"/>
              <w:numPr>
                <w:ilvl w:val="0"/>
                <w:numId w:val="14"/>
              </w:numPr>
              <w:rPr>
                <w:sz w:val="22"/>
                <w:szCs w:val="22"/>
              </w:rPr>
            </w:pPr>
            <w:r w:rsidRPr="00F8630B">
              <w:rPr>
                <w:noProof/>
                <w:sz w:val="22"/>
                <w:szCs w:val="22"/>
              </w:rPr>
              <w:t>Hegde S, Khan R, Zordok M, Maysky M. Characteristics and outcome of patients with COVID-19 complicated by Takotsubo cardiomyopathy: case series with literature review. Open Heart. 2020;7(2).</w:t>
            </w:r>
          </w:p>
          <w:p w14:paraId="1A6BDE39" w14:textId="77777777" w:rsidR="00912BE5" w:rsidRDefault="00912BE5" w:rsidP="00912BE5">
            <w:pPr>
              <w:pStyle w:val="ListParagraph"/>
              <w:numPr>
                <w:ilvl w:val="0"/>
                <w:numId w:val="14"/>
              </w:numPr>
              <w:rPr>
                <w:sz w:val="22"/>
                <w:szCs w:val="22"/>
              </w:rPr>
            </w:pPr>
            <w:r w:rsidRPr="00F8630B">
              <w:rPr>
                <w:noProof/>
                <w:sz w:val="22"/>
                <w:szCs w:val="22"/>
              </w:rPr>
              <w:t>John K, Lal A, Mishra A. A review of the presentation and outcome of takotsubo cardiomyopathy in COVID-19. Monaldi Arch Chest Dis. 2021;91(3).</w:t>
            </w:r>
          </w:p>
          <w:p w14:paraId="3738E4EF" w14:textId="34D0961B" w:rsidR="00912BE5" w:rsidRDefault="00912BE5" w:rsidP="00912BE5">
            <w:pPr>
              <w:pStyle w:val="ListParagraph"/>
              <w:numPr>
                <w:ilvl w:val="0"/>
                <w:numId w:val="14"/>
              </w:numPr>
              <w:rPr>
                <w:sz w:val="22"/>
                <w:szCs w:val="22"/>
              </w:rPr>
            </w:pPr>
            <w:proofErr w:type="spellStart"/>
            <w:r w:rsidRPr="00F8630B">
              <w:rPr>
                <w:sz w:val="22"/>
                <w:szCs w:val="22"/>
              </w:rPr>
              <w:t>Ghadri</w:t>
            </w:r>
            <w:proofErr w:type="spellEnd"/>
            <w:r w:rsidRPr="00F8630B">
              <w:rPr>
                <w:sz w:val="22"/>
                <w:szCs w:val="22"/>
              </w:rPr>
              <w:t xml:space="preserve">, Jelena R., Victoria L. </w:t>
            </w:r>
            <w:proofErr w:type="spellStart"/>
            <w:r w:rsidRPr="00F8630B">
              <w:rPr>
                <w:sz w:val="22"/>
                <w:szCs w:val="22"/>
              </w:rPr>
              <w:t>Cammann</w:t>
            </w:r>
            <w:proofErr w:type="spellEnd"/>
            <w:r w:rsidRPr="00F8630B">
              <w:rPr>
                <w:sz w:val="22"/>
                <w:szCs w:val="22"/>
              </w:rPr>
              <w:t xml:space="preserve">, </w:t>
            </w:r>
            <w:proofErr w:type="spellStart"/>
            <w:r w:rsidRPr="00F8630B">
              <w:rPr>
                <w:sz w:val="22"/>
                <w:szCs w:val="22"/>
              </w:rPr>
              <w:t>Stjepan</w:t>
            </w:r>
            <w:proofErr w:type="spellEnd"/>
            <w:r w:rsidRPr="00F8630B">
              <w:rPr>
                <w:sz w:val="22"/>
                <w:szCs w:val="22"/>
              </w:rPr>
              <w:t xml:space="preserve"> </w:t>
            </w:r>
            <w:proofErr w:type="spellStart"/>
            <w:r w:rsidRPr="00F8630B">
              <w:rPr>
                <w:sz w:val="22"/>
                <w:szCs w:val="22"/>
              </w:rPr>
              <w:t>Jurisic</w:t>
            </w:r>
            <w:proofErr w:type="spellEnd"/>
            <w:r w:rsidRPr="00F8630B">
              <w:rPr>
                <w:sz w:val="22"/>
                <w:szCs w:val="22"/>
              </w:rPr>
              <w:t xml:space="preserve">, Burkhardt Seifert, L. Christian </w:t>
            </w:r>
            <w:proofErr w:type="spellStart"/>
            <w:r w:rsidRPr="00F8630B">
              <w:rPr>
                <w:sz w:val="22"/>
                <w:szCs w:val="22"/>
              </w:rPr>
              <w:t>Napp</w:t>
            </w:r>
            <w:proofErr w:type="spellEnd"/>
            <w:r w:rsidRPr="00F8630B">
              <w:rPr>
                <w:sz w:val="22"/>
                <w:szCs w:val="22"/>
              </w:rPr>
              <w:t xml:space="preserve">, Johanna </w:t>
            </w:r>
            <w:proofErr w:type="spellStart"/>
            <w:r w:rsidRPr="00F8630B">
              <w:rPr>
                <w:sz w:val="22"/>
                <w:szCs w:val="22"/>
              </w:rPr>
              <w:t>Diekmann</w:t>
            </w:r>
            <w:proofErr w:type="spellEnd"/>
            <w:r w:rsidRPr="00F8630B">
              <w:rPr>
                <w:sz w:val="22"/>
                <w:szCs w:val="22"/>
              </w:rPr>
              <w:t xml:space="preserve">, Dana Roxana </w:t>
            </w:r>
            <w:proofErr w:type="spellStart"/>
            <w:r w:rsidRPr="00F8630B">
              <w:rPr>
                <w:sz w:val="22"/>
                <w:szCs w:val="22"/>
              </w:rPr>
              <w:t>Bataiosu</w:t>
            </w:r>
            <w:proofErr w:type="spellEnd"/>
            <w:r w:rsidRPr="00F8630B">
              <w:rPr>
                <w:sz w:val="22"/>
                <w:szCs w:val="22"/>
              </w:rPr>
              <w:t xml:space="preserve"> et al. "A novel clinical </w:t>
            </w:r>
            <w:r w:rsidRPr="00F8630B">
              <w:rPr>
                <w:sz w:val="22"/>
                <w:szCs w:val="22"/>
              </w:rPr>
              <w:lastRenderedPageBreak/>
              <w:t>score (</w:t>
            </w:r>
            <w:proofErr w:type="spellStart"/>
            <w:r w:rsidRPr="00F8630B">
              <w:rPr>
                <w:sz w:val="22"/>
                <w:szCs w:val="22"/>
              </w:rPr>
              <w:t>InterTAK</w:t>
            </w:r>
            <w:proofErr w:type="spellEnd"/>
            <w:r w:rsidRPr="00F8630B">
              <w:rPr>
                <w:sz w:val="22"/>
                <w:szCs w:val="22"/>
              </w:rPr>
              <w:t xml:space="preserve"> Diagnostic Score) to differentiate takotsubo syndrome from acute coronary syndrome: results from the International Takotsubo Registry." European journal of heart failure 19, no. 8 (2017): 1036-1042.</w:t>
            </w:r>
          </w:p>
          <w:p w14:paraId="411B478D" w14:textId="08BB0062" w:rsidR="00441685" w:rsidRDefault="00441685" w:rsidP="009A2C32">
            <w:pPr>
              <w:pStyle w:val="ListParagraph"/>
              <w:numPr>
                <w:ilvl w:val="0"/>
                <w:numId w:val="14"/>
              </w:numPr>
              <w:rPr>
                <w:sz w:val="22"/>
                <w:szCs w:val="22"/>
              </w:rPr>
            </w:pPr>
            <w:r w:rsidRPr="00441685">
              <w:rPr>
                <w:sz w:val="22"/>
                <w:szCs w:val="22"/>
              </w:rPr>
              <w:t>Apical ballooning syndrome (</w:t>
            </w:r>
            <w:proofErr w:type="spellStart"/>
            <w:r w:rsidRPr="00441685">
              <w:rPr>
                <w:sz w:val="22"/>
                <w:szCs w:val="22"/>
              </w:rPr>
              <w:t>Tako</w:t>
            </w:r>
            <w:proofErr w:type="spellEnd"/>
            <w:r w:rsidRPr="00441685">
              <w:rPr>
                <w:sz w:val="22"/>
                <w:szCs w:val="22"/>
              </w:rPr>
              <w:t>-Tsubo or stress cardiomyopathy): a mimic of acute myocardial infarction</w:t>
            </w:r>
            <w:r>
              <w:rPr>
                <w:sz w:val="22"/>
                <w:szCs w:val="22"/>
              </w:rPr>
              <w:t xml:space="preserve">. </w:t>
            </w:r>
            <w:r w:rsidRPr="00441685">
              <w:rPr>
                <w:sz w:val="22"/>
                <w:szCs w:val="22"/>
              </w:rPr>
              <w:t>Am. Heart J., 155 (2008), pp. 408-417</w:t>
            </w:r>
          </w:p>
          <w:p w14:paraId="090A6375" w14:textId="108BA1C0" w:rsidR="004F55E2" w:rsidRPr="00441685" w:rsidRDefault="004F55E2" w:rsidP="009A2C32">
            <w:pPr>
              <w:pStyle w:val="ListParagraph"/>
              <w:numPr>
                <w:ilvl w:val="0"/>
                <w:numId w:val="14"/>
              </w:numPr>
              <w:rPr>
                <w:sz w:val="22"/>
                <w:szCs w:val="22"/>
              </w:rPr>
            </w:pPr>
            <w:r w:rsidRPr="004F55E2">
              <w:rPr>
                <w:sz w:val="22"/>
                <w:szCs w:val="22"/>
              </w:rPr>
              <w:t xml:space="preserve">Satterfield, B.A., Bhatt, D.L. &amp; Gersh, B.J. Cardiac involvement in the long-term implications of COVID-19. Nat Rev </w:t>
            </w:r>
            <w:proofErr w:type="spellStart"/>
            <w:r w:rsidRPr="004F55E2">
              <w:rPr>
                <w:sz w:val="22"/>
                <w:szCs w:val="22"/>
              </w:rPr>
              <w:t>Cardiol</w:t>
            </w:r>
            <w:proofErr w:type="spellEnd"/>
            <w:r w:rsidRPr="004F55E2">
              <w:rPr>
                <w:sz w:val="22"/>
                <w:szCs w:val="22"/>
              </w:rPr>
              <w:t xml:space="preserve"> (2021).</w:t>
            </w:r>
            <w:r>
              <w:rPr>
                <w:sz w:val="22"/>
                <w:szCs w:val="22"/>
              </w:rPr>
              <w:t xml:space="preserve"> h</w:t>
            </w:r>
            <w:r w:rsidRPr="004F55E2">
              <w:rPr>
                <w:sz w:val="22"/>
                <w:szCs w:val="22"/>
              </w:rPr>
              <w:t>ttps://doi.org/10.1038/s41569-021-00631-3</w:t>
            </w:r>
          </w:p>
          <w:p w14:paraId="04E6223F" w14:textId="5FF230AF" w:rsidR="004F55E2" w:rsidRDefault="004F55E2" w:rsidP="004F55E2">
            <w:pPr>
              <w:pStyle w:val="ListParagraph"/>
              <w:numPr>
                <w:ilvl w:val="0"/>
                <w:numId w:val="14"/>
              </w:numPr>
              <w:rPr>
                <w:sz w:val="22"/>
                <w:szCs w:val="22"/>
              </w:rPr>
            </w:pPr>
            <w:r w:rsidRPr="00F8630B">
              <w:rPr>
                <w:noProof/>
                <w:sz w:val="22"/>
                <w:szCs w:val="22"/>
              </w:rPr>
              <w:t>Halushka MK, Vander Heide RS. Myocarditis is rare in COVID-19 autopsies: cardiovascular findings across 277 postmortem examinations. Cardiovasc Pathol. 2021;50:107300.</w:t>
            </w:r>
          </w:p>
          <w:p w14:paraId="69428163" w14:textId="15B0DB3C" w:rsidR="00612C74" w:rsidRPr="00612C74" w:rsidRDefault="00612C74" w:rsidP="00612C74">
            <w:pPr>
              <w:pStyle w:val="ListParagraph"/>
              <w:numPr>
                <w:ilvl w:val="0"/>
                <w:numId w:val="14"/>
              </w:numPr>
              <w:rPr>
                <w:sz w:val="22"/>
                <w:szCs w:val="22"/>
              </w:rPr>
            </w:pPr>
            <w:r w:rsidRPr="00612C74">
              <w:rPr>
                <w:sz w:val="22"/>
                <w:szCs w:val="22"/>
              </w:rPr>
              <w:t>Buckley BJR, Harrison SL, Fazio-</w:t>
            </w:r>
            <w:proofErr w:type="spellStart"/>
            <w:r w:rsidRPr="00612C74">
              <w:rPr>
                <w:sz w:val="22"/>
                <w:szCs w:val="22"/>
              </w:rPr>
              <w:t>Eynullayeva</w:t>
            </w:r>
            <w:proofErr w:type="spellEnd"/>
            <w:r w:rsidRPr="00612C74">
              <w:rPr>
                <w:sz w:val="22"/>
                <w:szCs w:val="22"/>
              </w:rPr>
              <w:t xml:space="preserve"> E, Underhill P, Lane DA, Lip GYH. Prevalence and clinical outcomes of myocarditis and pericarditis in 718,365 COVID-19 patients. Eur J Clin Invest. 2021;51(11</w:t>
            </w:r>
            <w:proofErr w:type="gramStart"/>
            <w:r w:rsidRPr="00612C74">
              <w:rPr>
                <w:sz w:val="22"/>
                <w:szCs w:val="22"/>
              </w:rPr>
              <w:t>):e</w:t>
            </w:r>
            <w:proofErr w:type="gramEnd"/>
            <w:r w:rsidRPr="00612C74">
              <w:rPr>
                <w:sz w:val="22"/>
                <w:szCs w:val="22"/>
              </w:rPr>
              <w:t>13679.</w:t>
            </w:r>
          </w:p>
          <w:p w14:paraId="67E39398" w14:textId="646B0453" w:rsidR="0058227F" w:rsidRDefault="0058227F" w:rsidP="00912BE5">
            <w:pPr>
              <w:pStyle w:val="ListParagraph"/>
              <w:numPr>
                <w:ilvl w:val="0"/>
                <w:numId w:val="14"/>
              </w:numPr>
              <w:rPr>
                <w:sz w:val="22"/>
                <w:szCs w:val="22"/>
              </w:rPr>
            </w:pPr>
            <w:proofErr w:type="spellStart"/>
            <w:r w:rsidRPr="0058227F">
              <w:rPr>
                <w:sz w:val="22"/>
                <w:szCs w:val="22"/>
              </w:rPr>
              <w:t>Caforio</w:t>
            </w:r>
            <w:proofErr w:type="spellEnd"/>
            <w:r w:rsidRPr="0058227F">
              <w:rPr>
                <w:sz w:val="22"/>
                <w:szCs w:val="22"/>
              </w:rPr>
              <w:t xml:space="preserve">, </w:t>
            </w:r>
            <w:proofErr w:type="spellStart"/>
            <w:r w:rsidRPr="0058227F">
              <w:rPr>
                <w:sz w:val="22"/>
                <w:szCs w:val="22"/>
              </w:rPr>
              <w:t>Alida</w:t>
            </w:r>
            <w:proofErr w:type="spellEnd"/>
            <w:r w:rsidRPr="0058227F">
              <w:rPr>
                <w:sz w:val="22"/>
                <w:szCs w:val="22"/>
              </w:rPr>
              <w:t xml:space="preserve"> LP, et al. "Current state of knowledge on </w:t>
            </w:r>
            <w:proofErr w:type="spellStart"/>
            <w:r w:rsidRPr="0058227F">
              <w:rPr>
                <w:sz w:val="22"/>
                <w:szCs w:val="22"/>
              </w:rPr>
              <w:t>aetiology</w:t>
            </w:r>
            <w:proofErr w:type="spellEnd"/>
            <w:r w:rsidRPr="0058227F">
              <w:rPr>
                <w:sz w:val="22"/>
                <w:szCs w:val="22"/>
              </w:rPr>
              <w:t>, diagnosis, management, and therapy of myocarditis: a position statement of the European Society of Cardiology Working Group on Myocardial and Pericardial Diseases." European heart journal 34.33 (2013): 2636-2648.</w:t>
            </w:r>
          </w:p>
          <w:p w14:paraId="7891BE4A" w14:textId="2E46C1E2" w:rsidR="0095704C" w:rsidRPr="00F8630B" w:rsidRDefault="0095704C" w:rsidP="00912BE5">
            <w:pPr>
              <w:pStyle w:val="ListParagraph"/>
              <w:numPr>
                <w:ilvl w:val="0"/>
                <w:numId w:val="14"/>
              </w:numPr>
              <w:rPr>
                <w:sz w:val="22"/>
                <w:szCs w:val="22"/>
              </w:rPr>
            </w:pPr>
            <w:proofErr w:type="spellStart"/>
            <w:r w:rsidRPr="0095704C">
              <w:rPr>
                <w:sz w:val="22"/>
                <w:szCs w:val="22"/>
              </w:rPr>
              <w:t>Imazio</w:t>
            </w:r>
            <w:proofErr w:type="spellEnd"/>
            <w:r w:rsidRPr="0095704C">
              <w:rPr>
                <w:sz w:val="22"/>
                <w:szCs w:val="22"/>
              </w:rPr>
              <w:t xml:space="preserve">, M., </w:t>
            </w:r>
            <w:proofErr w:type="spellStart"/>
            <w:r w:rsidRPr="0095704C">
              <w:rPr>
                <w:sz w:val="22"/>
                <w:szCs w:val="22"/>
              </w:rPr>
              <w:t>Spodick</w:t>
            </w:r>
            <w:proofErr w:type="spellEnd"/>
            <w:r w:rsidRPr="0095704C">
              <w:rPr>
                <w:sz w:val="22"/>
                <w:szCs w:val="22"/>
              </w:rPr>
              <w:t xml:space="preserve">, D. H., </w:t>
            </w:r>
            <w:proofErr w:type="spellStart"/>
            <w:r w:rsidRPr="0095704C">
              <w:rPr>
                <w:sz w:val="22"/>
                <w:szCs w:val="22"/>
              </w:rPr>
              <w:t>Brucato</w:t>
            </w:r>
            <w:proofErr w:type="spellEnd"/>
            <w:r w:rsidRPr="0095704C">
              <w:rPr>
                <w:sz w:val="22"/>
                <w:szCs w:val="22"/>
              </w:rPr>
              <w:t xml:space="preserve">, A., </w:t>
            </w:r>
            <w:proofErr w:type="spellStart"/>
            <w:r w:rsidRPr="0095704C">
              <w:rPr>
                <w:sz w:val="22"/>
                <w:szCs w:val="22"/>
              </w:rPr>
              <w:t>Trinchero</w:t>
            </w:r>
            <w:proofErr w:type="spellEnd"/>
            <w:r w:rsidRPr="0095704C">
              <w:rPr>
                <w:sz w:val="22"/>
                <w:szCs w:val="22"/>
              </w:rPr>
              <w:t>, R., &amp; Adler, Y. (2010). Controversial issues in the management of pericardial diseases. Circulation, 121(7), 916-928.</w:t>
            </w:r>
          </w:p>
          <w:p w14:paraId="6FB82D75" w14:textId="77777777" w:rsidR="005E0FF2" w:rsidRPr="00F8630B" w:rsidRDefault="005E0FF2" w:rsidP="005E0FF2">
            <w:pPr>
              <w:pStyle w:val="ListParagraph"/>
              <w:numPr>
                <w:ilvl w:val="0"/>
                <w:numId w:val="14"/>
              </w:numPr>
              <w:rPr>
                <w:sz w:val="22"/>
                <w:szCs w:val="22"/>
              </w:rPr>
            </w:pPr>
            <w:r w:rsidRPr="00F8630B">
              <w:rPr>
                <w:noProof/>
                <w:sz w:val="22"/>
                <w:szCs w:val="22"/>
              </w:rPr>
              <w:t>Fauvel C, Weizman O, Trimaille A, Mika D, Pommier T, Pace N, et al. Pulmonary embolism in COVID-19 patients: a French multicentre cohort study. Eur Heart J. 2020;41(32):3058-68.</w:t>
            </w:r>
          </w:p>
          <w:p w14:paraId="72C971DD" w14:textId="77777777" w:rsidR="005E0FF2" w:rsidRPr="00F8630B" w:rsidRDefault="005E0FF2" w:rsidP="005E0FF2">
            <w:pPr>
              <w:pStyle w:val="ListParagraph"/>
              <w:numPr>
                <w:ilvl w:val="0"/>
                <w:numId w:val="14"/>
              </w:numPr>
              <w:rPr>
                <w:sz w:val="22"/>
                <w:szCs w:val="22"/>
              </w:rPr>
            </w:pPr>
            <w:r w:rsidRPr="00F8630B">
              <w:rPr>
                <w:noProof/>
                <w:sz w:val="22"/>
                <w:szCs w:val="22"/>
              </w:rPr>
              <w:t>Scudiero F, Silverio A, Di Maio M, Russo V, Citro R, Personeni D, et al. Pulmonary embolism in COVID-19 patients: prevalence, predictors and clinical outcome. Thromb Res. 2021;198:34-9.</w:t>
            </w:r>
          </w:p>
          <w:p w14:paraId="3B9139DA" w14:textId="77777777" w:rsidR="00CA67F5" w:rsidRPr="00F8630B" w:rsidRDefault="00CA67F5" w:rsidP="00CA67F5">
            <w:pPr>
              <w:pStyle w:val="ListParagraph"/>
              <w:numPr>
                <w:ilvl w:val="0"/>
                <w:numId w:val="14"/>
              </w:numPr>
              <w:rPr>
                <w:sz w:val="22"/>
                <w:szCs w:val="22"/>
              </w:rPr>
            </w:pPr>
            <w:r w:rsidRPr="00F8630B">
              <w:rPr>
                <w:noProof/>
                <w:sz w:val="22"/>
                <w:szCs w:val="22"/>
              </w:rPr>
              <w:t>Stefanini GG, Montorfano M, Trabattoni D, Andreini D, Ferrante G, Ancona M, et al. ST-elevation myocardial infarction in patients with COVID-19: clinical and angiographic outcomes. Circulation. 2020;141(25):2113-6.</w:t>
            </w:r>
          </w:p>
          <w:p w14:paraId="339F454B" w14:textId="77777777" w:rsidR="00056976" w:rsidRPr="00F8630B" w:rsidRDefault="00273CA8" w:rsidP="00056976">
            <w:pPr>
              <w:pStyle w:val="ListParagraph"/>
              <w:numPr>
                <w:ilvl w:val="0"/>
                <w:numId w:val="14"/>
              </w:numPr>
              <w:rPr>
                <w:sz w:val="22"/>
                <w:szCs w:val="22"/>
              </w:rPr>
            </w:pPr>
            <w:r w:rsidRPr="00F8630B">
              <w:rPr>
                <w:noProof/>
                <w:sz w:val="22"/>
                <w:szCs w:val="22"/>
              </w:rPr>
              <w:t>Kite TA, Ludman PF, Gale CP, Wu J, Caixeta A, Mansourati J, et al. International prospective registry of acute coronary syndromes in patients with COVID-19. Journal of the American College of Cardiology. 2021;77(20):2466-76.</w:t>
            </w:r>
          </w:p>
          <w:p w14:paraId="1DA37903" w14:textId="1C8BA0A9" w:rsidR="00056976" w:rsidRPr="00F8630B" w:rsidRDefault="00056976" w:rsidP="00056976">
            <w:pPr>
              <w:pStyle w:val="ListParagraph"/>
              <w:numPr>
                <w:ilvl w:val="0"/>
                <w:numId w:val="14"/>
              </w:numPr>
              <w:rPr>
                <w:sz w:val="22"/>
                <w:szCs w:val="22"/>
              </w:rPr>
            </w:pPr>
            <w:r w:rsidRPr="00F8630B">
              <w:rPr>
                <w:noProof/>
                <w:sz w:val="22"/>
                <w:szCs w:val="22"/>
              </w:rPr>
              <w:t>Saad M, Kennedy KF, Imran H, Louis DW, Shippey E, Poppas A, et al. Association between COVID-19 diagnosis and in-hospital mortality in patients hospitalized with ST-segment elevation myocardial infarction. JAMA. 2021;326(19):1940-52.</w:t>
            </w:r>
          </w:p>
          <w:p w14:paraId="3CD7DE62" w14:textId="5B02A43B" w:rsidR="00F8798E" w:rsidRPr="008673B8" w:rsidRDefault="00F3332A" w:rsidP="003A1647">
            <w:pPr>
              <w:rPr>
                <w:rFonts w:asciiTheme="majorHAnsi" w:hAnsiTheme="majorHAnsi" w:cstheme="majorHAnsi"/>
                <w:color w:val="000000"/>
                <w:sz w:val="22"/>
                <w:szCs w:val="22"/>
              </w:rPr>
            </w:pPr>
            <w:r w:rsidRPr="006F655B">
              <w:rPr>
                <w:rFonts w:asciiTheme="majorHAnsi" w:hAnsiTheme="majorHAnsi" w:cstheme="majorHAnsi"/>
                <w:color w:val="000000"/>
                <w:sz w:val="20"/>
                <w:szCs w:val="20"/>
              </w:rPr>
              <w:t xml:space="preserve">…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72411F">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3A1647">
            <w:pPr>
              <w:rPr>
                <w:rFonts w:asciiTheme="majorHAnsi" w:hAnsiTheme="majorHAnsi" w:cstheme="majorHAnsi"/>
                <w:sz w:val="22"/>
                <w:szCs w:val="22"/>
              </w:rPr>
            </w:pPr>
          </w:p>
          <w:p w14:paraId="7142B362" w14:textId="75077FEE" w:rsidR="00293183" w:rsidRPr="00A23F9E" w:rsidRDefault="00293183" w:rsidP="003A1647">
            <w:pPr>
              <w:rPr>
                <w:b/>
                <w:bCs/>
                <w:color w:val="000000"/>
              </w:rPr>
            </w:pPr>
            <w:r w:rsidRPr="00A23F9E">
              <w:rPr>
                <w:b/>
                <w:bCs/>
                <w:color w:val="000000"/>
              </w:rPr>
              <w:t>Methodology:</w:t>
            </w:r>
          </w:p>
          <w:p w14:paraId="5BA39CC1" w14:textId="7DD6CEC2" w:rsidR="00A16D66" w:rsidRDefault="00485C0D" w:rsidP="003A1647">
            <w:pPr>
              <w:rPr>
                <w:color w:val="000000"/>
              </w:rPr>
            </w:pPr>
            <w:r>
              <w:rPr>
                <w:color w:val="000000"/>
              </w:rPr>
              <w:t xml:space="preserve">The population being examined are </w:t>
            </w:r>
            <w:r w:rsidR="00A83375">
              <w:rPr>
                <w:color w:val="000000"/>
              </w:rPr>
              <w:t>in</w:t>
            </w:r>
            <w:r>
              <w:rPr>
                <w:color w:val="000000"/>
              </w:rPr>
              <w:t xml:space="preserve">patients identified as having acute COVID-19 that have an elevated serum troponin level within the window period (3 days before and 30 days after the index </w:t>
            </w:r>
            <w:r w:rsidR="001727D0">
              <w:rPr>
                <w:color w:val="000000"/>
              </w:rPr>
              <w:t xml:space="preserve">COVID-19 </w:t>
            </w:r>
            <w:r>
              <w:rPr>
                <w:color w:val="000000"/>
              </w:rPr>
              <w:t>diagnosis as determined by positive PCR swab</w:t>
            </w:r>
            <w:r w:rsidR="001727D0">
              <w:rPr>
                <w:color w:val="000000"/>
              </w:rPr>
              <w:t>.</w:t>
            </w:r>
            <w:r w:rsidR="00A83375">
              <w:rPr>
                <w:color w:val="000000"/>
              </w:rPr>
              <w:t xml:space="preserve"> </w:t>
            </w:r>
            <w:r w:rsidR="00A16D66">
              <w:rPr>
                <w:color w:val="000000"/>
              </w:rPr>
              <w:t xml:space="preserve">We will compare this to the definition developed by our </w:t>
            </w:r>
            <w:proofErr w:type="spellStart"/>
            <w:r w:rsidR="00A16D66">
              <w:rPr>
                <w:color w:val="000000"/>
              </w:rPr>
              <w:t>eMERGE</w:t>
            </w:r>
            <w:proofErr w:type="spellEnd"/>
            <w:r w:rsidR="00A16D66">
              <w:rPr>
                <w:color w:val="000000"/>
              </w:rPr>
              <w:t xml:space="preserve"> colleagues defining acute COVID-19 infection as the presence of an </w:t>
            </w:r>
            <w:r w:rsidR="00A16D66" w:rsidRPr="00A16D66">
              <w:rPr>
                <w:color w:val="000000"/>
              </w:rPr>
              <w:t xml:space="preserve">ICD code U07.1 </w:t>
            </w:r>
            <w:r w:rsidR="00A16D66">
              <w:rPr>
                <w:color w:val="000000"/>
              </w:rPr>
              <w:t>and a p</w:t>
            </w:r>
            <w:r w:rsidR="00A16D66" w:rsidRPr="00A16D66">
              <w:rPr>
                <w:color w:val="000000"/>
              </w:rPr>
              <w:t>ositive COVID</w:t>
            </w:r>
            <w:r w:rsidR="00A16D66">
              <w:rPr>
                <w:color w:val="000000"/>
              </w:rPr>
              <w:t>-19</w:t>
            </w:r>
            <w:r w:rsidR="00A16D66" w:rsidRPr="00A16D66">
              <w:rPr>
                <w:color w:val="000000"/>
              </w:rPr>
              <w:t xml:space="preserve"> PCR within 14 days before or 7 days after admission</w:t>
            </w:r>
            <w:r w:rsidR="00A16D66">
              <w:rPr>
                <w:color w:val="000000"/>
              </w:rPr>
              <w:t>.</w:t>
            </w:r>
          </w:p>
          <w:p w14:paraId="4D6E78A0" w14:textId="77777777" w:rsidR="00A16D66" w:rsidRDefault="00A16D66" w:rsidP="003A1647">
            <w:pPr>
              <w:rPr>
                <w:color w:val="000000"/>
              </w:rPr>
            </w:pPr>
          </w:p>
          <w:p w14:paraId="03CF342B" w14:textId="2EC16C8F" w:rsidR="00485C0D" w:rsidRDefault="00485C0D" w:rsidP="003A1647">
            <w:pPr>
              <w:rPr>
                <w:color w:val="000000"/>
              </w:rPr>
            </w:pPr>
            <w:r>
              <w:rPr>
                <w:color w:val="000000"/>
              </w:rPr>
              <w:t xml:space="preserve">For each subtype of acute myocardial injury, the presence of a single ICD diagnosis code from a predefined list of codes (Table 1) within the window period qualified the patient as having a “possible” </w:t>
            </w:r>
            <w:r w:rsidR="009A57A8">
              <w:rPr>
                <w:color w:val="000000"/>
              </w:rPr>
              <w:t>cardiovascular complication of the indicated phenotype</w:t>
            </w:r>
            <w:r>
              <w:rPr>
                <w:color w:val="000000"/>
              </w:rPr>
              <w:t>. Chart review was then performed</w:t>
            </w:r>
            <w:r w:rsidR="00FD5D52">
              <w:rPr>
                <w:color w:val="000000"/>
              </w:rPr>
              <w:t xml:space="preserve"> on a subset of “possible” </w:t>
            </w:r>
            <w:r w:rsidR="00FD5D52">
              <w:rPr>
                <w:color w:val="000000"/>
              </w:rPr>
              <w:lastRenderedPageBreak/>
              <w:t>cases within the Mayo Clinic enterprise database</w:t>
            </w:r>
            <w:r>
              <w:rPr>
                <w:color w:val="000000"/>
              </w:rPr>
              <w:t>, and algorithms were iterated to optimize sensitivity and specificity</w:t>
            </w:r>
            <w:r w:rsidR="001727D0">
              <w:rPr>
                <w:color w:val="000000"/>
              </w:rPr>
              <w:t xml:space="preserve"> (Table 1)</w:t>
            </w:r>
            <w:r>
              <w:rPr>
                <w:color w:val="000000"/>
              </w:rPr>
              <w:t>.</w:t>
            </w:r>
          </w:p>
          <w:p w14:paraId="09A86C00" w14:textId="77777777" w:rsidR="00485C0D" w:rsidRDefault="00485C0D" w:rsidP="003A1647">
            <w:pPr>
              <w:rPr>
                <w:color w:val="000000"/>
              </w:rPr>
            </w:pPr>
          </w:p>
          <w:tbl>
            <w:tblPr>
              <w:tblW w:w="8060" w:type="dxa"/>
              <w:tblLayout w:type="fixed"/>
              <w:tblCellMar>
                <w:left w:w="0" w:type="dxa"/>
                <w:right w:w="0" w:type="dxa"/>
              </w:tblCellMar>
              <w:tblLook w:val="04A0" w:firstRow="1" w:lastRow="0" w:firstColumn="1" w:lastColumn="0" w:noHBand="0" w:noVBand="1"/>
            </w:tblPr>
            <w:tblGrid>
              <w:gridCol w:w="1241"/>
              <w:gridCol w:w="6819"/>
            </w:tblGrid>
            <w:tr w:rsidR="00DB123D" w:rsidRPr="001A0B9C" w14:paraId="375180DD" w14:textId="77777777" w:rsidTr="00050F45">
              <w:trPr>
                <w:trHeight w:val="193"/>
              </w:trPr>
              <w:tc>
                <w:tcPr>
                  <w:tcW w:w="8060" w:type="dxa"/>
                  <w:gridSpan w:val="2"/>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6451F5D9" w14:textId="1DD5E56B" w:rsidR="00DB123D" w:rsidRPr="001A0B9C" w:rsidRDefault="00DB123D" w:rsidP="00DB123D">
                  <w:pPr>
                    <w:rPr>
                      <w:rFonts w:ascii="Arial" w:hAnsi="Arial" w:cs="Arial"/>
                      <w:sz w:val="16"/>
                      <w:szCs w:val="16"/>
                    </w:rPr>
                  </w:pPr>
                  <w:r w:rsidRPr="001A0B9C">
                    <w:rPr>
                      <w:rFonts w:ascii="Calibri" w:hAnsi="Calibri" w:cs="Calibri"/>
                      <w:b/>
                      <w:bCs/>
                      <w:color w:val="000000" w:themeColor="dark1"/>
                      <w:kern w:val="24"/>
                      <w:sz w:val="16"/>
                      <w:szCs w:val="16"/>
                    </w:rPr>
                    <w:t xml:space="preserve">Table 1. </w:t>
                  </w:r>
                  <w:r w:rsidR="001727D0">
                    <w:rPr>
                      <w:rFonts w:ascii="Calibri" w:hAnsi="Calibri" w:cs="Calibri"/>
                      <w:b/>
                      <w:bCs/>
                      <w:color w:val="000000" w:themeColor="dark1"/>
                      <w:kern w:val="24"/>
                      <w:sz w:val="16"/>
                      <w:szCs w:val="16"/>
                    </w:rPr>
                    <w:t>A</w:t>
                  </w:r>
                  <w:r w:rsidRPr="001A0B9C">
                    <w:rPr>
                      <w:rFonts w:ascii="Calibri" w:hAnsi="Calibri" w:cs="Calibri"/>
                      <w:b/>
                      <w:bCs/>
                      <w:color w:val="000000" w:themeColor="dark1"/>
                      <w:kern w:val="24"/>
                      <w:sz w:val="16"/>
                      <w:szCs w:val="16"/>
                    </w:rPr>
                    <w:t>lgorithms for myocardial injury subtypes</w:t>
                  </w:r>
                  <w:r w:rsidR="001727D0">
                    <w:rPr>
                      <w:rFonts w:ascii="Calibri" w:hAnsi="Calibri" w:cs="Calibri"/>
                      <w:b/>
                      <w:bCs/>
                      <w:color w:val="000000" w:themeColor="dark1"/>
                      <w:kern w:val="24"/>
                      <w:sz w:val="16"/>
                      <w:szCs w:val="16"/>
                    </w:rPr>
                    <w:t xml:space="preserve"> from the Mayo Clinic Enterprise</w:t>
                  </w:r>
                </w:p>
              </w:tc>
            </w:tr>
            <w:tr w:rsidR="00050F45" w:rsidRPr="001A0B9C" w14:paraId="6B164E95" w14:textId="77777777" w:rsidTr="00050F45">
              <w:trPr>
                <w:trHeight w:val="193"/>
              </w:trPr>
              <w:tc>
                <w:tcPr>
                  <w:tcW w:w="1241"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4CC981DD"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Phenotype</w:t>
                  </w:r>
                </w:p>
              </w:tc>
              <w:tc>
                <w:tcPr>
                  <w:tcW w:w="6819"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6987E47B"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 xml:space="preserve">Algorithm* </w:t>
                  </w:r>
                </w:p>
              </w:tc>
            </w:tr>
            <w:tr w:rsidR="00050F45" w:rsidRPr="001A0B9C" w14:paraId="696FA979" w14:textId="77777777" w:rsidTr="00050F45">
              <w:trPr>
                <w:trHeight w:val="586"/>
              </w:trPr>
              <w:tc>
                <w:tcPr>
                  <w:tcW w:w="1241"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51D19ECB"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Stress cardiomyopathy</w:t>
                  </w:r>
                </w:p>
              </w:tc>
              <w:tc>
                <w:tcPr>
                  <w:tcW w:w="6819"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71C5A48A"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1 instance of ICD-10 code: I51.81</w:t>
                  </w:r>
                </w:p>
                <w:p w14:paraId="46463752"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troponin &gt;2x ULN</w:t>
                  </w:r>
                </w:p>
              </w:tc>
            </w:tr>
            <w:tr w:rsidR="00050F45" w:rsidRPr="001A0B9C" w14:paraId="59F9DD74" w14:textId="77777777" w:rsidTr="00050F45">
              <w:trPr>
                <w:trHeight w:val="1012"/>
              </w:trPr>
              <w:tc>
                <w:tcPr>
                  <w:tcW w:w="1241"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7BC565AA"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Myocarditis</w:t>
                  </w:r>
                </w:p>
              </w:tc>
              <w:tc>
                <w:tcPr>
                  <w:tcW w:w="6819"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5EDA1B60"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2 instances of ICD-10 codes on different dates: B33.2, B33.20, B33.22, B33.24, I40, I40.0, I40.1, I40.8, I40.9, I41, I51.4</w:t>
                  </w:r>
                </w:p>
                <w:p w14:paraId="70590C03"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troponin &gt;3x ULN</w:t>
                  </w:r>
                </w:p>
                <w:p w14:paraId="232EBCA3"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c. None of the ICD-10 codes within 30 days prior to window period</w:t>
                  </w:r>
                </w:p>
                <w:p w14:paraId="53078245"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d. Not detected by stress cardiomyopathy algorithm</w:t>
                  </w:r>
                </w:p>
              </w:tc>
            </w:tr>
            <w:tr w:rsidR="00050F45" w:rsidRPr="001A0B9C" w14:paraId="2EC9EEAE" w14:textId="77777777" w:rsidTr="00050F45">
              <w:trPr>
                <w:trHeight w:val="1012"/>
              </w:trPr>
              <w:tc>
                <w:tcPr>
                  <w:tcW w:w="1241"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61B18C79"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Pericarditis</w:t>
                  </w:r>
                </w:p>
              </w:tc>
              <w:tc>
                <w:tcPr>
                  <w:tcW w:w="6819"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7366D5EC"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2 instances of ICD-10 codes on different dates: I30, I30.0, I30.1, I30.8, I30.9, I31, I31.8, I31.9, I32, I33.23</w:t>
                  </w:r>
                </w:p>
                <w:p w14:paraId="4B29A204"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troponin &gt;1x ULN</w:t>
                  </w:r>
                </w:p>
                <w:p w14:paraId="173940DB"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c. None of the ICD-10 codes within 120 days prior to the window period</w:t>
                  </w:r>
                </w:p>
                <w:p w14:paraId="0A79DD64"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d. Not detected by the myocarditis algorithm</w:t>
                  </w:r>
                </w:p>
              </w:tc>
            </w:tr>
            <w:tr w:rsidR="00050F45" w:rsidRPr="001A0B9C" w14:paraId="3EB4C32E" w14:textId="77777777" w:rsidTr="00050F45">
              <w:trPr>
                <w:trHeight w:val="1012"/>
              </w:trPr>
              <w:tc>
                <w:tcPr>
                  <w:tcW w:w="1241"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13D6435C"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Pulmonary embolism</w:t>
                  </w:r>
                </w:p>
              </w:tc>
              <w:tc>
                <w:tcPr>
                  <w:tcW w:w="6819" w:type="dxa"/>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1DE2D21A"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1 instance of any of the ICD-10 diagnosis codes: I26, I26.0, I26.02, I26.09, I26.9, I26.92, I26.93, I26.94, I26.99</w:t>
                  </w:r>
                </w:p>
                <w:p w14:paraId="21A2F355"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troponin &gt;1x ULN</w:t>
                  </w:r>
                </w:p>
                <w:p w14:paraId="035DCD16"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c. None of the ICD-10 codes within 730 days (2 years) prior to the window period</w:t>
                  </w:r>
                </w:p>
              </w:tc>
            </w:tr>
            <w:tr w:rsidR="00050F45" w:rsidRPr="001A0B9C" w14:paraId="74FC7FA1" w14:textId="77777777" w:rsidTr="00050F45">
              <w:trPr>
                <w:trHeight w:val="2448"/>
              </w:trPr>
              <w:tc>
                <w:tcPr>
                  <w:tcW w:w="1241"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37B09600" w14:textId="77777777" w:rsidR="00050F45" w:rsidRPr="001A0B9C" w:rsidRDefault="00050F45" w:rsidP="00DB123D">
                  <w:pPr>
                    <w:rPr>
                      <w:rFonts w:ascii="Arial" w:hAnsi="Arial" w:cs="Arial"/>
                      <w:sz w:val="16"/>
                      <w:szCs w:val="16"/>
                    </w:rPr>
                  </w:pPr>
                  <w:r w:rsidRPr="001A0B9C">
                    <w:rPr>
                      <w:rFonts w:ascii="Calibri" w:hAnsi="Calibri" w:cs="Calibri"/>
                      <w:b/>
                      <w:bCs/>
                      <w:color w:val="000000" w:themeColor="dark1"/>
                      <w:kern w:val="24"/>
                      <w:sz w:val="16"/>
                      <w:szCs w:val="16"/>
                    </w:rPr>
                    <w:t>Myocardial infarction</w:t>
                  </w:r>
                </w:p>
              </w:tc>
              <w:tc>
                <w:tcPr>
                  <w:tcW w:w="6819" w:type="dxa"/>
                  <w:tcBorders>
                    <w:top w:val="single" w:sz="8" w:space="0" w:color="4472C4"/>
                    <w:left w:val="single" w:sz="8" w:space="0" w:color="4472C4"/>
                    <w:bottom w:val="single" w:sz="8" w:space="0" w:color="4472C4"/>
                    <w:right w:val="single" w:sz="8" w:space="0" w:color="4472C4"/>
                  </w:tcBorders>
                  <w:shd w:val="clear" w:color="auto" w:fill="E9EBF5"/>
                  <w:tcMar>
                    <w:top w:w="15" w:type="dxa"/>
                    <w:left w:w="71" w:type="dxa"/>
                    <w:bottom w:w="0" w:type="dxa"/>
                    <w:right w:w="71" w:type="dxa"/>
                  </w:tcMar>
                  <w:hideMark/>
                </w:tcPr>
                <w:p w14:paraId="0C77531F" w14:textId="3E0C7A00"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1 instance of CPT/ICD procedure code: extensive list</w:t>
                  </w:r>
                  <w:r>
                    <w:rPr>
                      <w:rFonts w:ascii="Calibri" w:hAnsi="Calibri" w:cs="Calibri"/>
                      <w:color w:val="000000" w:themeColor="dark1"/>
                      <w:kern w:val="24"/>
                      <w:sz w:val="16"/>
                      <w:szCs w:val="16"/>
                    </w:rPr>
                    <w:t>, provided in chart review excel file</w:t>
                  </w:r>
                  <w:r w:rsidRPr="001A0B9C">
                    <w:rPr>
                      <w:rFonts w:ascii="Calibri" w:hAnsi="Calibri" w:cs="Calibri"/>
                      <w:color w:val="000000" w:themeColor="dark1"/>
                      <w:kern w:val="24"/>
                      <w:sz w:val="16"/>
                      <w:szCs w:val="16"/>
                    </w:rPr>
                    <w:t xml:space="preserve"> </w:t>
                  </w:r>
                </w:p>
                <w:p w14:paraId="58BC8CEC"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troponin &gt;1x ULN</w:t>
                  </w:r>
                </w:p>
                <w:p w14:paraId="54773092"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OR</w:t>
                  </w:r>
                </w:p>
                <w:p w14:paraId="7B8F2E06"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a. At least 1 instance of ICD-10 codes: I21.01, I21.02, I21.09, I21.11, I21.19, I21.21, I21.29, I21.3, I21.4, I22.0, I22.1, I22.2, I22.8, I22.9, I23.0, I23.1, I23.2, I23.3, I23.4, I23.5, I23.6, I23.7, I23.8</w:t>
                  </w:r>
                </w:p>
                <w:p w14:paraId="3EE585FB"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b. At least 1 instance of a tronopin &gt;3 ULN</w:t>
                  </w:r>
                </w:p>
                <w:p w14:paraId="0651B3F2"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c. No severe CKD ICD-10 codes: N18.4, N18.5, N18.6, I12.0, I13.11, I13.2</w:t>
                  </w:r>
                </w:p>
                <w:p w14:paraId="07710284"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d. No Muscular Dystrophy ICD-10 codes: G71.0, G71.00, G71.01, G71.02, G71.09, G71.1, G71.11, G71.12, G71.13, G71.14, G71.19, G71.3</w:t>
                  </w:r>
                </w:p>
                <w:p w14:paraId="157A2CE4" w14:textId="77777777" w:rsidR="00050F45" w:rsidRPr="001A0B9C" w:rsidRDefault="00050F45" w:rsidP="00DB123D">
                  <w:pPr>
                    <w:rPr>
                      <w:rFonts w:ascii="Arial" w:hAnsi="Arial" w:cs="Arial"/>
                      <w:sz w:val="16"/>
                      <w:szCs w:val="16"/>
                    </w:rPr>
                  </w:pPr>
                  <w:r w:rsidRPr="001A0B9C">
                    <w:rPr>
                      <w:rFonts w:ascii="Calibri" w:hAnsi="Calibri" w:cs="Calibri"/>
                      <w:color w:val="000000" w:themeColor="dark1"/>
                      <w:kern w:val="24"/>
                      <w:sz w:val="16"/>
                      <w:szCs w:val="16"/>
                    </w:rPr>
                    <w:t>e. Not detected by the stress cardiomyopathy, myocarditis, pericarditis, or pulmonary embolism algorithms</w:t>
                  </w:r>
                </w:p>
              </w:tc>
            </w:tr>
            <w:tr w:rsidR="00DB123D" w:rsidRPr="001A0B9C" w14:paraId="2B16EE40" w14:textId="77777777" w:rsidTr="00050F45">
              <w:trPr>
                <w:trHeight w:val="808"/>
              </w:trPr>
              <w:tc>
                <w:tcPr>
                  <w:tcW w:w="8060" w:type="dxa"/>
                  <w:gridSpan w:val="2"/>
                  <w:tcBorders>
                    <w:top w:val="single" w:sz="8" w:space="0" w:color="4472C4"/>
                    <w:left w:val="single" w:sz="8" w:space="0" w:color="4472C4"/>
                    <w:bottom w:val="single" w:sz="8" w:space="0" w:color="4472C4"/>
                    <w:right w:val="single" w:sz="8" w:space="0" w:color="4472C4"/>
                  </w:tcBorders>
                  <w:shd w:val="clear" w:color="auto" w:fill="CFD5EA"/>
                  <w:tcMar>
                    <w:top w:w="15" w:type="dxa"/>
                    <w:left w:w="71" w:type="dxa"/>
                    <w:bottom w:w="0" w:type="dxa"/>
                    <w:right w:w="71" w:type="dxa"/>
                  </w:tcMar>
                  <w:hideMark/>
                </w:tcPr>
                <w:p w14:paraId="15B94771" w14:textId="77777777" w:rsidR="00DB123D" w:rsidRPr="001A0B9C" w:rsidRDefault="00DB123D" w:rsidP="00DB123D">
                  <w:pPr>
                    <w:rPr>
                      <w:rFonts w:ascii="Arial" w:hAnsi="Arial" w:cs="Arial"/>
                      <w:sz w:val="16"/>
                      <w:szCs w:val="16"/>
                    </w:rPr>
                  </w:pPr>
                  <w:r w:rsidRPr="001A0B9C">
                    <w:rPr>
                      <w:rFonts w:ascii="Calibri" w:hAnsi="Calibri" w:cs="Calibri"/>
                      <w:b/>
                      <w:bCs/>
                      <w:color w:val="000000" w:themeColor="dark1"/>
                      <w:kern w:val="24"/>
                      <w:sz w:val="16"/>
                      <w:szCs w:val="16"/>
                    </w:rPr>
                    <w:t>* Detection of ICD-10/CPT codes and troponin had to occur within the window period of -3 through +30 days from the first positive SARS-CoV-2 PCR test</w:t>
                  </w:r>
                </w:p>
                <w:p w14:paraId="7FF66894" w14:textId="11E163E6" w:rsidR="00DB123D" w:rsidRPr="001A0B9C" w:rsidRDefault="00DB123D" w:rsidP="00DB123D">
                  <w:pPr>
                    <w:rPr>
                      <w:rFonts w:ascii="Arial" w:hAnsi="Arial" w:cs="Arial"/>
                      <w:sz w:val="16"/>
                      <w:szCs w:val="16"/>
                    </w:rPr>
                  </w:pPr>
                  <w:r w:rsidRPr="001A0B9C">
                    <w:rPr>
                      <w:rFonts w:ascii="Calibri" w:hAnsi="Calibri" w:cs="Calibri"/>
                      <w:b/>
                      <w:bCs/>
                      <w:color w:val="000000" w:themeColor="dark1"/>
                      <w:kern w:val="24"/>
                      <w:sz w:val="16"/>
                      <w:szCs w:val="16"/>
                    </w:rPr>
                    <w:t>CPT: current procedural terminology, CKD: chronic kidney disease, ICD-10 (Internation Classification of Diseases 10</w:t>
                  </w:r>
                  <w:proofErr w:type="spellStart"/>
                  <w:r w:rsidRPr="001A0B9C">
                    <w:rPr>
                      <w:rFonts w:ascii="Calibri" w:hAnsi="Calibri" w:cs="Calibri"/>
                      <w:b/>
                      <w:bCs/>
                      <w:color w:val="000000" w:themeColor="dark1"/>
                      <w:kern w:val="24"/>
                      <w:position w:val="7"/>
                      <w:sz w:val="16"/>
                      <w:szCs w:val="16"/>
                      <w:vertAlign w:val="superscript"/>
                    </w:rPr>
                    <w:t>th</w:t>
                  </w:r>
                  <w:proofErr w:type="spellEnd"/>
                  <w:r w:rsidRPr="001A0B9C">
                    <w:rPr>
                      <w:rFonts w:ascii="Calibri" w:hAnsi="Calibri" w:cs="Calibri"/>
                      <w:b/>
                      <w:bCs/>
                      <w:color w:val="000000" w:themeColor="dark1"/>
                      <w:kern w:val="24"/>
                      <w:sz w:val="16"/>
                      <w:szCs w:val="16"/>
                    </w:rPr>
                    <w:t xml:space="preserve"> edition)</w:t>
                  </w:r>
                </w:p>
              </w:tc>
            </w:tr>
          </w:tbl>
          <w:p w14:paraId="384C2B07" w14:textId="77777777" w:rsidR="001727D0" w:rsidRDefault="001727D0" w:rsidP="001727D0">
            <w:pPr>
              <w:rPr>
                <w:color w:val="000000"/>
              </w:rPr>
            </w:pPr>
          </w:p>
          <w:p w14:paraId="747EC93F" w14:textId="78999B03" w:rsidR="001727D0" w:rsidRDefault="001727D0" w:rsidP="001727D0">
            <w:pPr>
              <w:rPr>
                <w:color w:val="000000"/>
              </w:rPr>
            </w:pPr>
            <w:r>
              <w:rPr>
                <w:color w:val="000000"/>
              </w:rPr>
              <w:t xml:space="preserve">Specific data extraction forms will be sent to additional sites who will also perform validation chart review on a subset of “possible” patients. Based on performance at these additional sites the algorithms may then undergo additional iterations to further optimize performance among the diverse EHR datasets. </w:t>
            </w:r>
          </w:p>
          <w:p w14:paraId="3EFB5F03" w14:textId="77777777" w:rsidR="001727D0" w:rsidRDefault="001727D0" w:rsidP="001727D0">
            <w:pPr>
              <w:rPr>
                <w:color w:val="000000"/>
              </w:rPr>
            </w:pPr>
          </w:p>
          <w:p w14:paraId="4C78C9EF" w14:textId="77777777" w:rsidR="001727D0" w:rsidRDefault="001727D0" w:rsidP="001727D0">
            <w:pPr>
              <w:rPr>
                <w:color w:val="000000"/>
              </w:rPr>
            </w:pPr>
            <w:r>
              <w:rPr>
                <w:color w:val="000000"/>
              </w:rPr>
              <w:t>The final algorithms will then be sent to all participating sites to implement on their full datasets without the need for additional chart review, and the data will be pooled for analyses.</w:t>
            </w:r>
          </w:p>
          <w:p w14:paraId="50E7B97A" w14:textId="77777777" w:rsidR="001727D0" w:rsidRDefault="001727D0" w:rsidP="001727D0">
            <w:pPr>
              <w:rPr>
                <w:color w:val="000000"/>
              </w:rPr>
            </w:pPr>
          </w:p>
          <w:p w14:paraId="462A6C12" w14:textId="77777777" w:rsidR="00293183" w:rsidRPr="00273A6F" w:rsidRDefault="00293183" w:rsidP="003A1647">
            <w:pPr>
              <w:rPr>
                <w:color w:val="000000"/>
                <w:u w:val="single"/>
              </w:rPr>
            </w:pPr>
            <w:r w:rsidRPr="00273A6F">
              <w:rPr>
                <w:color w:val="000000"/>
                <w:u w:val="single"/>
              </w:rPr>
              <w:t>Step by step instructions:</w:t>
            </w:r>
          </w:p>
          <w:p w14:paraId="6480BB6A" w14:textId="77777777" w:rsidR="00293183" w:rsidRPr="00FD5D52" w:rsidRDefault="00293183" w:rsidP="003A1647">
            <w:pPr>
              <w:pStyle w:val="ListParagraph"/>
              <w:numPr>
                <w:ilvl w:val="0"/>
                <w:numId w:val="7"/>
              </w:numPr>
              <w:spacing w:after="160"/>
              <w:rPr>
                <w:b/>
                <w:bCs/>
                <w:color w:val="000000"/>
              </w:rPr>
            </w:pPr>
            <w:r w:rsidRPr="00FD5D52">
              <w:rPr>
                <w:b/>
                <w:bCs/>
                <w:color w:val="000000"/>
              </w:rPr>
              <w:t xml:space="preserve">Data pull </w:t>
            </w:r>
          </w:p>
          <w:p w14:paraId="2D4F6C5A" w14:textId="77777777" w:rsidR="00E774F0" w:rsidRPr="00E774F0" w:rsidRDefault="00E774F0" w:rsidP="00E774F0">
            <w:pPr>
              <w:pStyle w:val="ListParagraph"/>
              <w:numPr>
                <w:ilvl w:val="0"/>
                <w:numId w:val="8"/>
              </w:numPr>
              <w:rPr>
                <w:color w:val="000000"/>
              </w:rPr>
            </w:pPr>
            <w:r w:rsidRPr="00E774F0">
              <w:rPr>
                <w:color w:val="000000"/>
              </w:rPr>
              <w:t>Pull admission between April 1, 2020 and October 31, 2021 with a positive COVID-19 PCR/NAAT test and/or a U07.1 ICD-10 diagnosis code</w:t>
            </w:r>
          </w:p>
          <w:p w14:paraId="5AFC80DA" w14:textId="77777777" w:rsidR="00E774F0" w:rsidRPr="00E774F0" w:rsidRDefault="00E774F0" w:rsidP="00E774F0">
            <w:pPr>
              <w:pStyle w:val="ListParagraph"/>
              <w:numPr>
                <w:ilvl w:val="0"/>
                <w:numId w:val="8"/>
              </w:numPr>
              <w:rPr>
                <w:color w:val="000000"/>
              </w:rPr>
            </w:pPr>
            <w:r w:rsidRPr="00E774F0">
              <w:rPr>
                <w:color w:val="000000"/>
              </w:rPr>
              <w:t>The index date will be listed as the date of the positive PCR test if one is available, if not it will be the date of the first U07.1 ICD code</w:t>
            </w:r>
          </w:p>
          <w:p w14:paraId="23E801F7" w14:textId="77777777" w:rsidR="00E774F0" w:rsidRPr="00E774F0" w:rsidRDefault="00E774F0" w:rsidP="00E774F0">
            <w:pPr>
              <w:pStyle w:val="ListParagraph"/>
              <w:numPr>
                <w:ilvl w:val="0"/>
                <w:numId w:val="8"/>
              </w:numPr>
              <w:rPr>
                <w:color w:val="000000"/>
              </w:rPr>
            </w:pPr>
            <w:r w:rsidRPr="00E774F0">
              <w:rPr>
                <w:color w:val="000000"/>
              </w:rPr>
              <w:lastRenderedPageBreak/>
              <w:t>Within the window period (3 days before or up to 30 days after the index date) pull all phenotype ICD/CPT codes (attached spreadsheet, 6th page) including the codes that will only be used for exclusion</w:t>
            </w:r>
          </w:p>
          <w:p w14:paraId="16A0213F" w14:textId="77777777" w:rsidR="00E774F0" w:rsidRPr="00E774F0" w:rsidRDefault="00E774F0" w:rsidP="00E774F0">
            <w:pPr>
              <w:pStyle w:val="ListParagraph"/>
              <w:numPr>
                <w:ilvl w:val="0"/>
                <w:numId w:val="8"/>
              </w:numPr>
              <w:rPr>
                <w:color w:val="000000"/>
              </w:rPr>
            </w:pPr>
            <w:r w:rsidRPr="00E774F0">
              <w:rPr>
                <w:color w:val="000000"/>
              </w:rPr>
              <w:t>Within the window period pull troponin values for these patients and exclude any patients without a troponin value greater than upper limit of normal for your test within the window period</w:t>
            </w:r>
          </w:p>
          <w:p w14:paraId="311C03B1" w14:textId="77777777" w:rsidR="00E774F0" w:rsidRDefault="00E774F0" w:rsidP="00E774F0">
            <w:pPr>
              <w:pStyle w:val="ListParagraph"/>
              <w:numPr>
                <w:ilvl w:val="0"/>
                <w:numId w:val="8"/>
              </w:numPr>
              <w:spacing w:after="160"/>
              <w:rPr>
                <w:color w:val="000000"/>
              </w:rPr>
            </w:pPr>
            <w:r w:rsidRPr="00E774F0">
              <w:rPr>
                <w:color w:val="000000"/>
              </w:rPr>
              <w:t>Determine how many patients have at least one ICD/CPT code for each phenotype in addition to the elevated troponin (</w:t>
            </w:r>
            <w:proofErr w:type="gramStart"/>
            <w:r w:rsidRPr="00E774F0">
              <w:rPr>
                <w:color w:val="000000"/>
              </w:rPr>
              <w:t>i.e.</w:t>
            </w:r>
            <w:proofErr w:type="gramEnd"/>
            <w:r w:rsidRPr="00E774F0">
              <w:rPr>
                <w:color w:val="000000"/>
              </w:rPr>
              <w:t xml:space="preserve"> stress cardiomyopathy n=X, myocarditis n=X, etc) </w:t>
            </w:r>
          </w:p>
          <w:p w14:paraId="588B928D" w14:textId="279F9B78" w:rsidR="00293183" w:rsidRPr="00DE6634" w:rsidRDefault="00293183" w:rsidP="00E774F0">
            <w:pPr>
              <w:pStyle w:val="ListParagraph"/>
              <w:spacing w:after="160"/>
              <w:ind w:left="1080"/>
              <w:rPr>
                <w:color w:val="000000"/>
              </w:rPr>
            </w:pPr>
            <w:r w:rsidRPr="00F524AF">
              <w:rPr>
                <w:color w:val="000000"/>
              </w:rPr>
              <w:br w:type="page"/>
            </w:r>
          </w:p>
          <w:p w14:paraId="7D82123F" w14:textId="1248B9A6" w:rsidR="00293183" w:rsidRDefault="00293183" w:rsidP="003A1647">
            <w:pPr>
              <w:pStyle w:val="ListParagraph"/>
              <w:numPr>
                <w:ilvl w:val="0"/>
                <w:numId w:val="7"/>
              </w:numPr>
              <w:spacing w:after="160"/>
              <w:rPr>
                <w:b/>
                <w:bCs/>
                <w:color w:val="000000"/>
              </w:rPr>
            </w:pPr>
            <w:r w:rsidRPr="00DE6634">
              <w:rPr>
                <w:b/>
                <w:bCs/>
                <w:color w:val="000000"/>
              </w:rPr>
              <w:t xml:space="preserve">Chart </w:t>
            </w:r>
            <w:r w:rsidR="002D2CB4">
              <w:rPr>
                <w:b/>
                <w:bCs/>
                <w:color w:val="000000"/>
              </w:rPr>
              <w:t>r</w:t>
            </w:r>
            <w:r w:rsidRPr="00DE6634">
              <w:rPr>
                <w:b/>
                <w:bCs/>
                <w:color w:val="000000"/>
              </w:rPr>
              <w:t>eview</w:t>
            </w:r>
            <w:r w:rsidR="002D2CB4">
              <w:rPr>
                <w:b/>
                <w:bCs/>
                <w:color w:val="000000"/>
              </w:rPr>
              <w:t xml:space="preserve"> for validating site(s)</w:t>
            </w:r>
            <w:r>
              <w:rPr>
                <w:b/>
                <w:bCs/>
                <w:color w:val="000000"/>
              </w:rPr>
              <w:t>:</w:t>
            </w:r>
          </w:p>
          <w:p w14:paraId="46002358" w14:textId="5069B0AF" w:rsidR="00293183" w:rsidRPr="00F22373" w:rsidRDefault="00F22373" w:rsidP="003A1647">
            <w:pPr>
              <w:pStyle w:val="ListParagraph"/>
              <w:numPr>
                <w:ilvl w:val="0"/>
                <w:numId w:val="11"/>
              </w:numPr>
              <w:spacing w:after="160"/>
              <w:rPr>
                <w:color w:val="000000"/>
              </w:rPr>
            </w:pPr>
            <w:bookmarkStart w:id="1" w:name="_Hlk98600907"/>
            <w:r w:rsidRPr="00F22373">
              <w:rPr>
                <w:color w:val="000000"/>
              </w:rPr>
              <w:t xml:space="preserve">An excel file is being provided to </w:t>
            </w:r>
            <w:r w:rsidR="00A83375">
              <w:rPr>
                <w:color w:val="000000"/>
              </w:rPr>
              <w:t xml:space="preserve">the validating </w:t>
            </w:r>
            <w:r w:rsidRPr="00F22373">
              <w:rPr>
                <w:color w:val="000000"/>
              </w:rPr>
              <w:t>site</w:t>
            </w:r>
            <w:r w:rsidR="00A83375">
              <w:rPr>
                <w:color w:val="000000"/>
              </w:rPr>
              <w:t>(</w:t>
            </w:r>
            <w:r w:rsidRPr="00F22373">
              <w:rPr>
                <w:color w:val="000000"/>
              </w:rPr>
              <w:t>s</w:t>
            </w:r>
            <w:r w:rsidR="00A83375">
              <w:rPr>
                <w:color w:val="000000"/>
              </w:rPr>
              <w:t>)</w:t>
            </w:r>
            <w:r w:rsidRPr="00F22373">
              <w:rPr>
                <w:color w:val="000000"/>
              </w:rPr>
              <w:t xml:space="preserve"> that contains 6 pages: one for each of the 5 cardiovascular phenotypes, and one containing all ICD/CPT codes that should be extracted to determine inclusion/exclusion into one of the 5 cardiovascular phenotypes.</w:t>
            </w:r>
          </w:p>
          <w:p w14:paraId="120EF89E" w14:textId="1CACAB32" w:rsidR="00F22373" w:rsidRDefault="009D17C7" w:rsidP="003A1647">
            <w:pPr>
              <w:pStyle w:val="ListParagraph"/>
              <w:numPr>
                <w:ilvl w:val="0"/>
                <w:numId w:val="11"/>
              </w:numPr>
              <w:spacing w:after="160"/>
              <w:rPr>
                <w:color w:val="000000"/>
              </w:rPr>
            </w:pPr>
            <w:bookmarkStart w:id="2" w:name="_Hlk98600940"/>
            <w:bookmarkEnd w:id="1"/>
            <w:r>
              <w:rPr>
                <w:color w:val="000000"/>
              </w:rPr>
              <w:t>Specific instructions are as follows:</w:t>
            </w:r>
          </w:p>
          <w:bookmarkEnd w:id="2"/>
          <w:p w14:paraId="28354C1D" w14:textId="418D190A" w:rsidR="009D17C7" w:rsidRDefault="009D17C7" w:rsidP="009D17C7">
            <w:pPr>
              <w:pStyle w:val="ListParagraph"/>
              <w:numPr>
                <w:ilvl w:val="0"/>
                <w:numId w:val="22"/>
              </w:numPr>
              <w:spacing w:after="160"/>
              <w:rPr>
                <w:color w:val="000000"/>
              </w:rPr>
            </w:pPr>
            <w:r>
              <w:rPr>
                <w:color w:val="000000"/>
              </w:rPr>
              <w:t>Stress cardiomyopathy: Columns A-M contain data that can be directly pulled and entered. Columns N-V contain data that need to be manually abstracted by chart review. Column W is for any comments the abstractor wishes to enter. Column X contains the diagnostic criteria needed for the abstractor to determine the answer for column N.</w:t>
            </w:r>
          </w:p>
          <w:p w14:paraId="52CEAF26" w14:textId="4CB4722D" w:rsidR="009D17C7" w:rsidRDefault="009D17C7" w:rsidP="009D17C7">
            <w:pPr>
              <w:pStyle w:val="ListParagraph"/>
              <w:numPr>
                <w:ilvl w:val="0"/>
                <w:numId w:val="22"/>
              </w:numPr>
              <w:spacing w:after="160"/>
              <w:rPr>
                <w:color w:val="000000"/>
              </w:rPr>
            </w:pPr>
            <w:r>
              <w:rPr>
                <w:color w:val="000000"/>
              </w:rPr>
              <w:t>Myocarditis: Columns A-N contain data that can be directly pulled and entered. Columns O-R contain data that need to be manually abstracted by chart review. Column S is for any comments the abstractor wishes to enter. Column T contains the diagnostic criteria needed for the abstractor to determine the answer for column O.</w:t>
            </w:r>
          </w:p>
          <w:p w14:paraId="53A5003A" w14:textId="23F4FF6E" w:rsidR="009D17C7" w:rsidRDefault="009D17C7" w:rsidP="009D17C7">
            <w:pPr>
              <w:pStyle w:val="ListParagraph"/>
              <w:numPr>
                <w:ilvl w:val="0"/>
                <w:numId w:val="22"/>
              </w:numPr>
              <w:spacing w:after="160"/>
              <w:rPr>
                <w:color w:val="000000"/>
              </w:rPr>
            </w:pPr>
            <w:r>
              <w:rPr>
                <w:color w:val="000000"/>
              </w:rPr>
              <w:t>Pericarditis: Columns A-N contain data that can be directly pulled and entered. Columns O-P contain data that need to be manually abstracted by chart review. Column Q is for any comments the abstractor wishes to enter. Column R contains the diagnostic criteria needed for the abstractor to determine the answer for column O.</w:t>
            </w:r>
          </w:p>
          <w:p w14:paraId="3B497601" w14:textId="286E0C04" w:rsidR="009D17C7" w:rsidRPr="003979CD" w:rsidRDefault="009D17C7" w:rsidP="00CF185D">
            <w:pPr>
              <w:pStyle w:val="ListParagraph"/>
              <w:numPr>
                <w:ilvl w:val="0"/>
                <w:numId w:val="22"/>
              </w:numPr>
              <w:spacing w:after="160"/>
              <w:rPr>
                <w:color w:val="000000"/>
              </w:rPr>
            </w:pPr>
            <w:r w:rsidRPr="003979CD">
              <w:rPr>
                <w:color w:val="000000"/>
              </w:rPr>
              <w:t xml:space="preserve">Acute pulmonary embolism: Columns A-M contain data that can be directly pulled and entered. Column </w:t>
            </w:r>
            <w:r w:rsidR="003979CD" w:rsidRPr="003979CD">
              <w:rPr>
                <w:color w:val="000000"/>
              </w:rPr>
              <w:t>N</w:t>
            </w:r>
            <w:r w:rsidRPr="003979CD">
              <w:rPr>
                <w:color w:val="000000"/>
              </w:rPr>
              <w:t xml:space="preserve"> contain</w:t>
            </w:r>
            <w:r w:rsidR="003979CD" w:rsidRPr="003979CD">
              <w:rPr>
                <w:color w:val="000000"/>
              </w:rPr>
              <w:t>s</w:t>
            </w:r>
            <w:r w:rsidRPr="003979CD">
              <w:rPr>
                <w:color w:val="000000"/>
              </w:rPr>
              <w:t xml:space="preserve"> data that need to be manually abstracted by chart review. Column </w:t>
            </w:r>
            <w:r w:rsidR="003979CD" w:rsidRPr="003979CD">
              <w:rPr>
                <w:color w:val="000000"/>
              </w:rPr>
              <w:t>O</w:t>
            </w:r>
            <w:r w:rsidRPr="003979CD">
              <w:rPr>
                <w:color w:val="000000"/>
              </w:rPr>
              <w:t xml:space="preserve"> is for any comments the abstractor wishes to enter. </w:t>
            </w:r>
          </w:p>
          <w:p w14:paraId="5D02FC6E" w14:textId="0F3D69DE" w:rsidR="003979CD" w:rsidRDefault="003979CD" w:rsidP="003979CD">
            <w:pPr>
              <w:pStyle w:val="ListParagraph"/>
              <w:numPr>
                <w:ilvl w:val="0"/>
                <w:numId w:val="22"/>
              </w:numPr>
              <w:spacing w:after="160"/>
              <w:rPr>
                <w:color w:val="000000"/>
              </w:rPr>
            </w:pPr>
            <w:r>
              <w:rPr>
                <w:color w:val="000000"/>
              </w:rPr>
              <w:t>Acute myocardial infarction: Columns A-S contain data that can be directly pulled and entered. Columns T-V contain data that need to be manually abstracted by chart review. Column W is for any comments the abstractor wishes to enter. Column X contains the diagnostic criteria needed for the abstractor to determine the answer for column T-U.</w:t>
            </w:r>
          </w:p>
          <w:p w14:paraId="3D76E3DB" w14:textId="0C40E40D" w:rsidR="009D17C7" w:rsidRDefault="009D17C7" w:rsidP="003979CD">
            <w:pPr>
              <w:pStyle w:val="ListParagraph"/>
              <w:spacing w:after="160"/>
              <w:ind w:left="1440"/>
              <w:rPr>
                <w:color w:val="000000"/>
              </w:rPr>
            </w:pPr>
          </w:p>
          <w:p w14:paraId="5E425382" w14:textId="6B7025FE" w:rsidR="00F22373" w:rsidRDefault="00F22373" w:rsidP="003A1647">
            <w:pPr>
              <w:pStyle w:val="ListParagraph"/>
              <w:numPr>
                <w:ilvl w:val="0"/>
                <w:numId w:val="11"/>
              </w:numPr>
              <w:spacing w:after="160"/>
              <w:rPr>
                <w:color w:val="000000"/>
              </w:rPr>
            </w:pPr>
            <w:r>
              <w:rPr>
                <w:color w:val="000000"/>
              </w:rPr>
              <w:t xml:space="preserve">The </w:t>
            </w:r>
            <w:r w:rsidR="00083913">
              <w:rPr>
                <w:color w:val="000000"/>
              </w:rPr>
              <w:t xml:space="preserve">phenotypes and </w:t>
            </w:r>
            <w:r>
              <w:rPr>
                <w:color w:val="000000"/>
              </w:rPr>
              <w:t>number of charts to be reviewed</w:t>
            </w:r>
            <w:r w:rsidR="00083913">
              <w:rPr>
                <w:color w:val="000000"/>
              </w:rPr>
              <w:t xml:space="preserve"> per phenotype</w:t>
            </w:r>
            <w:r>
              <w:rPr>
                <w:color w:val="000000"/>
              </w:rPr>
              <w:t xml:space="preserve"> can be determined on</w:t>
            </w:r>
            <w:r w:rsidR="002D2CB4">
              <w:rPr>
                <w:color w:val="000000"/>
              </w:rPr>
              <w:t xml:space="preserve"> the</w:t>
            </w:r>
            <w:r>
              <w:rPr>
                <w:color w:val="000000"/>
              </w:rPr>
              <w:t xml:space="preserve"> institutional level depending on manpower/bandwidth to perform chart review. Several of the phenotypes are likely to only have a limited number of “possible” charts to review (stress cardiomyopathy, myocarditis, pericarditis) and it may be possible to review all charts for </w:t>
            </w:r>
            <w:r>
              <w:rPr>
                <w:color w:val="000000"/>
              </w:rPr>
              <w:lastRenderedPageBreak/>
              <w:t xml:space="preserve">these phenotypes, while others are likely to have </w:t>
            </w:r>
            <w:r w:rsidR="00E45B73">
              <w:rPr>
                <w:color w:val="000000"/>
              </w:rPr>
              <w:t>many</w:t>
            </w:r>
            <w:r>
              <w:rPr>
                <w:color w:val="000000"/>
              </w:rPr>
              <w:t xml:space="preserve"> charts (acute </w:t>
            </w:r>
            <w:r w:rsidR="002D2CB4">
              <w:rPr>
                <w:color w:val="000000"/>
              </w:rPr>
              <w:t>pulmonary embolism</w:t>
            </w:r>
            <w:r>
              <w:rPr>
                <w:color w:val="000000"/>
              </w:rPr>
              <w:t xml:space="preserve"> and </w:t>
            </w:r>
            <w:r w:rsidR="002D2CB4">
              <w:rPr>
                <w:color w:val="000000"/>
              </w:rPr>
              <w:t>a</w:t>
            </w:r>
            <w:r>
              <w:rPr>
                <w:color w:val="000000"/>
              </w:rPr>
              <w:t xml:space="preserve">cute </w:t>
            </w:r>
            <w:r w:rsidR="002D2CB4">
              <w:rPr>
                <w:color w:val="000000"/>
              </w:rPr>
              <w:t>myocardial infarction</w:t>
            </w:r>
            <w:r>
              <w:rPr>
                <w:color w:val="000000"/>
              </w:rPr>
              <w:t>) and only reviewing a limited number would be sufficient (perhaps as many as 50 per phenotype, although any chart review, even at a smaller number, will be helpful).</w:t>
            </w:r>
          </w:p>
          <w:p w14:paraId="3128D1BD" w14:textId="63853EF1" w:rsidR="00F22373" w:rsidRDefault="00F22373" w:rsidP="003A1647">
            <w:pPr>
              <w:pStyle w:val="ListParagraph"/>
              <w:numPr>
                <w:ilvl w:val="0"/>
                <w:numId w:val="11"/>
              </w:numPr>
              <w:spacing w:after="160"/>
              <w:rPr>
                <w:color w:val="000000"/>
              </w:rPr>
            </w:pPr>
            <w:r>
              <w:rPr>
                <w:color w:val="000000"/>
              </w:rPr>
              <w:t xml:space="preserve">For the stress cardiomyopathy phenotype, this includes gathering information to compare the commonly used </w:t>
            </w:r>
            <w:proofErr w:type="spellStart"/>
            <w:r>
              <w:rPr>
                <w:color w:val="000000"/>
              </w:rPr>
              <w:t>InterTAK</w:t>
            </w:r>
            <w:proofErr w:type="spellEnd"/>
            <w:r>
              <w:rPr>
                <w:color w:val="000000"/>
              </w:rPr>
              <w:t xml:space="preserve"> diagnostic score compared to the algorithm’s identification of stress cardiomyopathy. </w:t>
            </w:r>
          </w:p>
          <w:p w14:paraId="6BB47FFA" w14:textId="0F45FD1F" w:rsidR="00F22373" w:rsidRPr="00F22373" w:rsidRDefault="00F22373" w:rsidP="003A1647">
            <w:pPr>
              <w:pStyle w:val="ListParagraph"/>
              <w:numPr>
                <w:ilvl w:val="0"/>
                <w:numId w:val="11"/>
              </w:numPr>
              <w:spacing w:after="160"/>
              <w:rPr>
                <w:color w:val="000000"/>
              </w:rPr>
            </w:pPr>
            <w:r>
              <w:rPr>
                <w:color w:val="000000"/>
              </w:rPr>
              <w:t>The completed</w:t>
            </w:r>
            <w:r w:rsidR="002D2CB4">
              <w:rPr>
                <w:color w:val="000000"/>
              </w:rPr>
              <w:t xml:space="preserve"> (deidentified data)</w:t>
            </w:r>
            <w:r>
              <w:rPr>
                <w:color w:val="000000"/>
              </w:rPr>
              <w:t xml:space="preserve"> excel sheets for each participating site will then be returned </w:t>
            </w:r>
            <w:r w:rsidR="002D2CB4">
              <w:rPr>
                <w:color w:val="000000"/>
              </w:rPr>
              <w:t xml:space="preserve">to the Mayo Clinic team </w:t>
            </w:r>
            <w:r>
              <w:rPr>
                <w:color w:val="000000"/>
              </w:rPr>
              <w:t>for data analysis and final iterations of the algorithms.</w:t>
            </w:r>
          </w:p>
          <w:p w14:paraId="1681D54D" w14:textId="77777777" w:rsidR="00293183" w:rsidRDefault="00293183" w:rsidP="003A1647">
            <w:pPr>
              <w:rPr>
                <w:color w:val="000000"/>
              </w:rPr>
            </w:pPr>
            <w:r>
              <w:rPr>
                <w:color w:val="000000"/>
              </w:rPr>
              <w:br w:type="page"/>
            </w:r>
          </w:p>
          <w:p w14:paraId="0DE0A81E" w14:textId="0BE34CD9" w:rsidR="00293183" w:rsidRDefault="00F22373" w:rsidP="003A1647">
            <w:pPr>
              <w:pStyle w:val="ListParagraph"/>
              <w:numPr>
                <w:ilvl w:val="0"/>
                <w:numId w:val="7"/>
              </w:numPr>
              <w:spacing w:after="160"/>
              <w:rPr>
                <w:b/>
                <w:bCs/>
                <w:color w:val="000000"/>
              </w:rPr>
            </w:pPr>
            <w:r>
              <w:rPr>
                <w:b/>
                <w:bCs/>
                <w:color w:val="000000"/>
              </w:rPr>
              <w:t>Algorithm implementation</w:t>
            </w:r>
            <w:r w:rsidR="002D2CB4">
              <w:rPr>
                <w:b/>
                <w:bCs/>
                <w:color w:val="000000"/>
              </w:rPr>
              <w:t xml:space="preserve"> and analysis</w:t>
            </w:r>
          </w:p>
          <w:p w14:paraId="658F1B24" w14:textId="17086F6F" w:rsidR="00293183" w:rsidRDefault="00F22373" w:rsidP="003A1647">
            <w:pPr>
              <w:pStyle w:val="ListParagraph"/>
              <w:numPr>
                <w:ilvl w:val="0"/>
                <w:numId w:val="12"/>
              </w:numPr>
              <w:spacing w:after="160"/>
              <w:rPr>
                <w:color w:val="000000"/>
              </w:rPr>
            </w:pPr>
            <w:r>
              <w:rPr>
                <w:color w:val="000000"/>
              </w:rPr>
              <w:t>Once the final iterations of the algorithms are complete, pseudocode and/or R code will be distributed to all participating sites (including those that are interested that could not contribute to the chart review).</w:t>
            </w:r>
          </w:p>
          <w:p w14:paraId="49351067" w14:textId="39BBDE34" w:rsidR="00F22373" w:rsidRDefault="00F22373" w:rsidP="003A1647">
            <w:pPr>
              <w:pStyle w:val="ListParagraph"/>
              <w:numPr>
                <w:ilvl w:val="0"/>
                <w:numId w:val="12"/>
              </w:numPr>
              <w:spacing w:after="160"/>
              <w:rPr>
                <w:color w:val="000000"/>
              </w:rPr>
            </w:pPr>
            <w:r>
              <w:rPr>
                <w:color w:val="000000"/>
              </w:rPr>
              <w:t xml:space="preserve">These sites will implement the algorithms on their entire EHR datasets and will provide </w:t>
            </w:r>
            <w:r w:rsidR="002D2CB4">
              <w:rPr>
                <w:color w:val="000000"/>
              </w:rPr>
              <w:t>the deidentified results</w:t>
            </w:r>
            <w:r>
              <w:rPr>
                <w:color w:val="000000"/>
              </w:rPr>
              <w:t xml:space="preserve"> that can be combined between sites</w:t>
            </w:r>
            <w:r w:rsidR="002D2CB4">
              <w:rPr>
                <w:color w:val="000000"/>
              </w:rPr>
              <w:t xml:space="preserve"> (data format will be provided in the supplied code)</w:t>
            </w:r>
            <w:r>
              <w:rPr>
                <w:color w:val="000000"/>
              </w:rPr>
              <w:t xml:space="preserve">. </w:t>
            </w:r>
          </w:p>
          <w:p w14:paraId="77484568" w14:textId="68D9BB36" w:rsidR="002D2CB4" w:rsidRPr="005F44E2" w:rsidRDefault="002D2CB4" w:rsidP="003A1647">
            <w:pPr>
              <w:pStyle w:val="ListParagraph"/>
              <w:numPr>
                <w:ilvl w:val="0"/>
                <w:numId w:val="12"/>
              </w:numPr>
              <w:spacing w:after="160"/>
              <w:rPr>
                <w:color w:val="000000"/>
              </w:rPr>
            </w:pPr>
            <w:r>
              <w:rPr>
                <w:color w:val="000000"/>
              </w:rPr>
              <w:t xml:space="preserve">A variety of outcomes will be assessed. These can be further determined by the group but will include at least </w:t>
            </w:r>
            <w:r>
              <w:t>the short-term outcomes of these cohorts including need for intensive care unit (ICU) level of care, length of index hospitalization, 30-day re-hospitalization rate, and 30-day mortality rate. Once established, these cohorts can also be followed in the future to re-assess mid-term and long-term outcomes.</w:t>
            </w:r>
          </w:p>
          <w:p w14:paraId="51FA79D4" w14:textId="7F509673" w:rsidR="000A12A3" w:rsidRDefault="00293183" w:rsidP="003A1647">
            <w:pPr>
              <w:rPr>
                <w:rFonts w:asciiTheme="majorHAnsi" w:hAnsiTheme="majorHAnsi" w:cstheme="majorHAnsi"/>
                <w:sz w:val="22"/>
                <w:szCs w:val="22"/>
              </w:rPr>
            </w:pPr>
            <w:r>
              <w:rPr>
                <w:color w:val="000000"/>
              </w:rPr>
              <w:br w:type="page"/>
            </w:r>
          </w:p>
          <w:p w14:paraId="40461DB7" w14:textId="43A5FD7D" w:rsidR="000A12A3" w:rsidRPr="008673B8" w:rsidRDefault="000A12A3" w:rsidP="003A1647">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72411F">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72411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38F08E6" w:rsidR="00C367EC"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EndPr/>
              <w:sdtContent>
                <w:r w:rsidR="0029318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5B893E76" w:rsidR="00C367EC"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030F6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71FC9BA8" w:rsidR="00C367EC"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030F6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60C03F84" w:rsidR="00C367EC"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79960691" w:rsidR="00B845FF"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40E06F96" w:rsidR="00C367EC"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1"/>
                  <w14:checkedState w14:val="2612" w14:font="MS Gothic"/>
                  <w14:uncheckedState w14:val="2610" w14:font="MS Gothic"/>
                </w14:checkbox>
              </w:sdtPr>
              <w:sdtEndPr/>
              <w:sdtContent>
                <w:r w:rsidR="00030F6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2CE23AAE" w:rsidR="00C367EC" w:rsidRDefault="008125E0"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6E3CB6E1" w14:textId="2CF65926" w:rsidR="00EF6963" w:rsidRDefault="00EF6963" w:rsidP="00D5597C">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p>
          <w:p w14:paraId="6EBF0C4F" w14:textId="45753360" w:rsidR="00C367EC" w:rsidRPr="00376326" w:rsidRDefault="008125E0" w:rsidP="00CF6036">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 xml:space="preserve">Case/Control status </w:t>
            </w:r>
          </w:p>
        </w:tc>
      </w:tr>
      <w:tr w:rsidR="0025109A" w:rsidRPr="005F7C97" w14:paraId="12AAA7B2" w14:textId="77777777" w:rsidTr="0072411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72411F">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93273D"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I-III Merged set (HRC imputed, GWAS)</w:t>
            </w:r>
          </w:p>
          <w:p w14:paraId="0175EB89" w14:textId="3FD8BEC1" w:rsidR="00376326"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A14096" w:rsidRPr="00D5597C">
              <w:rPr>
                <w:rFonts w:asciiTheme="majorHAnsi" w:hAnsiTheme="majorHAnsi" w:cstheme="majorHAnsi"/>
                <w:sz w:val="22"/>
                <w:szCs w:val="22"/>
              </w:rPr>
              <w:t>eMERGE</w:t>
            </w:r>
            <w:proofErr w:type="spellEnd"/>
            <w:r w:rsidR="00A14096" w:rsidRPr="00D5597C">
              <w:rPr>
                <w:rFonts w:asciiTheme="majorHAnsi" w:hAnsiTheme="majorHAnsi" w:cstheme="majorHAnsi"/>
                <w:sz w:val="22"/>
                <w:szCs w:val="22"/>
              </w:rPr>
              <w:t xml:space="preserve"> PGx/</w:t>
            </w:r>
            <w:proofErr w:type="spellStart"/>
            <w:r w:rsidR="00A14096" w:rsidRPr="00D5597C">
              <w:rPr>
                <w:rFonts w:asciiTheme="majorHAnsi" w:hAnsiTheme="majorHAnsi" w:cstheme="majorHAnsi"/>
                <w:sz w:val="22"/>
                <w:szCs w:val="22"/>
              </w:rPr>
              <w:t>PGRNseq</w:t>
            </w:r>
            <w:proofErr w:type="spellEnd"/>
            <w:r w:rsidR="00A14096" w:rsidRPr="00D5597C">
              <w:rPr>
                <w:rFonts w:asciiTheme="majorHAnsi" w:hAnsiTheme="majorHAnsi" w:cstheme="majorHAnsi"/>
                <w:sz w:val="22"/>
                <w:szCs w:val="22"/>
              </w:rPr>
              <w:t xml:space="preserve"> data set </w:t>
            </w:r>
          </w:p>
          <w:p w14:paraId="23D993BB" w14:textId="3BB2D79B" w:rsidR="00376326"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eMERGEseq</w:t>
            </w:r>
            <w:proofErr w:type="spellEnd"/>
            <w:r w:rsidR="00376326" w:rsidRPr="00D5597C">
              <w:rPr>
                <w:rFonts w:asciiTheme="majorHAnsi" w:hAnsiTheme="majorHAnsi" w:cstheme="majorHAnsi"/>
                <w:sz w:val="22"/>
                <w:szCs w:val="22"/>
              </w:rPr>
              <w:t xml:space="preserve"> data set (Phase III)</w:t>
            </w:r>
          </w:p>
          <w:p w14:paraId="6D051FCF" w14:textId="585D3A7F" w:rsidR="00376326"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Exome chip data set</w:t>
            </w:r>
          </w:p>
          <w:p w14:paraId="4C7B91CA" w14:textId="4C87E3D0" w:rsidR="00376326"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Whole Exome sequencing data set</w:t>
            </w:r>
          </w:p>
          <w:p w14:paraId="02A57161" w14:textId="54718A1A" w:rsidR="00571D40"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72411F">
            <w:pPr>
              <w:rPr>
                <w:rFonts w:ascii="Calibri Light" w:hAnsi="Calibri Light"/>
                <w:b/>
                <w:sz w:val="22"/>
              </w:rPr>
            </w:pPr>
            <w:r w:rsidRPr="00505697">
              <w:rPr>
                <w:rFonts w:ascii="Calibri Light" w:hAnsi="Calibri Light"/>
                <w:b/>
                <w:sz w:val="22"/>
              </w:rPr>
              <w:t xml:space="preserve">Does project pertain to an existing </w:t>
            </w:r>
            <w:proofErr w:type="spellStart"/>
            <w:r w:rsidRPr="00505697">
              <w:rPr>
                <w:rFonts w:ascii="Calibri Light" w:hAnsi="Calibri Light"/>
                <w:b/>
                <w:sz w:val="22"/>
              </w:rPr>
              <w:t>eMERGE</w:t>
            </w:r>
            <w:proofErr w:type="spellEnd"/>
            <w:r w:rsidRPr="00505697">
              <w:rPr>
                <w:rFonts w:ascii="Calibri Light" w:hAnsi="Calibri Light"/>
                <w:b/>
                <w:sz w:val="22"/>
              </w:rPr>
              <w:t xml:space="preserve"> Phenotype</w:t>
            </w:r>
            <w:r w:rsidR="00595E27" w:rsidRPr="0050569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18EAFE49" w:rsidR="0063131E" w:rsidRPr="00D5597C" w:rsidRDefault="008125E0"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083F39">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72411F">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72411F">
            <w:pPr>
              <w:rPr>
                <w:rFonts w:asciiTheme="majorHAnsi" w:hAnsiTheme="majorHAnsi" w:cstheme="majorHAnsi"/>
                <w:sz w:val="22"/>
                <w:szCs w:val="22"/>
              </w:rPr>
            </w:pPr>
          </w:p>
          <w:p w14:paraId="18EFD397" w14:textId="3C70010D" w:rsidR="0093273D" w:rsidRDefault="0093273D" w:rsidP="0072411F">
            <w:pPr>
              <w:rPr>
                <w:rFonts w:asciiTheme="majorHAnsi" w:hAnsiTheme="majorHAnsi" w:cstheme="majorHAnsi"/>
                <w:sz w:val="22"/>
                <w:szCs w:val="22"/>
              </w:rPr>
            </w:pPr>
          </w:p>
          <w:p w14:paraId="2FE5237E" w14:textId="427DE28D" w:rsidR="000A12A3" w:rsidRDefault="000A12A3" w:rsidP="0072411F">
            <w:pPr>
              <w:rPr>
                <w:rFonts w:asciiTheme="majorHAnsi" w:hAnsiTheme="majorHAnsi" w:cstheme="majorHAnsi"/>
                <w:sz w:val="22"/>
                <w:szCs w:val="22"/>
              </w:rPr>
            </w:pPr>
          </w:p>
          <w:p w14:paraId="726925C5" w14:textId="33C478F1" w:rsidR="000A12A3" w:rsidRDefault="000A12A3" w:rsidP="0072411F">
            <w:pPr>
              <w:rPr>
                <w:rFonts w:asciiTheme="majorHAnsi" w:hAnsiTheme="majorHAnsi" w:cstheme="majorHAnsi"/>
                <w:sz w:val="22"/>
                <w:szCs w:val="22"/>
              </w:rPr>
            </w:pPr>
          </w:p>
          <w:p w14:paraId="13608534" w14:textId="77777777" w:rsidR="000A12A3" w:rsidRPr="008673B8" w:rsidRDefault="000A12A3" w:rsidP="0072411F">
            <w:pPr>
              <w:rPr>
                <w:rFonts w:asciiTheme="majorHAnsi" w:hAnsiTheme="majorHAnsi" w:cstheme="majorHAnsi"/>
                <w:sz w:val="22"/>
                <w:szCs w:val="22"/>
              </w:rPr>
            </w:pPr>
          </w:p>
          <w:p w14:paraId="43950299" w14:textId="77777777" w:rsidR="0093273D" w:rsidRPr="008673B8" w:rsidRDefault="0093273D" w:rsidP="0072411F">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72411F">
            <w:pPr>
              <w:rPr>
                <w:rFonts w:asciiTheme="majorHAnsi" w:hAnsiTheme="majorHAnsi" w:cstheme="majorHAnsi"/>
                <w:sz w:val="22"/>
                <w:szCs w:val="22"/>
              </w:rPr>
            </w:pPr>
          </w:p>
          <w:p w14:paraId="4E264CE2" w14:textId="77777777" w:rsidR="0093273D" w:rsidRPr="008673B8" w:rsidRDefault="0093273D" w:rsidP="0072411F">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72411F">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72411F">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72411F">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04F972B" w:rsidR="000A12A3" w:rsidRPr="002D2CB4" w:rsidRDefault="00083F39" w:rsidP="0072411F">
            <w:r w:rsidRPr="002D2CB4">
              <w:t>JA</w:t>
            </w:r>
            <w:r w:rsidR="00030F6C" w:rsidRPr="002D2CB4">
              <w:t>MA Cardiology</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72411F">
            <w:pPr>
              <w:rPr>
                <w:rFonts w:ascii="Calibri Light" w:hAnsi="Calibri Light"/>
                <w:b/>
                <w:sz w:val="22"/>
              </w:rPr>
            </w:pPr>
          </w:p>
          <w:p w14:paraId="5203358F" w14:textId="77777777" w:rsidR="0093273D" w:rsidRDefault="00376326" w:rsidP="0072411F">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72411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F319BDB" w14:textId="437EB01A" w:rsidR="0093273D" w:rsidRPr="002D2CB4" w:rsidRDefault="00B671E4" w:rsidP="0072411F">
            <w:r w:rsidRPr="002D2CB4">
              <w:t>March</w:t>
            </w:r>
            <w:r w:rsidR="003B2D38" w:rsidRPr="002D2CB4">
              <w:t xml:space="preserve"> </w:t>
            </w:r>
            <w:r w:rsidR="00820A0F">
              <w:t>31</w:t>
            </w:r>
            <w:r w:rsidR="003B2D38" w:rsidRPr="002D2CB4">
              <w:t>, 202</w:t>
            </w:r>
            <w:r w:rsidR="00505697" w:rsidRPr="002D2CB4">
              <w:t>2</w:t>
            </w:r>
            <w:r w:rsidR="003B2D38" w:rsidRPr="002D2CB4">
              <w:t xml:space="preserve">: Determine </w:t>
            </w:r>
            <w:r w:rsidR="002D2CB4" w:rsidRPr="002D2CB4">
              <w:t xml:space="preserve">validating </w:t>
            </w:r>
            <w:r w:rsidR="003B2D38" w:rsidRPr="002D2CB4">
              <w:t>site</w:t>
            </w:r>
            <w:r w:rsidR="002D2CB4" w:rsidRPr="002D2CB4">
              <w:t>(s)</w:t>
            </w:r>
            <w:r w:rsidR="003B2D38" w:rsidRPr="002D2CB4">
              <w:t xml:space="preserve"> specific chart review plan</w:t>
            </w:r>
            <w:r w:rsidR="003A1647" w:rsidRPr="002D2CB4">
              <w:t xml:space="preserve"> </w:t>
            </w:r>
            <w:r w:rsidR="003F76B7" w:rsidRPr="002D2CB4">
              <w:t>/ initial data pull</w:t>
            </w:r>
          </w:p>
          <w:p w14:paraId="629791A2" w14:textId="4CCD66C8" w:rsidR="003B2D38" w:rsidRPr="002D2CB4" w:rsidRDefault="00820A0F" w:rsidP="0072411F">
            <w:r>
              <w:t>April 15</w:t>
            </w:r>
            <w:r w:rsidR="003B2D38" w:rsidRPr="002D2CB4">
              <w:t>,</w:t>
            </w:r>
            <w:r w:rsidR="003A1647" w:rsidRPr="002D2CB4">
              <w:t xml:space="preserve"> </w:t>
            </w:r>
            <w:r w:rsidR="003B2D38" w:rsidRPr="002D2CB4">
              <w:t>202</w:t>
            </w:r>
            <w:r w:rsidR="00505697" w:rsidRPr="002D2CB4">
              <w:t>2</w:t>
            </w:r>
            <w:r w:rsidR="003B2D38" w:rsidRPr="002D2CB4">
              <w:t>: Discuss issues with initial chart review</w:t>
            </w:r>
          </w:p>
          <w:p w14:paraId="6ABACEE0" w14:textId="69DAE001" w:rsidR="003B2D38" w:rsidRPr="002D2CB4" w:rsidRDefault="00820A0F" w:rsidP="0072411F">
            <w:r>
              <w:t>May 15</w:t>
            </w:r>
            <w:r w:rsidR="003B2D38" w:rsidRPr="002D2CB4">
              <w:t>, 202</w:t>
            </w:r>
            <w:r w:rsidR="00505697" w:rsidRPr="002D2CB4">
              <w:t>2</w:t>
            </w:r>
            <w:r w:rsidR="003B2D38" w:rsidRPr="002D2CB4">
              <w:t>: Deadline to submit chart reviews</w:t>
            </w:r>
          </w:p>
          <w:p w14:paraId="0B56D449" w14:textId="4FABB59F" w:rsidR="002D2CB4" w:rsidRPr="002D2CB4" w:rsidRDefault="00820A0F" w:rsidP="0072411F">
            <w:r>
              <w:t>June 15</w:t>
            </w:r>
            <w:r w:rsidR="002D2CB4" w:rsidRPr="002D2CB4">
              <w:t>, 2022: Code for final algorithm iterations will be supplied to all participating sites</w:t>
            </w:r>
          </w:p>
          <w:p w14:paraId="62E2358F" w14:textId="491AB7E3" w:rsidR="002D2CB4" w:rsidRPr="002D2CB4" w:rsidRDefault="00820A0F" w:rsidP="00247A43">
            <w:r>
              <w:t>July 15</w:t>
            </w:r>
            <w:r w:rsidR="00247A43" w:rsidRPr="002D2CB4">
              <w:t>, 202</w:t>
            </w:r>
            <w:r w:rsidR="003A1647" w:rsidRPr="002D2CB4">
              <w:t>2</w:t>
            </w:r>
            <w:r w:rsidR="00247A43" w:rsidRPr="002D2CB4">
              <w:t xml:space="preserve">: </w:t>
            </w:r>
            <w:r w:rsidR="002D2CB4" w:rsidRPr="002D2CB4">
              <w:t>All data will be returned to the Mayo Clinic group</w:t>
            </w:r>
          </w:p>
          <w:p w14:paraId="2001B7E8" w14:textId="4E4D2223" w:rsidR="00247A43" w:rsidRPr="002D2CB4" w:rsidRDefault="00820A0F" w:rsidP="00247A43">
            <w:r>
              <w:t>August 15</w:t>
            </w:r>
            <w:r w:rsidR="002D2CB4" w:rsidRPr="002D2CB4">
              <w:t xml:space="preserve">, 2022: </w:t>
            </w:r>
            <w:r w:rsidR="00247A43" w:rsidRPr="002D2CB4">
              <w:t>Data analysis</w:t>
            </w:r>
            <w:r w:rsidR="00B671E4" w:rsidRPr="002D2CB4">
              <w:t xml:space="preserve"> and manuscript draft complete</w:t>
            </w:r>
          </w:p>
          <w:p w14:paraId="4089201E" w14:textId="195B9DA0" w:rsidR="00247A43" w:rsidRPr="002D2CB4" w:rsidRDefault="00247A43" w:rsidP="006F655B"/>
        </w:tc>
      </w:tr>
    </w:tbl>
    <w:p w14:paraId="4BF2BAC8" w14:textId="77777777" w:rsidR="0072411F" w:rsidRDefault="0072411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Demographics:</w:t>
      </w:r>
      <w:r w:rsidRPr="00505697">
        <w:rPr>
          <w:rFonts w:asciiTheme="majorHAnsi" w:hAnsiTheme="majorHAnsi" w:cstheme="majorHAnsi"/>
          <w:sz w:val="22"/>
          <w:szCs w:val="22"/>
        </w:rPr>
        <w:t xml:space="preserve"> sex, year of birth, decade of birth, race, ethnicity</w:t>
      </w:r>
    </w:p>
    <w:p w14:paraId="7F01D5EB" w14:textId="10864760" w:rsidR="0025109A" w:rsidRPr="00505697" w:rsidRDefault="0025109A" w:rsidP="00B845FF">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Codes</w:t>
      </w:r>
      <w:r w:rsidRPr="00505697">
        <w:rPr>
          <w:rFonts w:ascii="Calibri" w:hAnsi="Calibri" w:cs="Calibri"/>
          <w:sz w:val="22"/>
          <w:szCs w:val="22"/>
        </w:rPr>
        <w:t xml:space="preserve">: (repeated values &amp; age at event): ICD, CPT, </w:t>
      </w:r>
      <w:proofErr w:type="spellStart"/>
      <w:r w:rsidRPr="00505697">
        <w:rPr>
          <w:rFonts w:ascii="Calibri" w:hAnsi="Calibri" w:cs="Calibri"/>
          <w:sz w:val="22"/>
          <w:szCs w:val="22"/>
        </w:rPr>
        <w:t>Phecodes</w:t>
      </w:r>
      <w:proofErr w:type="spellEnd"/>
    </w:p>
    <w:p w14:paraId="6BED64D8" w14:textId="6F4E52DB" w:rsidR="0025109A" w:rsidRPr="00505697" w:rsidRDefault="0025109A" w:rsidP="0025109A">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BMI</w:t>
      </w:r>
      <w:r w:rsidRPr="00505697">
        <w:rPr>
          <w:rFonts w:asciiTheme="majorHAnsi" w:hAnsiTheme="majorHAnsi" w:cstheme="majorHAnsi"/>
          <w:sz w:val="22"/>
          <w:szCs w:val="22"/>
        </w:rPr>
        <w:t xml:space="preserve">: </w:t>
      </w:r>
      <w:r w:rsidRPr="00505697">
        <w:rPr>
          <w:rFonts w:ascii="Calibri" w:hAnsi="Calibri" w:cs="Calibri"/>
          <w:sz w:val="22"/>
          <w:szCs w:val="22"/>
        </w:rPr>
        <w:t>(repeated value &amp; age at event) height, weight, BMI</w:t>
      </w:r>
    </w:p>
    <w:p w14:paraId="086143C4" w14:textId="710618D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Labs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(lab </w:t>
      </w:r>
      <w:r w:rsidR="0025109A" w:rsidRPr="00505697">
        <w:rPr>
          <w:rFonts w:ascii="Calibri" w:hAnsi="Calibri" w:cs="Calibri"/>
          <w:sz w:val="22"/>
          <w:szCs w:val="22"/>
        </w:rPr>
        <w:t>name, repeated lab value &amp; age at event)</w:t>
      </w:r>
      <w:r w:rsidRPr="00505697">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Med</w:t>
      </w:r>
      <w:r w:rsidR="0025109A" w:rsidRPr="00505697">
        <w:rPr>
          <w:rFonts w:asciiTheme="majorHAnsi" w:hAnsiTheme="majorHAnsi" w:cstheme="majorHAnsi"/>
          <w:sz w:val="22"/>
          <w:szCs w:val="22"/>
          <w:u w:val="single"/>
        </w:rPr>
        <w:t>ications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(medication name, repeated, &amp; age at event)</w:t>
      </w:r>
      <w:r w:rsidRPr="00505697">
        <w:rPr>
          <w:rFonts w:asciiTheme="majorHAnsi" w:hAnsiTheme="majorHAnsi" w:cstheme="majorHAnsi"/>
          <w:sz w:val="22"/>
          <w:szCs w:val="22"/>
        </w:rPr>
        <w:t xml:space="preserve"> Cerivastatin sodium, Rosuvastatin, Simvastatin, Fluvastatin, Pravastatin, Lovastatin, Atorvastatin, &amp; Pitavastatin</w:t>
      </w:r>
    </w:p>
    <w:p w14:paraId="4CA502B6" w14:textId="0549E706"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Other: Case/Control status on Phase I and Phase II phenotype:</w:t>
      </w:r>
      <w:r w:rsidRPr="00505697">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B688" w14:textId="77777777" w:rsidR="008125E0" w:rsidRDefault="008125E0" w:rsidP="0093273D">
      <w:r>
        <w:separator/>
      </w:r>
    </w:p>
  </w:endnote>
  <w:endnote w:type="continuationSeparator" w:id="0">
    <w:p w14:paraId="1F7181E4" w14:textId="77777777" w:rsidR="008125E0" w:rsidRDefault="008125E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58227F" w:rsidRPr="0093273D" w:rsidRDefault="0058227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58227F" w:rsidRDefault="0058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27EB" w14:textId="77777777" w:rsidR="008125E0" w:rsidRDefault="008125E0" w:rsidP="0093273D">
      <w:r>
        <w:separator/>
      </w:r>
    </w:p>
  </w:footnote>
  <w:footnote w:type="continuationSeparator" w:id="0">
    <w:p w14:paraId="592089AA" w14:textId="77777777" w:rsidR="008125E0" w:rsidRDefault="008125E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58227F" w:rsidRDefault="0058227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7"/>
    <w:multiLevelType w:val="hybridMultilevel"/>
    <w:tmpl w:val="C432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5FC9"/>
    <w:multiLevelType w:val="multilevel"/>
    <w:tmpl w:val="C52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4EE"/>
    <w:multiLevelType w:val="hybridMultilevel"/>
    <w:tmpl w:val="7FF0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00697"/>
    <w:multiLevelType w:val="hybridMultilevel"/>
    <w:tmpl w:val="094CE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7F47E3"/>
    <w:multiLevelType w:val="hybridMultilevel"/>
    <w:tmpl w:val="3AAE7580"/>
    <w:lvl w:ilvl="0" w:tplc="4378E5E4">
      <w:start w:val="1"/>
      <w:numFmt w:val="bullet"/>
      <w:lvlText w:val="•"/>
      <w:lvlJc w:val="left"/>
      <w:pPr>
        <w:tabs>
          <w:tab w:val="num" w:pos="720"/>
        </w:tabs>
        <w:ind w:left="720" w:hanging="360"/>
      </w:pPr>
      <w:rPr>
        <w:rFonts w:ascii="Arial" w:hAnsi="Arial" w:hint="default"/>
      </w:rPr>
    </w:lvl>
    <w:lvl w:ilvl="1" w:tplc="096CD2BC">
      <w:start w:val="26390"/>
      <w:numFmt w:val="bullet"/>
      <w:lvlText w:val="•"/>
      <w:lvlJc w:val="left"/>
      <w:pPr>
        <w:tabs>
          <w:tab w:val="num" w:pos="1440"/>
        </w:tabs>
        <w:ind w:left="1440" w:hanging="360"/>
      </w:pPr>
      <w:rPr>
        <w:rFonts w:ascii="Arial" w:hAnsi="Arial" w:hint="default"/>
      </w:rPr>
    </w:lvl>
    <w:lvl w:ilvl="2" w:tplc="0ADAC5C0" w:tentative="1">
      <w:start w:val="1"/>
      <w:numFmt w:val="bullet"/>
      <w:lvlText w:val="•"/>
      <w:lvlJc w:val="left"/>
      <w:pPr>
        <w:tabs>
          <w:tab w:val="num" w:pos="2160"/>
        </w:tabs>
        <w:ind w:left="2160" w:hanging="360"/>
      </w:pPr>
      <w:rPr>
        <w:rFonts w:ascii="Arial" w:hAnsi="Arial" w:hint="default"/>
      </w:rPr>
    </w:lvl>
    <w:lvl w:ilvl="3" w:tplc="D676E74C" w:tentative="1">
      <w:start w:val="1"/>
      <w:numFmt w:val="bullet"/>
      <w:lvlText w:val="•"/>
      <w:lvlJc w:val="left"/>
      <w:pPr>
        <w:tabs>
          <w:tab w:val="num" w:pos="2880"/>
        </w:tabs>
        <w:ind w:left="2880" w:hanging="360"/>
      </w:pPr>
      <w:rPr>
        <w:rFonts w:ascii="Arial" w:hAnsi="Arial" w:hint="default"/>
      </w:rPr>
    </w:lvl>
    <w:lvl w:ilvl="4" w:tplc="0136BE76" w:tentative="1">
      <w:start w:val="1"/>
      <w:numFmt w:val="bullet"/>
      <w:lvlText w:val="•"/>
      <w:lvlJc w:val="left"/>
      <w:pPr>
        <w:tabs>
          <w:tab w:val="num" w:pos="3600"/>
        </w:tabs>
        <w:ind w:left="3600" w:hanging="360"/>
      </w:pPr>
      <w:rPr>
        <w:rFonts w:ascii="Arial" w:hAnsi="Arial" w:hint="default"/>
      </w:rPr>
    </w:lvl>
    <w:lvl w:ilvl="5" w:tplc="479CA9C8" w:tentative="1">
      <w:start w:val="1"/>
      <w:numFmt w:val="bullet"/>
      <w:lvlText w:val="•"/>
      <w:lvlJc w:val="left"/>
      <w:pPr>
        <w:tabs>
          <w:tab w:val="num" w:pos="4320"/>
        </w:tabs>
        <w:ind w:left="4320" w:hanging="360"/>
      </w:pPr>
      <w:rPr>
        <w:rFonts w:ascii="Arial" w:hAnsi="Arial" w:hint="default"/>
      </w:rPr>
    </w:lvl>
    <w:lvl w:ilvl="6" w:tplc="D1EA9AF6" w:tentative="1">
      <w:start w:val="1"/>
      <w:numFmt w:val="bullet"/>
      <w:lvlText w:val="•"/>
      <w:lvlJc w:val="left"/>
      <w:pPr>
        <w:tabs>
          <w:tab w:val="num" w:pos="5040"/>
        </w:tabs>
        <w:ind w:left="5040" w:hanging="360"/>
      </w:pPr>
      <w:rPr>
        <w:rFonts w:ascii="Arial" w:hAnsi="Arial" w:hint="default"/>
      </w:rPr>
    </w:lvl>
    <w:lvl w:ilvl="7" w:tplc="5484A6FA" w:tentative="1">
      <w:start w:val="1"/>
      <w:numFmt w:val="bullet"/>
      <w:lvlText w:val="•"/>
      <w:lvlJc w:val="left"/>
      <w:pPr>
        <w:tabs>
          <w:tab w:val="num" w:pos="5760"/>
        </w:tabs>
        <w:ind w:left="5760" w:hanging="360"/>
      </w:pPr>
      <w:rPr>
        <w:rFonts w:ascii="Arial" w:hAnsi="Arial" w:hint="default"/>
      </w:rPr>
    </w:lvl>
    <w:lvl w:ilvl="8" w:tplc="2DAECB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C13396"/>
    <w:multiLevelType w:val="hybridMultilevel"/>
    <w:tmpl w:val="1436A9CE"/>
    <w:lvl w:ilvl="0" w:tplc="B21ECA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160947"/>
    <w:multiLevelType w:val="hybridMultilevel"/>
    <w:tmpl w:val="16FAE788"/>
    <w:lvl w:ilvl="0" w:tplc="56D8F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84381"/>
    <w:multiLevelType w:val="hybridMultilevel"/>
    <w:tmpl w:val="E9CA7302"/>
    <w:lvl w:ilvl="0" w:tplc="9A2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60E8"/>
    <w:multiLevelType w:val="hybridMultilevel"/>
    <w:tmpl w:val="5076407E"/>
    <w:lvl w:ilvl="0" w:tplc="9CB4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97F9F"/>
    <w:multiLevelType w:val="hybridMultilevel"/>
    <w:tmpl w:val="F71A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70E35"/>
    <w:multiLevelType w:val="hybridMultilevel"/>
    <w:tmpl w:val="CC325784"/>
    <w:lvl w:ilvl="0" w:tplc="0942772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13CC9"/>
    <w:multiLevelType w:val="hybridMultilevel"/>
    <w:tmpl w:val="2D4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70C56"/>
    <w:multiLevelType w:val="hybridMultilevel"/>
    <w:tmpl w:val="527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433CB"/>
    <w:multiLevelType w:val="hybridMultilevel"/>
    <w:tmpl w:val="1C02DFD0"/>
    <w:lvl w:ilvl="0" w:tplc="EDC4078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4802"/>
    <w:multiLevelType w:val="hybridMultilevel"/>
    <w:tmpl w:val="09348A54"/>
    <w:lvl w:ilvl="0" w:tplc="5E405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15C01"/>
    <w:multiLevelType w:val="hybridMultilevel"/>
    <w:tmpl w:val="C4FEF7E4"/>
    <w:lvl w:ilvl="0" w:tplc="C95EB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812FD"/>
    <w:multiLevelType w:val="hybridMultilevel"/>
    <w:tmpl w:val="B46ACB84"/>
    <w:lvl w:ilvl="0" w:tplc="AD50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8"/>
  </w:num>
  <w:num w:numId="4">
    <w:abstractNumId w:val="7"/>
  </w:num>
  <w:num w:numId="5">
    <w:abstractNumId w:val="2"/>
  </w:num>
  <w:num w:numId="6">
    <w:abstractNumId w:val="13"/>
  </w:num>
  <w:num w:numId="7">
    <w:abstractNumId w:val="14"/>
  </w:num>
  <w:num w:numId="8">
    <w:abstractNumId w:val="11"/>
  </w:num>
  <w:num w:numId="9">
    <w:abstractNumId w:val="21"/>
  </w:num>
  <w:num w:numId="10">
    <w:abstractNumId w:val="15"/>
  </w:num>
  <w:num w:numId="11">
    <w:abstractNumId w:val="0"/>
  </w:num>
  <w:num w:numId="12">
    <w:abstractNumId w:val="20"/>
  </w:num>
  <w:num w:numId="13">
    <w:abstractNumId w:val="16"/>
  </w:num>
  <w:num w:numId="14">
    <w:abstractNumId w:val="4"/>
  </w:num>
  <w:num w:numId="15">
    <w:abstractNumId w:val="19"/>
  </w:num>
  <w:num w:numId="16">
    <w:abstractNumId w:val="9"/>
  </w:num>
  <w:num w:numId="17">
    <w:abstractNumId w:val="10"/>
  </w:num>
  <w:num w:numId="18">
    <w:abstractNumId w:val="3"/>
  </w:num>
  <w:num w:numId="19">
    <w:abstractNumId w:val="18"/>
  </w:num>
  <w:num w:numId="20">
    <w:abstractNumId w:val="6"/>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bYwMjIzNjcyMjdT0lEKTi0uzszPAykwrAUAwXKwSywAAAA="/>
  </w:docVars>
  <w:rsids>
    <w:rsidRoot w:val="0093273D"/>
    <w:rsid w:val="00005CB2"/>
    <w:rsid w:val="0001617D"/>
    <w:rsid w:val="0002040E"/>
    <w:rsid w:val="00027468"/>
    <w:rsid w:val="00030B2F"/>
    <w:rsid w:val="00030F6C"/>
    <w:rsid w:val="00041941"/>
    <w:rsid w:val="00045915"/>
    <w:rsid w:val="00050F45"/>
    <w:rsid w:val="00056976"/>
    <w:rsid w:val="00061A7E"/>
    <w:rsid w:val="0007246C"/>
    <w:rsid w:val="000726B0"/>
    <w:rsid w:val="0008110F"/>
    <w:rsid w:val="00082219"/>
    <w:rsid w:val="00083913"/>
    <w:rsid w:val="00083F39"/>
    <w:rsid w:val="00085AF3"/>
    <w:rsid w:val="00087BF0"/>
    <w:rsid w:val="00093AB2"/>
    <w:rsid w:val="000A12A3"/>
    <w:rsid w:val="000B7654"/>
    <w:rsid w:val="000E772E"/>
    <w:rsid w:val="001058DD"/>
    <w:rsid w:val="00106085"/>
    <w:rsid w:val="0011190A"/>
    <w:rsid w:val="00117500"/>
    <w:rsid w:val="00122106"/>
    <w:rsid w:val="001727D0"/>
    <w:rsid w:val="001859C5"/>
    <w:rsid w:val="001C03A8"/>
    <w:rsid w:val="001C4336"/>
    <w:rsid w:val="001D3C4C"/>
    <w:rsid w:val="001E2DE8"/>
    <w:rsid w:val="001F0B61"/>
    <w:rsid w:val="001F3540"/>
    <w:rsid w:val="00223660"/>
    <w:rsid w:val="00246B62"/>
    <w:rsid w:val="00247A43"/>
    <w:rsid w:val="0025109A"/>
    <w:rsid w:val="002704F6"/>
    <w:rsid w:val="00273CA8"/>
    <w:rsid w:val="00293183"/>
    <w:rsid w:val="00296525"/>
    <w:rsid w:val="002D0F97"/>
    <w:rsid w:val="002D2CB4"/>
    <w:rsid w:val="002E040B"/>
    <w:rsid w:val="003108FE"/>
    <w:rsid w:val="00376326"/>
    <w:rsid w:val="003979CD"/>
    <w:rsid w:val="003A1647"/>
    <w:rsid w:val="003B0639"/>
    <w:rsid w:val="003B2D38"/>
    <w:rsid w:val="003F367E"/>
    <w:rsid w:val="003F76B7"/>
    <w:rsid w:val="00441685"/>
    <w:rsid w:val="0046550F"/>
    <w:rsid w:val="004716A6"/>
    <w:rsid w:val="00485C0D"/>
    <w:rsid w:val="004D7F55"/>
    <w:rsid w:val="004E0E86"/>
    <w:rsid w:val="004E104D"/>
    <w:rsid w:val="004E5331"/>
    <w:rsid w:val="004F3A7C"/>
    <w:rsid w:val="004F55E2"/>
    <w:rsid w:val="00505697"/>
    <w:rsid w:val="00525512"/>
    <w:rsid w:val="00567211"/>
    <w:rsid w:val="00567F29"/>
    <w:rsid w:val="00571D40"/>
    <w:rsid w:val="0058227F"/>
    <w:rsid w:val="00594CF3"/>
    <w:rsid w:val="00595E27"/>
    <w:rsid w:val="005A1334"/>
    <w:rsid w:val="005A1528"/>
    <w:rsid w:val="005A7DBC"/>
    <w:rsid w:val="005B49BC"/>
    <w:rsid w:val="005D5B84"/>
    <w:rsid w:val="005D680D"/>
    <w:rsid w:val="005E0FF2"/>
    <w:rsid w:val="005E7CDD"/>
    <w:rsid w:val="00612488"/>
    <w:rsid w:val="00612C74"/>
    <w:rsid w:val="00614403"/>
    <w:rsid w:val="006166BF"/>
    <w:rsid w:val="00625689"/>
    <w:rsid w:val="0063131E"/>
    <w:rsid w:val="00631F82"/>
    <w:rsid w:val="006A63CD"/>
    <w:rsid w:val="006C0F8E"/>
    <w:rsid w:val="006D0E8D"/>
    <w:rsid w:val="006E6C0C"/>
    <w:rsid w:val="006F1F65"/>
    <w:rsid w:val="006F655B"/>
    <w:rsid w:val="006F7183"/>
    <w:rsid w:val="00702039"/>
    <w:rsid w:val="0072411F"/>
    <w:rsid w:val="00743B44"/>
    <w:rsid w:val="00766323"/>
    <w:rsid w:val="007A6833"/>
    <w:rsid w:val="007C7501"/>
    <w:rsid w:val="007D434E"/>
    <w:rsid w:val="007D7B06"/>
    <w:rsid w:val="007F119A"/>
    <w:rsid w:val="007F3F81"/>
    <w:rsid w:val="00804CCB"/>
    <w:rsid w:val="008059FE"/>
    <w:rsid w:val="008125E0"/>
    <w:rsid w:val="00820A0F"/>
    <w:rsid w:val="008542C0"/>
    <w:rsid w:val="008673B8"/>
    <w:rsid w:val="00870367"/>
    <w:rsid w:val="00882658"/>
    <w:rsid w:val="00886387"/>
    <w:rsid w:val="008B0CE2"/>
    <w:rsid w:val="008B3CD1"/>
    <w:rsid w:val="008B4E4B"/>
    <w:rsid w:val="008B5711"/>
    <w:rsid w:val="008B754A"/>
    <w:rsid w:val="008C2527"/>
    <w:rsid w:val="008E12C6"/>
    <w:rsid w:val="008E1DBD"/>
    <w:rsid w:val="00900D3C"/>
    <w:rsid w:val="00910853"/>
    <w:rsid w:val="00912BE5"/>
    <w:rsid w:val="00916D38"/>
    <w:rsid w:val="0093273D"/>
    <w:rsid w:val="00934EAD"/>
    <w:rsid w:val="009350EE"/>
    <w:rsid w:val="00936128"/>
    <w:rsid w:val="00954B6D"/>
    <w:rsid w:val="0095704C"/>
    <w:rsid w:val="0096273A"/>
    <w:rsid w:val="009A57A8"/>
    <w:rsid w:val="009B1A61"/>
    <w:rsid w:val="009D17C7"/>
    <w:rsid w:val="009D2F0C"/>
    <w:rsid w:val="009D42D2"/>
    <w:rsid w:val="00A14096"/>
    <w:rsid w:val="00A16D66"/>
    <w:rsid w:val="00A437E9"/>
    <w:rsid w:val="00A54084"/>
    <w:rsid w:val="00A621C3"/>
    <w:rsid w:val="00A63B94"/>
    <w:rsid w:val="00A674F0"/>
    <w:rsid w:val="00A726E3"/>
    <w:rsid w:val="00A80166"/>
    <w:rsid w:val="00A83375"/>
    <w:rsid w:val="00AA42B2"/>
    <w:rsid w:val="00AC47DD"/>
    <w:rsid w:val="00AD002A"/>
    <w:rsid w:val="00AE5369"/>
    <w:rsid w:val="00AE5A73"/>
    <w:rsid w:val="00AF4A9C"/>
    <w:rsid w:val="00AF586E"/>
    <w:rsid w:val="00B254E7"/>
    <w:rsid w:val="00B53C80"/>
    <w:rsid w:val="00B62202"/>
    <w:rsid w:val="00B65486"/>
    <w:rsid w:val="00B671E4"/>
    <w:rsid w:val="00B671E8"/>
    <w:rsid w:val="00B71A7A"/>
    <w:rsid w:val="00B845FF"/>
    <w:rsid w:val="00B97BE0"/>
    <w:rsid w:val="00BA470D"/>
    <w:rsid w:val="00BE638E"/>
    <w:rsid w:val="00C05126"/>
    <w:rsid w:val="00C05FC6"/>
    <w:rsid w:val="00C17B9F"/>
    <w:rsid w:val="00C367EC"/>
    <w:rsid w:val="00C419AF"/>
    <w:rsid w:val="00C7068D"/>
    <w:rsid w:val="00C82B1A"/>
    <w:rsid w:val="00C90856"/>
    <w:rsid w:val="00C9195C"/>
    <w:rsid w:val="00CA67F5"/>
    <w:rsid w:val="00CB18ED"/>
    <w:rsid w:val="00CB7144"/>
    <w:rsid w:val="00CE2167"/>
    <w:rsid w:val="00CE3AF5"/>
    <w:rsid w:val="00CF0DA6"/>
    <w:rsid w:val="00CF4A67"/>
    <w:rsid w:val="00CF6036"/>
    <w:rsid w:val="00D15214"/>
    <w:rsid w:val="00D36BB1"/>
    <w:rsid w:val="00D5597C"/>
    <w:rsid w:val="00D924C7"/>
    <w:rsid w:val="00D93D28"/>
    <w:rsid w:val="00DB123D"/>
    <w:rsid w:val="00DD4574"/>
    <w:rsid w:val="00E10DA5"/>
    <w:rsid w:val="00E14111"/>
    <w:rsid w:val="00E24786"/>
    <w:rsid w:val="00E27172"/>
    <w:rsid w:val="00E32F41"/>
    <w:rsid w:val="00E37345"/>
    <w:rsid w:val="00E42292"/>
    <w:rsid w:val="00E44445"/>
    <w:rsid w:val="00E45699"/>
    <w:rsid w:val="00E45B73"/>
    <w:rsid w:val="00E774F0"/>
    <w:rsid w:val="00E82632"/>
    <w:rsid w:val="00EA7989"/>
    <w:rsid w:val="00EC0BA7"/>
    <w:rsid w:val="00EF60C9"/>
    <w:rsid w:val="00EF6963"/>
    <w:rsid w:val="00F1752F"/>
    <w:rsid w:val="00F22373"/>
    <w:rsid w:val="00F2358F"/>
    <w:rsid w:val="00F3332A"/>
    <w:rsid w:val="00F4302F"/>
    <w:rsid w:val="00F8630B"/>
    <w:rsid w:val="00F8798E"/>
    <w:rsid w:val="00FA709D"/>
    <w:rsid w:val="00FB22BD"/>
    <w:rsid w:val="00FB4B8A"/>
    <w:rsid w:val="00FC07F4"/>
    <w:rsid w:val="00FD49BF"/>
    <w:rsid w:val="00FD5D52"/>
    <w:rsid w:val="00FE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table" w:styleId="GridTable2">
    <w:name w:val="Grid Table 2"/>
    <w:basedOn w:val="TableNormal"/>
    <w:uiPriority w:val="47"/>
    <w:rsid w:val="002931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63B94"/>
    <w:rPr>
      <w:color w:val="0000FF"/>
      <w:u w:val="single"/>
    </w:rPr>
  </w:style>
  <w:style w:type="table" w:styleId="TableGrid">
    <w:name w:val="Table Grid"/>
    <w:basedOn w:val="TableNormal"/>
    <w:uiPriority w:val="39"/>
    <w:rsid w:val="008B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437E9"/>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437E9"/>
    <w:rPr>
      <w:rFonts w:ascii="Calibri" w:hAnsi="Calibri" w:cs="Calibri"/>
      <w:noProof/>
    </w:rPr>
  </w:style>
  <w:style w:type="character" w:styleId="UnresolvedMention">
    <w:name w:val="Unresolved Mention"/>
    <w:basedOn w:val="DefaultParagraphFont"/>
    <w:uiPriority w:val="99"/>
    <w:semiHidden/>
    <w:unhideWhenUsed/>
    <w:rsid w:val="00612488"/>
    <w:rPr>
      <w:color w:val="605E5C"/>
      <w:shd w:val="clear" w:color="auto" w:fill="E1DFDD"/>
    </w:rPr>
  </w:style>
  <w:style w:type="character" w:styleId="Strong">
    <w:name w:val="Strong"/>
    <w:basedOn w:val="DefaultParagraphFont"/>
    <w:uiPriority w:val="22"/>
    <w:qFormat/>
    <w:rsid w:val="00804CCB"/>
    <w:rPr>
      <w:b/>
      <w:bCs/>
    </w:rPr>
  </w:style>
  <w:style w:type="paragraph" w:styleId="Revision">
    <w:name w:val="Revision"/>
    <w:hidden/>
    <w:uiPriority w:val="99"/>
    <w:semiHidden/>
    <w:rsid w:val="00AE53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1283">
      <w:bodyDiv w:val="1"/>
      <w:marLeft w:val="0"/>
      <w:marRight w:val="0"/>
      <w:marTop w:val="0"/>
      <w:marBottom w:val="0"/>
      <w:divBdr>
        <w:top w:val="none" w:sz="0" w:space="0" w:color="auto"/>
        <w:left w:val="none" w:sz="0" w:space="0" w:color="auto"/>
        <w:bottom w:val="none" w:sz="0" w:space="0" w:color="auto"/>
        <w:right w:val="none" w:sz="0" w:space="0" w:color="auto"/>
      </w:divBdr>
      <w:divsChild>
        <w:div w:id="1837575199">
          <w:marLeft w:val="360"/>
          <w:marRight w:val="0"/>
          <w:marTop w:val="200"/>
          <w:marBottom w:val="0"/>
          <w:divBdr>
            <w:top w:val="none" w:sz="0" w:space="0" w:color="auto"/>
            <w:left w:val="none" w:sz="0" w:space="0" w:color="auto"/>
            <w:bottom w:val="none" w:sz="0" w:space="0" w:color="auto"/>
            <w:right w:val="none" w:sz="0" w:space="0" w:color="auto"/>
          </w:divBdr>
        </w:div>
        <w:div w:id="641228259">
          <w:marLeft w:val="360"/>
          <w:marRight w:val="0"/>
          <w:marTop w:val="200"/>
          <w:marBottom w:val="0"/>
          <w:divBdr>
            <w:top w:val="none" w:sz="0" w:space="0" w:color="auto"/>
            <w:left w:val="none" w:sz="0" w:space="0" w:color="auto"/>
            <w:bottom w:val="none" w:sz="0" w:space="0" w:color="auto"/>
            <w:right w:val="none" w:sz="0" w:space="0" w:color="auto"/>
          </w:divBdr>
        </w:div>
        <w:div w:id="818108845">
          <w:marLeft w:val="360"/>
          <w:marRight w:val="0"/>
          <w:marTop w:val="200"/>
          <w:marBottom w:val="0"/>
          <w:divBdr>
            <w:top w:val="none" w:sz="0" w:space="0" w:color="auto"/>
            <w:left w:val="none" w:sz="0" w:space="0" w:color="auto"/>
            <w:bottom w:val="none" w:sz="0" w:space="0" w:color="auto"/>
            <w:right w:val="none" w:sz="0" w:space="0" w:color="auto"/>
          </w:divBdr>
        </w:div>
        <w:div w:id="1007751189">
          <w:marLeft w:val="360"/>
          <w:marRight w:val="0"/>
          <w:marTop w:val="200"/>
          <w:marBottom w:val="0"/>
          <w:divBdr>
            <w:top w:val="none" w:sz="0" w:space="0" w:color="auto"/>
            <w:left w:val="none" w:sz="0" w:space="0" w:color="auto"/>
            <w:bottom w:val="none" w:sz="0" w:space="0" w:color="auto"/>
            <w:right w:val="none" w:sz="0" w:space="0" w:color="auto"/>
          </w:divBdr>
        </w:div>
      </w:divsChild>
    </w:div>
    <w:div w:id="538055434">
      <w:bodyDiv w:val="1"/>
      <w:marLeft w:val="0"/>
      <w:marRight w:val="0"/>
      <w:marTop w:val="0"/>
      <w:marBottom w:val="0"/>
      <w:divBdr>
        <w:top w:val="none" w:sz="0" w:space="0" w:color="auto"/>
        <w:left w:val="none" w:sz="0" w:space="0" w:color="auto"/>
        <w:bottom w:val="none" w:sz="0" w:space="0" w:color="auto"/>
        <w:right w:val="none" w:sz="0" w:space="0" w:color="auto"/>
      </w:divBdr>
    </w:div>
    <w:div w:id="577251505">
      <w:bodyDiv w:val="1"/>
      <w:marLeft w:val="0"/>
      <w:marRight w:val="0"/>
      <w:marTop w:val="0"/>
      <w:marBottom w:val="0"/>
      <w:divBdr>
        <w:top w:val="none" w:sz="0" w:space="0" w:color="auto"/>
        <w:left w:val="none" w:sz="0" w:space="0" w:color="auto"/>
        <w:bottom w:val="none" w:sz="0" w:space="0" w:color="auto"/>
        <w:right w:val="none" w:sz="0" w:space="0" w:color="auto"/>
      </w:divBdr>
    </w:div>
    <w:div w:id="719284004">
      <w:bodyDiv w:val="1"/>
      <w:marLeft w:val="0"/>
      <w:marRight w:val="0"/>
      <w:marTop w:val="0"/>
      <w:marBottom w:val="0"/>
      <w:divBdr>
        <w:top w:val="none" w:sz="0" w:space="0" w:color="auto"/>
        <w:left w:val="none" w:sz="0" w:space="0" w:color="auto"/>
        <w:bottom w:val="none" w:sz="0" w:space="0" w:color="auto"/>
        <w:right w:val="none" w:sz="0" w:space="0" w:color="auto"/>
      </w:divBdr>
      <w:divsChild>
        <w:div w:id="887378828">
          <w:marLeft w:val="360"/>
          <w:marRight w:val="0"/>
          <w:marTop w:val="200"/>
          <w:marBottom w:val="0"/>
          <w:divBdr>
            <w:top w:val="none" w:sz="0" w:space="0" w:color="auto"/>
            <w:left w:val="none" w:sz="0" w:space="0" w:color="auto"/>
            <w:bottom w:val="none" w:sz="0" w:space="0" w:color="auto"/>
            <w:right w:val="none" w:sz="0" w:space="0" w:color="auto"/>
          </w:divBdr>
        </w:div>
        <w:div w:id="1675374065">
          <w:marLeft w:val="1080"/>
          <w:marRight w:val="0"/>
          <w:marTop w:val="100"/>
          <w:marBottom w:val="0"/>
          <w:divBdr>
            <w:top w:val="none" w:sz="0" w:space="0" w:color="auto"/>
            <w:left w:val="none" w:sz="0" w:space="0" w:color="auto"/>
            <w:bottom w:val="none" w:sz="0" w:space="0" w:color="auto"/>
            <w:right w:val="none" w:sz="0" w:space="0" w:color="auto"/>
          </w:divBdr>
        </w:div>
        <w:div w:id="250432773">
          <w:marLeft w:val="1080"/>
          <w:marRight w:val="0"/>
          <w:marTop w:val="100"/>
          <w:marBottom w:val="0"/>
          <w:divBdr>
            <w:top w:val="none" w:sz="0" w:space="0" w:color="auto"/>
            <w:left w:val="none" w:sz="0" w:space="0" w:color="auto"/>
            <w:bottom w:val="none" w:sz="0" w:space="0" w:color="auto"/>
            <w:right w:val="none" w:sz="0" w:space="0" w:color="auto"/>
          </w:divBdr>
        </w:div>
        <w:div w:id="2050375905">
          <w:marLeft w:val="1080"/>
          <w:marRight w:val="0"/>
          <w:marTop w:val="100"/>
          <w:marBottom w:val="0"/>
          <w:divBdr>
            <w:top w:val="none" w:sz="0" w:space="0" w:color="auto"/>
            <w:left w:val="none" w:sz="0" w:space="0" w:color="auto"/>
            <w:bottom w:val="none" w:sz="0" w:space="0" w:color="auto"/>
            <w:right w:val="none" w:sz="0" w:space="0" w:color="auto"/>
          </w:divBdr>
        </w:div>
        <w:div w:id="1972980091">
          <w:marLeft w:val="1080"/>
          <w:marRight w:val="0"/>
          <w:marTop w:val="100"/>
          <w:marBottom w:val="0"/>
          <w:divBdr>
            <w:top w:val="none" w:sz="0" w:space="0" w:color="auto"/>
            <w:left w:val="none" w:sz="0" w:space="0" w:color="auto"/>
            <w:bottom w:val="none" w:sz="0" w:space="0" w:color="auto"/>
            <w:right w:val="none" w:sz="0" w:space="0" w:color="auto"/>
          </w:divBdr>
        </w:div>
        <w:div w:id="29451682">
          <w:marLeft w:val="1080"/>
          <w:marRight w:val="0"/>
          <w:marTop w:val="100"/>
          <w:marBottom w:val="0"/>
          <w:divBdr>
            <w:top w:val="none" w:sz="0" w:space="0" w:color="auto"/>
            <w:left w:val="none" w:sz="0" w:space="0" w:color="auto"/>
            <w:bottom w:val="none" w:sz="0" w:space="0" w:color="auto"/>
            <w:right w:val="none" w:sz="0" w:space="0" w:color="auto"/>
          </w:divBdr>
        </w:div>
      </w:divsChild>
    </w:div>
    <w:div w:id="849182575">
      <w:bodyDiv w:val="1"/>
      <w:marLeft w:val="0"/>
      <w:marRight w:val="0"/>
      <w:marTop w:val="0"/>
      <w:marBottom w:val="0"/>
      <w:divBdr>
        <w:top w:val="none" w:sz="0" w:space="0" w:color="auto"/>
        <w:left w:val="none" w:sz="0" w:space="0" w:color="auto"/>
        <w:bottom w:val="none" w:sz="0" w:space="0" w:color="auto"/>
        <w:right w:val="none" w:sz="0" w:space="0" w:color="auto"/>
      </w:divBdr>
      <w:divsChild>
        <w:div w:id="334236240">
          <w:marLeft w:val="0"/>
          <w:marRight w:val="0"/>
          <w:marTop w:val="0"/>
          <w:marBottom w:val="0"/>
          <w:divBdr>
            <w:top w:val="none" w:sz="0" w:space="0" w:color="auto"/>
            <w:left w:val="none" w:sz="0" w:space="0" w:color="auto"/>
            <w:bottom w:val="none" w:sz="0" w:space="0" w:color="auto"/>
            <w:right w:val="none" w:sz="0" w:space="0" w:color="auto"/>
          </w:divBdr>
          <w:divsChild>
            <w:div w:id="379088621">
              <w:marLeft w:val="0"/>
              <w:marRight w:val="0"/>
              <w:marTop w:val="0"/>
              <w:marBottom w:val="0"/>
              <w:divBdr>
                <w:top w:val="none" w:sz="0" w:space="0" w:color="auto"/>
                <w:left w:val="none" w:sz="0" w:space="0" w:color="auto"/>
                <w:bottom w:val="none" w:sz="0" w:space="0" w:color="auto"/>
                <w:right w:val="none" w:sz="0" w:space="0" w:color="auto"/>
              </w:divBdr>
            </w:div>
          </w:divsChild>
        </w:div>
        <w:div w:id="435910976">
          <w:marLeft w:val="0"/>
          <w:marRight w:val="0"/>
          <w:marTop w:val="0"/>
          <w:marBottom w:val="0"/>
          <w:divBdr>
            <w:top w:val="none" w:sz="0" w:space="0" w:color="auto"/>
            <w:left w:val="none" w:sz="0" w:space="0" w:color="auto"/>
            <w:bottom w:val="none" w:sz="0" w:space="0" w:color="auto"/>
            <w:right w:val="none" w:sz="0" w:space="0" w:color="auto"/>
          </w:divBdr>
        </w:div>
      </w:divsChild>
    </w:div>
    <w:div w:id="889463093">
      <w:bodyDiv w:val="1"/>
      <w:marLeft w:val="0"/>
      <w:marRight w:val="0"/>
      <w:marTop w:val="0"/>
      <w:marBottom w:val="0"/>
      <w:divBdr>
        <w:top w:val="none" w:sz="0" w:space="0" w:color="auto"/>
        <w:left w:val="none" w:sz="0" w:space="0" w:color="auto"/>
        <w:bottom w:val="none" w:sz="0" w:space="0" w:color="auto"/>
        <w:right w:val="none" w:sz="0" w:space="0" w:color="auto"/>
      </w:divBdr>
    </w:div>
    <w:div w:id="890654016">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21054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1/jama.2020.26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1/jama.2020.158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01/jamacardio.2020.1017" TargetMode="External"/><Relationship Id="rId4" Type="http://schemas.openxmlformats.org/officeDocument/2006/relationships/webSettings" Target="webSettings.xml"/><Relationship Id="rId9" Type="http://schemas.openxmlformats.org/officeDocument/2006/relationships/hyperlink" Target="https://doi.org/10.1001/jamacardio.2020.09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2022-04-01T16:31:00Z</dcterms:created>
  <dcterms:modified xsi:type="dcterms:W3CDTF">2022-04-01T16:31:00Z</dcterms:modified>
</cp:coreProperties>
</file>