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ED03" w14:textId="77777777" w:rsidR="00E608B4" w:rsidRDefault="00314D48">
      <w:pPr>
        <w:pStyle w:val="Default"/>
        <w:spacing w:before="100" w:after="100" w:line="240" w:lineRule="auto"/>
        <w:rPr>
          <w:rFonts w:ascii="Times New Roman" w:eastAsia="Times New Roman" w:hAnsi="Times New Roman" w:cs="Times New Roman"/>
          <w:b/>
          <w:bCs/>
          <w:u w:color="000000"/>
        </w:rPr>
      </w:pPr>
      <w:r>
        <w:rPr>
          <w:rFonts w:ascii="Times New Roman" w:hAnsi="Times New Roman"/>
          <w:b/>
          <w:bCs/>
          <w:u w:color="000000"/>
        </w:rPr>
        <w:t>APPENDIX 2: External Manuscript Concept Sheet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91"/>
        <w:gridCol w:w="3433"/>
        <w:gridCol w:w="3436"/>
      </w:tblGrid>
      <w:tr w:rsidR="00E608B4" w14:paraId="71BBED05" w14:textId="77777777">
        <w:trPr>
          <w:trHeight w:val="353"/>
        </w:trPr>
        <w:tc>
          <w:tcPr>
            <w:tcW w:w="9360" w:type="dxa"/>
            <w:gridSpan w:val="3"/>
            <w:tcBorders>
              <w:top w:val="single" w:sz="4" w:space="0" w:color="E7E6E6"/>
              <w:left w:val="nil"/>
              <w:bottom w:val="nil"/>
              <w:right w:val="nil"/>
            </w:tcBorders>
            <w:shd w:val="clear" w:color="auto" w:fill="008BCC"/>
            <w:tcMar>
              <w:top w:w="80" w:type="dxa"/>
              <w:left w:w="80" w:type="dxa"/>
              <w:bottom w:w="80" w:type="dxa"/>
              <w:right w:w="80" w:type="dxa"/>
            </w:tcMar>
            <w:vAlign w:val="center"/>
          </w:tcPr>
          <w:p w14:paraId="71BBED04" w14:textId="77777777" w:rsidR="00E608B4" w:rsidRDefault="00314D48">
            <w:pPr>
              <w:pStyle w:val="Body"/>
              <w:spacing w:before="120"/>
              <w:jc w:val="center"/>
            </w:pPr>
            <w:proofErr w:type="spellStart"/>
            <w:r>
              <w:rPr>
                <w:rFonts w:ascii="Carlito" w:hAnsi="Carlito"/>
                <w:b/>
                <w:bCs/>
                <w:color w:val="FFFFFF"/>
                <w:sz w:val="28"/>
                <w:szCs w:val="28"/>
                <w:u w:color="FFFFFF"/>
              </w:rPr>
              <w:t>eMERGE</w:t>
            </w:r>
            <w:proofErr w:type="spellEnd"/>
            <w:r>
              <w:rPr>
                <w:rFonts w:ascii="Carlito" w:hAnsi="Carlito"/>
                <w:b/>
                <w:bCs/>
                <w:color w:val="FFFFFF"/>
                <w:sz w:val="28"/>
                <w:szCs w:val="28"/>
                <w:u w:color="FFFFFF"/>
              </w:rPr>
              <w:t xml:space="preserve"> Network: </w:t>
            </w:r>
            <w:r>
              <w:rPr>
                <w:rFonts w:ascii="Carlito" w:hAnsi="Carlito"/>
                <w:b/>
                <w:bCs/>
                <w:color w:val="FFFFFF"/>
                <w:sz w:val="28"/>
                <w:szCs w:val="28"/>
                <w:u w:val="single" w:color="FFFFFF"/>
              </w:rPr>
              <w:t>External Collaborator</w:t>
            </w:r>
            <w:r>
              <w:rPr>
                <w:rFonts w:ascii="Carlito" w:hAnsi="Carlito"/>
                <w:b/>
                <w:bCs/>
                <w:color w:val="FFFFFF"/>
                <w:sz w:val="28"/>
                <w:szCs w:val="28"/>
                <w:u w:color="FFFFFF"/>
              </w:rPr>
              <w:t xml:space="preserve"> Manuscript Concept Sheet</w:t>
            </w:r>
          </w:p>
        </w:tc>
      </w:tr>
      <w:tr w:rsidR="00E608B4" w14:paraId="71BBED09" w14:textId="77777777">
        <w:trPr>
          <w:trHeight w:val="476"/>
        </w:trPr>
        <w:tc>
          <w:tcPr>
            <w:tcW w:w="2491" w:type="dxa"/>
            <w:tcBorders>
              <w:top w:val="nil"/>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06" w14:textId="77777777" w:rsidR="00E608B4" w:rsidRDefault="00314D48">
            <w:pPr>
              <w:pStyle w:val="Body"/>
              <w:rPr>
                <w:rFonts w:ascii="Carlito" w:eastAsia="Carlito" w:hAnsi="Carlito" w:cs="Carlito"/>
                <w:b/>
                <w:bCs/>
                <w:u w:color="000000"/>
              </w:rPr>
            </w:pPr>
            <w:r>
              <w:rPr>
                <w:rFonts w:ascii="Carlito" w:hAnsi="Carlito"/>
                <w:b/>
                <w:bCs/>
                <w:u w:color="000000"/>
              </w:rPr>
              <w:t xml:space="preserve">Reference Number </w:t>
            </w:r>
          </w:p>
          <w:p w14:paraId="71BBED07" w14:textId="77777777" w:rsidR="00E608B4" w:rsidRDefault="00314D48">
            <w:pPr>
              <w:pStyle w:val="Body"/>
            </w:pPr>
            <w:r>
              <w:rPr>
                <w:rFonts w:ascii="Calibri Light" w:hAnsi="Calibri Light"/>
                <w:i/>
                <w:iCs/>
                <w:u w:color="000000"/>
              </w:rPr>
              <w:t>(</w:t>
            </w:r>
            <w:proofErr w:type="gramStart"/>
            <w:r>
              <w:rPr>
                <w:rFonts w:ascii="Calibri Light" w:hAnsi="Calibri Light"/>
                <w:i/>
                <w:iCs/>
                <w:u w:color="000000"/>
              </w:rPr>
              <w:t>to</w:t>
            </w:r>
            <w:proofErr w:type="gramEnd"/>
            <w:r>
              <w:rPr>
                <w:rFonts w:ascii="Calibri Light" w:hAnsi="Calibri Light"/>
                <w:i/>
                <w:iCs/>
                <w:u w:color="000000"/>
              </w:rPr>
              <w:t xml:space="preserve"> be assigned by CC)</w:t>
            </w:r>
          </w:p>
        </w:tc>
        <w:tc>
          <w:tcPr>
            <w:tcW w:w="6868" w:type="dxa"/>
            <w:gridSpan w:val="2"/>
            <w:tcBorders>
              <w:top w:val="nil"/>
              <w:left w:val="single" w:sz="4" w:space="0" w:color="E7E6E6"/>
              <w:bottom w:val="single" w:sz="4" w:space="0" w:color="E7E6E6"/>
              <w:right w:val="nil"/>
            </w:tcBorders>
            <w:shd w:val="clear" w:color="auto" w:fill="E7EAF4"/>
            <w:tcMar>
              <w:top w:w="80" w:type="dxa"/>
              <w:left w:w="80" w:type="dxa"/>
              <w:bottom w:w="80" w:type="dxa"/>
              <w:right w:w="80" w:type="dxa"/>
            </w:tcMar>
          </w:tcPr>
          <w:p w14:paraId="71BBED08" w14:textId="6376F529" w:rsidR="00E608B4" w:rsidRDefault="00FB2E54">
            <w:r>
              <w:t>NT460</w:t>
            </w:r>
          </w:p>
        </w:tc>
      </w:tr>
      <w:tr w:rsidR="00E608B4" w14:paraId="71BBED0C" w14:textId="77777777">
        <w:trPr>
          <w:trHeight w:val="407"/>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0A" w14:textId="77777777" w:rsidR="00E608B4" w:rsidRDefault="00314D48">
            <w:pPr>
              <w:pStyle w:val="Body"/>
            </w:pPr>
            <w:r>
              <w:rPr>
                <w:rFonts w:ascii="Carlito" w:hAnsi="Carlito"/>
                <w:b/>
                <w:bCs/>
                <w:u w:color="000000"/>
              </w:rPr>
              <w:t>Submission Date</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0B" w14:textId="5120FEA2" w:rsidR="00E608B4" w:rsidRDefault="000D2936" w:rsidP="00DB1B98">
            <w:pPr>
              <w:pStyle w:val="Default"/>
              <w:spacing w:before="0" w:line="240" w:lineRule="auto"/>
            </w:pPr>
            <w:r>
              <w:rPr>
                <w:rFonts w:ascii="Calibri Light" w:hAnsi="Calibri Light"/>
                <w:sz w:val="22"/>
                <w:szCs w:val="22"/>
                <w:u w:color="000000"/>
              </w:rPr>
              <w:t>Sept. 22</w:t>
            </w:r>
            <w:r w:rsidR="00314D48">
              <w:rPr>
                <w:rFonts w:ascii="Calibri Light" w:hAnsi="Calibri Light"/>
                <w:sz w:val="22"/>
                <w:szCs w:val="22"/>
                <w:u w:color="000000"/>
              </w:rPr>
              <w:t>, 2022</w:t>
            </w:r>
          </w:p>
        </w:tc>
      </w:tr>
      <w:tr w:rsidR="00E608B4" w14:paraId="71BBED0F" w14:textId="77777777">
        <w:trPr>
          <w:trHeight w:val="1090"/>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0D" w14:textId="77777777" w:rsidR="00E608B4" w:rsidRDefault="00314D48">
            <w:pPr>
              <w:pStyle w:val="Body"/>
            </w:pPr>
            <w:r>
              <w:rPr>
                <w:rFonts w:ascii="Carlito" w:hAnsi="Carlito"/>
                <w:b/>
                <w:bCs/>
                <w:u w:color="000000"/>
              </w:rPr>
              <w:t>Project Title</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71BBED0E" w14:textId="77777777" w:rsidR="00E608B4" w:rsidRDefault="00314D48">
            <w:pPr>
              <w:pStyle w:val="Default"/>
              <w:spacing w:before="0" w:after="240" w:line="240" w:lineRule="auto"/>
            </w:pPr>
            <w:r>
              <w:rPr>
                <w:rFonts w:ascii="Times Roman" w:hAnsi="Times Roman"/>
                <w:b/>
                <w:bCs/>
                <w:sz w:val="29"/>
                <w:szCs w:val="29"/>
              </w:rPr>
              <w:t>Genotyping of surgical patients: A machine-learning tool for a future precision medicine approach for prevention of postoperative complications.</w:t>
            </w:r>
          </w:p>
        </w:tc>
      </w:tr>
      <w:tr w:rsidR="00E608B4" w14:paraId="71BBED12" w14:textId="77777777">
        <w:trPr>
          <w:trHeight w:val="622"/>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10" w14:textId="77777777" w:rsidR="00E608B4" w:rsidRDefault="00314D48">
            <w:pPr>
              <w:pStyle w:val="Body"/>
            </w:pPr>
            <w:r>
              <w:rPr>
                <w:rFonts w:ascii="Carlito" w:hAnsi="Carlito"/>
                <w:b/>
                <w:bCs/>
                <w:u w:color="000000"/>
              </w:rPr>
              <w:t xml:space="preserve">Tentative Lead Investigator </w:t>
            </w:r>
            <w:r>
              <w:rPr>
                <w:rFonts w:ascii="Calibri Light" w:hAnsi="Calibri Light"/>
                <w:i/>
                <w:iCs/>
                <w:u w:color="000000"/>
              </w:rPr>
              <w:t>(first author)</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11" w14:textId="77777777" w:rsidR="00E608B4" w:rsidRDefault="00314D48">
            <w:pPr>
              <w:pStyle w:val="Default"/>
              <w:spacing w:before="0" w:line="240" w:lineRule="auto"/>
            </w:pPr>
            <w:r>
              <w:rPr>
                <w:rFonts w:ascii="Calibri Light" w:hAnsi="Calibri Light"/>
                <w:sz w:val="22"/>
                <w:szCs w:val="22"/>
                <w:u w:color="000000"/>
              </w:rPr>
              <w:t>Mathias Christensen</w:t>
            </w:r>
          </w:p>
        </w:tc>
      </w:tr>
      <w:tr w:rsidR="00E608B4" w14:paraId="71BBED15" w14:textId="77777777">
        <w:trPr>
          <w:trHeight w:val="741"/>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13" w14:textId="77777777" w:rsidR="00E608B4" w:rsidRDefault="00314D48">
            <w:pPr>
              <w:pStyle w:val="Body"/>
            </w:pPr>
            <w:r>
              <w:rPr>
                <w:rFonts w:ascii="Carlito" w:hAnsi="Carlito"/>
                <w:b/>
                <w:bCs/>
                <w:u w:color="000000"/>
              </w:rPr>
              <w:t xml:space="preserve">Tentative Lead Investigator </w:t>
            </w:r>
            <w:proofErr w:type="gramStart"/>
            <w:r>
              <w:rPr>
                <w:rFonts w:ascii="Carlito" w:hAnsi="Carlito"/>
                <w:b/>
                <w:bCs/>
                <w:u w:color="000000"/>
              </w:rPr>
              <w:t xml:space="preserve">Email  </w:t>
            </w:r>
            <w:r>
              <w:rPr>
                <w:rFonts w:ascii="Calibri Light" w:hAnsi="Calibri Light"/>
                <w:i/>
                <w:iCs/>
                <w:u w:color="000000"/>
              </w:rPr>
              <w:t>(</w:t>
            </w:r>
            <w:proofErr w:type="gramEnd"/>
            <w:r>
              <w:rPr>
                <w:rFonts w:ascii="Calibri Light" w:hAnsi="Calibri Light"/>
                <w:i/>
                <w:iCs/>
                <w:u w:color="000000"/>
              </w:rPr>
              <w:t>first author)</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71BBED14" w14:textId="77777777" w:rsidR="00E608B4" w:rsidRDefault="00000000">
            <w:pPr>
              <w:pStyle w:val="Default"/>
              <w:spacing w:before="0" w:line="240" w:lineRule="auto"/>
            </w:pPr>
            <w:hyperlink r:id="rId10" w:history="1">
              <w:r w:rsidR="00314D48">
                <w:rPr>
                  <w:rStyle w:val="Hyperlink0"/>
                  <w:rFonts w:ascii="Calibri Light" w:hAnsi="Calibri Light"/>
                  <w:sz w:val="22"/>
                  <w:szCs w:val="22"/>
                  <w:u w:color="000000"/>
                  <w:lang w:val="nl-NL"/>
                </w:rPr>
                <w:t>mathias.aagaard.christensen@regionh.dk</w:t>
              </w:r>
            </w:hyperlink>
          </w:p>
        </w:tc>
      </w:tr>
      <w:tr w:rsidR="00E608B4" w14:paraId="71BBED19" w14:textId="77777777">
        <w:trPr>
          <w:trHeight w:val="675"/>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16" w14:textId="77777777" w:rsidR="00E608B4" w:rsidRDefault="00314D48">
            <w:pPr>
              <w:pStyle w:val="Body"/>
              <w:rPr>
                <w:rFonts w:ascii="Carlito" w:eastAsia="Carlito" w:hAnsi="Carlito" w:cs="Carlito"/>
                <w:b/>
                <w:bCs/>
                <w:u w:color="000000"/>
              </w:rPr>
            </w:pPr>
            <w:r>
              <w:rPr>
                <w:rFonts w:ascii="Carlito" w:hAnsi="Carlito"/>
                <w:b/>
                <w:bCs/>
                <w:u w:color="000000"/>
              </w:rPr>
              <w:t xml:space="preserve">Tentative Senior Author </w:t>
            </w:r>
          </w:p>
          <w:p w14:paraId="71BBED17" w14:textId="77777777" w:rsidR="00E608B4" w:rsidRDefault="00314D48">
            <w:pPr>
              <w:pStyle w:val="Body"/>
            </w:pPr>
            <w:r>
              <w:rPr>
                <w:rFonts w:ascii="Calibri Light" w:hAnsi="Calibri Light"/>
                <w:i/>
                <w:iCs/>
                <w:u w:color="000000"/>
              </w:rPr>
              <w:t>(</w:t>
            </w:r>
            <w:proofErr w:type="gramStart"/>
            <w:r>
              <w:rPr>
                <w:rFonts w:ascii="Calibri Light" w:hAnsi="Calibri Light"/>
                <w:i/>
                <w:iCs/>
                <w:u w:color="000000"/>
              </w:rPr>
              <w:t>last</w:t>
            </w:r>
            <w:proofErr w:type="gramEnd"/>
            <w:r>
              <w:rPr>
                <w:rFonts w:ascii="Calibri Light" w:hAnsi="Calibri Light"/>
                <w:i/>
                <w:iCs/>
                <w:u w:color="000000"/>
              </w:rPr>
              <w:t xml:space="preserve"> author)</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18" w14:textId="77777777" w:rsidR="00E608B4" w:rsidRDefault="00314D48">
            <w:pPr>
              <w:pStyle w:val="Body"/>
            </w:pPr>
            <w:r>
              <w:rPr>
                <w:rFonts w:ascii="Calibri Light" w:hAnsi="Calibri Light"/>
                <w:u w:color="000000"/>
              </w:rPr>
              <w:t xml:space="preserve">Martin </w:t>
            </w:r>
            <w:proofErr w:type="spellStart"/>
            <w:r>
              <w:rPr>
                <w:rFonts w:ascii="Calibri Light" w:hAnsi="Calibri Light"/>
                <w:u w:color="000000"/>
              </w:rPr>
              <w:t>Sillesen</w:t>
            </w:r>
            <w:proofErr w:type="spellEnd"/>
          </w:p>
        </w:tc>
      </w:tr>
      <w:tr w:rsidR="00E608B4" w14:paraId="71BBED1D" w14:textId="77777777">
        <w:trPr>
          <w:trHeight w:val="675"/>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1A" w14:textId="77777777" w:rsidR="00E608B4" w:rsidRDefault="00314D48">
            <w:pPr>
              <w:pStyle w:val="Body"/>
            </w:pPr>
            <w:proofErr w:type="spellStart"/>
            <w:r>
              <w:rPr>
                <w:rFonts w:ascii="Carlito" w:hAnsi="Carlito"/>
                <w:b/>
                <w:bCs/>
                <w:u w:color="000000"/>
              </w:rPr>
              <w:t>eMERGE</w:t>
            </w:r>
            <w:proofErr w:type="spellEnd"/>
            <w:r>
              <w:rPr>
                <w:rFonts w:ascii="Carlito" w:hAnsi="Carlito"/>
                <w:b/>
                <w:bCs/>
                <w:u w:color="000000"/>
              </w:rPr>
              <w:t xml:space="preserve"> Site Sponsor &amp; Contact</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71BBED1B" w14:textId="77777777" w:rsidR="00E608B4" w:rsidRDefault="00314D48">
            <w:pPr>
              <w:pStyle w:val="Default"/>
              <w:spacing w:before="0" w:line="240" w:lineRule="auto"/>
            </w:pPr>
            <w:r>
              <w:rPr>
                <w:rFonts w:ascii="Calibri Light" w:hAnsi="Calibri Light"/>
                <w:sz w:val="22"/>
                <w:szCs w:val="22"/>
                <w:u w:color="000000"/>
              </w:rPr>
              <w:t>Northwestern Memorial Hospital (Northwestern University)</w:t>
            </w:r>
          </w:p>
          <w:p w14:paraId="71BBED1C" w14:textId="77777777" w:rsidR="00E608B4" w:rsidRDefault="00314D48">
            <w:pPr>
              <w:pStyle w:val="Default"/>
              <w:spacing w:before="0" w:line="240" w:lineRule="auto"/>
            </w:pPr>
            <w:r>
              <w:rPr>
                <w:rFonts w:ascii="Calibri Light" w:hAnsi="Calibri Light"/>
                <w:sz w:val="22"/>
                <w:szCs w:val="22"/>
                <w:u w:color="000000"/>
              </w:rPr>
              <w:t xml:space="preserve">Contact: Jennifer Pacheco </w:t>
            </w:r>
          </w:p>
        </w:tc>
      </w:tr>
      <w:tr w:rsidR="00E608B4" w14:paraId="71BBED20" w14:textId="77777777">
        <w:trPr>
          <w:trHeight w:val="519"/>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1E" w14:textId="77777777" w:rsidR="00E608B4" w:rsidRDefault="00314D48">
            <w:pPr>
              <w:pStyle w:val="Body"/>
            </w:pPr>
            <w:r>
              <w:rPr>
                <w:rFonts w:ascii="Carlito" w:hAnsi="Carlito"/>
                <w:b/>
                <w:bCs/>
                <w:u w:color="000000"/>
              </w:rPr>
              <w:t xml:space="preserve">All Other Authors </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1F" w14:textId="2FDFE281" w:rsidR="00E608B4" w:rsidRDefault="00314D48">
            <w:pPr>
              <w:pStyle w:val="Body"/>
            </w:pPr>
            <w:r>
              <w:rPr>
                <w:rFonts w:ascii="Calibri Light" w:hAnsi="Calibri Light"/>
                <w:u w:color="000000"/>
              </w:rPr>
              <w:t xml:space="preserve">Kaleem Ahmed, Hasan </w:t>
            </w:r>
            <w:proofErr w:type="spellStart"/>
            <w:r>
              <w:rPr>
                <w:rFonts w:ascii="Calibri Light" w:hAnsi="Calibri Light"/>
                <w:u w:color="000000"/>
              </w:rPr>
              <w:t>Alam</w:t>
            </w:r>
            <w:proofErr w:type="spellEnd"/>
            <w:r>
              <w:rPr>
                <w:rFonts w:ascii="Calibri Light" w:hAnsi="Calibri Light"/>
                <w:u w:color="000000"/>
              </w:rPr>
              <w:t>, Jennifer Pacheco, Megan Roy-</w:t>
            </w:r>
            <w:proofErr w:type="spellStart"/>
            <w:r>
              <w:rPr>
                <w:rFonts w:ascii="Calibri Light" w:hAnsi="Calibri Light"/>
                <w:u w:color="000000"/>
              </w:rPr>
              <w:t>Puckelwartz</w:t>
            </w:r>
            <w:proofErr w:type="spellEnd"/>
            <w:r w:rsidR="00987FEC">
              <w:rPr>
                <w:rFonts w:ascii="Calibri Light" w:hAnsi="Calibri Light"/>
                <w:u w:color="000000"/>
              </w:rPr>
              <w:t xml:space="preserve">, and any others involved from any other participating </w:t>
            </w:r>
            <w:proofErr w:type="spellStart"/>
            <w:r w:rsidR="00987FEC">
              <w:rPr>
                <w:rFonts w:ascii="Calibri Light" w:hAnsi="Calibri Light"/>
                <w:u w:color="000000"/>
              </w:rPr>
              <w:t>eMERGE</w:t>
            </w:r>
            <w:proofErr w:type="spellEnd"/>
            <w:r w:rsidR="00987FEC">
              <w:rPr>
                <w:rFonts w:ascii="Calibri Light" w:hAnsi="Calibri Light"/>
                <w:u w:color="000000"/>
              </w:rPr>
              <w:t xml:space="preserve"> site.</w:t>
            </w:r>
          </w:p>
        </w:tc>
      </w:tr>
      <w:tr w:rsidR="00E608B4" w14:paraId="71BBED23" w14:textId="77777777">
        <w:trPr>
          <w:trHeight w:val="519"/>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21" w14:textId="77777777" w:rsidR="00E608B4" w:rsidRDefault="00314D48">
            <w:pPr>
              <w:pStyle w:val="Body"/>
            </w:pPr>
            <w:r>
              <w:rPr>
                <w:rFonts w:ascii="Carlito" w:hAnsi="Carlito"/>
                <w:b/>
                <w:bCs/>
                <w:u w:color="000000"/>
              </w:rPr>
              <w:t>Sites Participating</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71BBED22" w14:textId="7C9FFF1D" w:rsidR="00E608B4" w:rsidRDefault="00314D48">
            <w:pPr>
              <w:pStyle w:val="Body"/>
            </w:pPr>
            <w:r>
              <w:rPr>
                <w:rFonts w:ascii="Calibri Light" w:hAnsi="Calibri Light"/>
                <w:u w:color="000000"/>
              </w:rPr>
              <w:t>Northwestern Memorial Hospital (Northwestern University); Copenhagen University Hospital</w:t>
            </w:r>
            <w:r w:rsidR="00987FEC">
              <w:rPr>
                <w:rFonts w:ascii="Calibri Light" w:hAnsi="Calibri Light"/>
                <w:u w:color="000000"/>
              </w:rPr>
              <w:t xml:space="preserve">, and any other interested </w:t>
            </w:r>
            <w:proofErr w:type="spellStart"/>
            <w:r w:rsidR="00987FEC">
              <w:rPr>
                <w:rFonts w:ascii="Calibri Light" w:hAnsi="Calibri Light"/>
                <w:u w:color="000000"/>
              </w:rPr>
              <w:t>eMERGE</w:t>
            </w:r>
            <w:proofErr w:type="spellEnd"/>
            <w:r w:rsidR="00987FEC">
              <w:rPr>
                <w:rFonts w:ascii="Calibri Light" w:hAnsi="Calibri Light"/>
                <w:u w:color="000000"/>
              </w:rPr>
              <w:t xml:space="preserve"> sites.</w:t>
            </w:r>
          </w:p>
        </w:tc>
      </w:tr>
      <w:tr w:rsidR="00E608B4" w14:paraId="71BBED28" w14:textId="77777777">
        <w:trPr>
          <w:trHeight w:val="12745"/>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24" w14:textId="77777777" w:rsidR="00E608B4" w:rsidRDefault="00314D48">
            <w:pPr>
              <w:pStyle w:val="Body"/>
            </w:pPr>
            <w:r>
              <w:rPr>
                <w:rFonts w:ascii="Carlito" w:hAnsi="Carlito"/>
                <w:b/>
                <w:bCs/>
                <w:u w:color="000000"/>
              </w:rPr>
              <w:lastRenderedPageBreak/>
              <w:t>Background / Significance</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25" w14:textId="77777777" w:rsidR="00E608B4" w:rsidRDefault="00314D48">
            <w:pPr>
              <w:pStyle w:val="Body"/>
              <w:spacing w:line="480" w:lineRule="auto"/>
              <w:rPr>
                <w:rFonts w:ascii="Times New Roman" w:eastAsia="Times New Roman" w:hAnsi="Times New Roman" w:cs="Times New Roman"/>
                <w:sz w:val="24"/>
                <w:szCs w:val="24"/>
                <w:u w:color="000000"/>
              </w:rPr>
            </w:pPr>
            <w:r>
              <w:rPr>
                <w:rFonts w:ascii="Calibri" w:hAnsi="Calibri"/>
                <w:sz w:val="24"/>
                <w:szCs w:val="24"/>
                <w:u w:color="000000"/>
              </w:rPr>
              <w:t>R</w:t>
            </w:r>
            <w:r>
              <w:rPr>
                <w:rFonts w:ascii="Times New Roman" w:hAnsi="Times New Roman"/>
                <w:sz w:val="24"/>
                <w:szCs w:val="24"/>
                <w:u w:color="000000"/>
              </w:rPr>
              <w:t xml:space="preserve">esults from genome wide association studies (GWAS) have indicated that commonly occurring single nucleotide polymorphisms (SNPs) regulate the risk of surgically relevant aspects, including common infections, the dynamics of both the innate and adaptive immune response, the risk of thrombosis and potentially also the risk of organ failure. While studies have identified SNPs associated with </w:t>
            </w:r>
            <w:proofErr w:type="gramStart"/>
            <w:r>
              <w:rPr>
                <w:rFonts w:ascii="Times New Roman" w:hAnsi="Times New Roman"/>
                <w:sz w:val="24"/>
                <w:szCs w:val="24"/>
                <w:u w:color="000000"/>
              </w:rPr>
              <w:t>AE</w:t>
            </w:r>
            <w:r>
              <w:rPr>
                <w:rFonts w:ascii="Times New Roman" w:hAnsi="Times New Roman"/>
                <w:sz w:val="24"/>
                <w:szCs w:val="24"/>
                <w:u w:color="000000"/>
                <w:rtl/>
              </w:rPr>
              <w:t>’</w:t>
            </w:r>
            <w:r>
              <w:rPr>
                <w:rFonts w:ascii="Times New Roman" w:hAnsi="Times New Roman"/>
                <w:sz w:val="24"/>
                <w:szCs w:val="24"/>
                <w:u w:color="000000"/>
              </w:rPr>
              <w:t>s</w:t>
            </w:r>
            <w:proofErr w:type="gramEnd"/>
            <w:r>
              <w:rPr>
                <w:rFonts w:ascii="Times New Roman" w:hAnsi="Times New Roman"/>
                <w:sz w:val="24"/>
                <w:szCs w:val="24"/>
                <w:u w:color="000000"/>
              </w:rPr>
              <w:t xml:space="preserve"> in pre-defined genes following specific surgical procedures, GWAS-type studies on mixed surgical cohorts are lacking.</w:t>
            </w:r>
            <w:r>
              <w:rPr>
                <w:rFonts w:ascii="Times New Roman" w:eastAsia="Times New Roman" w:hAnsi="Times New Roman" w:cs="Times New Roman"/>
                <w:sz w:val="24"/>
                <w:szCs w:val="24"/>
                <w:u w:color="000000"/>
              </w:rPr>
              <w:br/>
            </w:r>
            <w:r>
              <w:rPr>
                <w:rFonts w:ascii="Times New Roman" w:hAnsi="Times New Roman"/>
                <w:sz w:val="24"/>
                <w:szCs w:val="24"/>
                <w:u w:color="000000"/>
              </w:rPr>
              <w:t>Potentially, such studies could identify novel biomarkers and treatment targets of surgical AE</w:t>
            </w:r>
            <w:r>
              <w:rPr>
                <w:rFonts w:ascii="Times New Roman" w:hAnsi="Times New Roman"/>
                <w:sz w:val="24"/>
                <w:szCs w:val="24"/>
                <w:u w:color="000000"/>
                <w:rtl/>
              </w:rPr>
              <w:t>’</w:t>
            </w:r>
            <w:r>
              <w:rPr>
                <w:rFonts w:ascii="Times New Roman" w:hAnsi="Times New Roman"/>
                <w:sz w:val="24"/>
                <w:szCs w:val="24"/>
                <w:u w:color="000000"/>
              </w:rPr>
              <w:t xml:space="preserve">s and could thus add significant value to surgical prediction models. </w:t>
            </w:r>
          </w:p>
          <w:p w14:paraId="71BBED26" w14:textId="77777777" w:rsidR="00E608B4" w:rsidRDefault="00314D48">
            <w:pPr>
              <w:pStyle w:val="Body"/>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As multiple different immunological pathways interact in defining the postoperative phenotype, surgical </w:t>
            </w:r>
            <w:proofErr w:type="gramStart"/>
            <w:r>
              <w:rPr>
                <w:rFonts w:ascii="Times New Roman" w:hAnsi="Times New Roman"/>
                <w:sz w:val="24"/>
                <w:szCs w:val="24"/>
                <w:u w:color="000000"/>
              </w:rPr>
              <w:t>AE</w:t>
            </w:r>
            <w:r>
              <w:rPr>
                <w:rFonts w:ascii="Times New Roman" w:hAnsi="Times New Roman"/>
                <w:sz w:val="24"/>
                <w:szCs w:val="24"/>
                <w:u w:color="000000"/>
                <w:rtl/>
              </w:rPr>
              <w:t>’</w:t>
            </w:r>
            <w:r>
              <w:rPr>
                <w:rFonts w:ascii="Times New Roman" w:hAnsi="Times New Roman"/>
                <w:sz w:val="24"/>
                <w:szCs w:val="24"/>
                <w:u w:color="000000"/>
              </w:rPr>
              <w:t>s</w:t>
            </w:r>
            <w:proofErr w:type="gramEnd"/>
            <w:r>
              <w:rPr>
                <w:rFonts w:ascii="Times New Roman" w:hAnsi="Times New Roman"/>
                <w:sz w:val="24"/>
                <w:szCs w:val="24"/>
                <w:u w:color="000000"/>
              </w:rPr>
              <w:t xml:space="preserve"> are per definition a complex disease. As such, commonly used GWAS methodologies may, however, not be optimally suited for detecting relevant SNPs in this setting. Furthermore, the role of other methodologies such as the polygenic risk score, is not clearly established. </w:t>
            </w:r>
          </w:p>
          <w:p w14:paraId="71BBED27" w14:textId="77777777" w:rsidR="00E608B4" w:rsidRDefault="00314D48">
            <w:pPr>
              <w:pStyle w:val="Body"/>
              <w:spacing w:line="480" w:lineRule="auto"/>
            </w:pPr>
            <w:r>
              <w:rPr>
                <w:rFonts w:ascii="Times New Roman" w:hAnsi="Times New Roman"/>
                <w:sz w:val="24"/>
                <w:szCs w:val="24"/>
                <w:u w:color="000000"/>
              </w:rPr>
              <w:t xml:space="preserve">To this end, our group has recently in collaboration with the Department of computer science at the University of Copenhagen, started work on exploring the role of machine learning, including deep neural networks (DNN), in identifying both the phenotype and relevant SNPs for complex surgical diseases. </w:t>
            </w:r>
          </w:p>
        </w:tc>
      </w:tr>
      <w:tr w:rsidR="00E608B4" w14:paraId="71BBED2D" w14:textId="77777777">
        <w:trPr>
          <w:trHeight w:val="3101"/>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29" w14:textId="77777777" w:rsidR="00E608B4" w:rsidRDefault="00314D48">
            <w:pPr>
              <w:pStyle w:val="Body"/>
            </w:pPr>
            <w:r>
              <w:rPr>
                <w:rFonts w:ascii="Carlito" w:hAnsi="Carlito"/>
                <w:b/>
                <w:bCs/>
                <w:u w:color="000000"/>
              </w:rPr>
              <w:lastRenderedPageBreak/>
              <w:t>Outline of Project</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71BBED2A" w14:textId="77777777" w:rsidR="00E608B4" w:rsidRDefault="00E608B4">
            <w:pPr>
              <w:pStyle w:val="Body"/>
              <w:rPr>
                <w:rFonts w:ascii="Calibri Light" w:eastAsia="Calibri Light" w:hAnsi="Calibri Light" w:cs="Calibri Light"/>
                <w:u w:color="000000"/>
              </w:rPr>
            </w:pPr>
          </w:p>
          <w:p w14:paraId="71BBED2B" w14:textId="77777777" w:rsidR="00E608B4" w:rsidRDefault="00314D48">
            <w:pPr>
              <w:pStyle w:val="Body"/>
              <w:spacing w:line="480" w:lineRule="auto"/>
              <w:rPr>
                <w:rFonts w:ascii="Calibri Light" w:eastAsia="Calibri Light" w:hAnsi="Calibri Light" w:cs="Calibri Light"/>
                <w:sz w:val="24"/>
                <w:szCs w:val="24"/>
                <w:u w:color="000000"/>
              </w:rPr>
            </w:pPr>
            <w:r>
              <w:rPr>
                <w:rFonts w:ascii="Times New Roman" w:hAnsi="Times New Roman"/>
                <w:sz w:val="24"/>
                <w:szCs w:val="24"/>
                <w:u w:color="000000"/>
              </w:rPr>
              <w:t>The overall aim of the proposed study is to investigate whether genotyping of surgical patients can be useful as a precision medicine tool towards risk stratification of AEs, either alone or in combination with artificial intelligence enhanced stratification tools.</w:t>
            </w:r>
          </w:p>
          <w:p w14:paraId="1241465D" w14:textId="5DD79F36" w:rsidR="00BF12AF" w:rsidRDefault="00BF12AF" w:rsidP="00BF12AF">
            <w:pPr>
              <w:pStyle w:val="Body"/>
              <w:numPr>
                <w:ilvl w:val="0"/>
                <w:numId w:val="3"/>
              </w:numPr>
            </w:pPr>
            <w:r>
              <w:t xml:space="preserve">Gather </w:t>
            </w:r>
            <w:r w:rsidR="002027DE">
              <w:t>other desired</w:t>
            </w:r>
            <w:r>
              <w:t xml:space="preserve"> data from sites by </w:t>
            </w:r>
            <w:r w:rsidR="00CF4C1E">
              <w:t xml:space="preserve">fall </w:t>
            </w:r>
            <w:r w:rsidR="00100C11">
              <w:t>2022</w:t>
            </w:r>
          </w:p>
          <w:p w14:paraId="6D3520B2" w14:textId="7624E7EC" w:rsidR="00BF12AF" w:rsidRDefault="00BF12AF" w:rsidP="00BF12AF">
            <w:pPr>
              <w:pStyle w:val="Body"/>
              <w:numPr>
                <w:ilvl w:val="0"/>
                <w:numId w:val="3"/>
              </w:numPr>
            </w:pPr>
            <w:r>
              <w:t xml:space="preserve">Analyze data to assess for outcomes:  We will use CPT codes to determine when certain surgeries were done, and then we will use ICD &amp; </w:t>
            </w:r>
            <w:proofErr w:type="spellStart"/>
            <w:r>
              <w:t>phecodes</w:t>
            </w:r>
            <w:proofErr w:type="spellEnd"/>
            <w:r>
              <w:t xml:space="preserve">, and labs, to determine if/when certain outcomes occurred after the surgeries, </w:t>
            </w:r>
            <w:proofErr w:type="gramStart"/>
            <w:r>
              <w:t>and also</w:t>
            </w:r>
            <w:proofErr w:type="gramEnd"/>
            <w:r>
              <w:t xml:space="preserve"> to assess co-morbid conditions.  BMI</w:t>
            </w:r>
            <w:r w:rsidR="00100C11">
              <w:t xml:space="preserve"> and smoking status</w:t>
            </w:r>
            <w:r>
              <w:t xml:space="preserve"> will be a </w:t>
            </w:r>
            <w:proofErr w:type="gramStart"/>
            <w:r>
              <w:t>covariate</w:t>
            </w:r>
            <w:r w:rsidR="00100C11">
              <w:t>s</w:t>
            </w:r>
            <w:proofErr w:type="gramEnd"/>
            <w:r>
              <w:t xml:space="preserve"> in our analyses as </w:t>
            </w:r>
            <w:r w:rsidR="00100C11">
              <w:t>they</w:t>
            </w:r>
            <w:r>
              <w:t xml:space="preserve"> </w:t>
            </w:r>
            <w:r w:rsidR="00100C11">
              <w:t>are</w:t>
            </w:r>
            <w:r>
              <w:t xml:space="preserve"> risk factor</w:t>
            </w:r>
            <w:r w:rsidR="00100C11">
              <w:t>s</w:t>
            </w:r>
            <w:r>
              <w:t xml:space="preserve"> for some of the complications from surgeries. </w:t>
            </w:r>
            <w:r w:rsidR="00A905B6">
              <w:t>Anticoagulants, aspirin/NSAIDS and tamoxifen will also be covariates in our analyses, as these medications are important for the risk of some complications as well.</w:t>
            </w:r>
          </w:p>
          <w:p w14:paraId="2A342E5F" w14:textId="1202640A" w:rsidR="00BF12AF" w:rsidRDefault="00BF12AF" w:rsidP="00BF12AF">
            <w:pPr>
              <w:pStyle w:val="Body"/>
              <w:numPr>
                <w:ilvl w:val="0"/>
                <w:numId w:val="3"/>
              </w:numPr>
            </w:pPr>
            <w:r>
              <w:t>Perform GWAS on patients who had selected surgeries, comparing those with and without selected outcomes</w:t>
            </w:r>
          </w:p>
          <w:p w14:paraId="2EE3C6F5" w14:textId="44BC973A" w:rsidR="00BF12AF" w:rsidRDefault="00BF12AF" w:rsidP="00BF12AF">
            <w:pPr>
              <w:pStyle w:val="Body"/>
              <w:numPr>
                <w:ilvl w:val="0"/>
                <w:numId w:val="3"/>
              </w:numPr>
            </w:pPr>
            <w:r>
              <w:t>Create PRSs</w:t>
            </w:r>
          </w:p>
          <w:p w14:paraId="735473AD" w14:textId="3274C529" w:rsidR="00BF12AF" w:rsidRDefault="00BF12AF" w:rsidP="00BF12AF">
            <w:pPr>
              <w:pStyle w:val="Body"/>
              <w:numPr>
                <w:ilvl w:val="0"/>
                <w:numId w:val="3"/>
              </w:numPr>
            </w:pPr>
            <w:r>
              <w:t xml:space="preserve">Use DNN to identify phenotype and relevant SNPs for complex surgical diseases </w:t>
            </w:r>
          </w:p>
          <w:p w14:paraId="09E6A96A" w14:textId="3AE9B295" w:rsidR="00BF12AF" w:rsidRDefault="00BF12AF" w:rsidP="00BF12AF">
            <w:pPr>
              <w:pStyle w:val="Body"/>
              <w:numPr>
                <w:ilvl w:val="0"/>
                <w:numId w:val="3"/>
              </w:numPr>
            </w:pPr>
            <w:r>
              <w:t>Draft manuscript and distribute to all co-authors for feedback</w:t>
            </w:r>
          </w:p>
          <w:p w14:paraId="71BBED2C" w14:textId="3D31CF47" w:rsidR="00E608B4" w:rsidRDefault="00BF12AF" w:rsidP="00BF12AF">
            <w:pPr>
              <w:pStyle w:val="Body"/>
              <w:numPr>
                <w:ilvl w:val="0"/>
                <w:numId w:val="3"/>
              </w:numPr>
            </w:pPr>
            <w:r>
              <w:t>Submit manuscript</w:t>
            </w:r>
          </w:p>
        </w:tc>
      </w:tr>
      <w:tr w:rsidR="00E608B4" w14:paraId="71BBED39" w14:textId="77777777">
        <w:trPr>
          <w:trHeight w:val="1304"/>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2E" w14:textId="77777777" w:rsidR="00E608B4" w:rsidRDefault="00314D48">
            <w:pPr>
              <w:pStyle w:val="Body"/>
              <w:rPr>
                <w:rFonts w:ascii="Carlito" w:eastAsia="Carlito" w:hAnsi="Carlito" w:cs="Carlito"/>
                <w:b/>
                <w:bCs/>
                <w:u w:color="000000"/>
              </w:rPr>
            </w:pPr>
            <w:r>
              <w:rPr>
                <w:rFonts w:ascii="Carlito" w:hAnsi="Carlito"/>
                <w:b/>
                <w:bCs/>
                <w:u w:color="000000"/>
              </w:rPr>
              <w:t xml:space="preserve">Desired Data - Common Variables* </w:t>
            </w:r>
          </w:p>
          <w:p w14:paraId="71BBED2F" w14:textId="77777777" w:rsidR="00E608B4" w:rsidRDefault="00314D48">
            <w:pPr>
              <w:pStyle w:val="Body"/>
            </w:pPr>
            <w:r>
              <w:rPr>
                <w:rFonts w:ascii="Calibri Light" w:hAnsi="Calibri Light"/>
                <w:i/>
                <w:iCs/>
                <w:u w:color="000000"/>
              </w:rPr>
              <w:t>(Available from the CC)</w:t>
            </w:r>
          </w:p>
        </w:tc>
        <w:tc>
          <w:tcPr>
            <w:tcW w:w="3433" w:type="dxa"/>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30" w14:textId="7C26E7A3" w:rsidR="00E608B4" w:rsidRDefault="00314D48" w:rsidP="00C66F9F">
            <w:pPr>
              <w:pStyle w:val="Body"/>
              <w:numPr>
                <w:ilvl w:val="0"/>
                <w:numId w:val="7"/>
              </w:numPr>
              <w:rPr>
                <w:rFonts w:ascii="Carlito" w:eastAsia="Carlito" w:hAnsi="Carlito" w:cs="Carlito"/>
                <w:b/>
                <w:bCs/>
                <w:u w:val="single" w:color="000000"/>
              </w:rPr>
            </w:pPr>
            <w:r>
              <w:rPr>
                <w:rFonts w:ascii="Carlito" w:hAnsi="Carlito"/>
                <w:b/>
                <w:bCs/>
                <w:u w:val="single" w:color="000000"/>
              </w:rPr>
              <w:t xml:space="preserve">Demographics                               </w:t>
            </w:r>
          </w:p>
          <w:p w14:paraId="71BBED31" w14:textId="77777777" w:rsidR="00E608B4" w:rsidRDefault="00314D48" w:rsidP="00C66F9F">
            <w:pPr>
              <w:pStyle w:val="Body"/>
              <w:numPr>
                <w:ilvl w:val="0"/>
                <w:numId w:val="7"/>
              </w:numPr>
              <w:rPr>
                <w:rFonts w:ascii="Carlito" w:eastAsia="Carlito" w:hAnsi="Carlito" w:cs="Carlito"/>
                <w:b/>
                <w:bCs/>
                <w:u w:val="single" w:color="000000"/>
              </w:rPr>
            </w:pPr>
            <w:r>
              <w:rPr>
                <w:rFonts w:ascii="Arial Unicode MS" w:hAnsi="Arial Unicode MS"/>
                <w:sz w:val="24"/>
                <w:szCs w:val="24"/>
                <w:u w:val="single" w:color="000000"/>
              </w:rPr>
              <w:t>☐</w:t>
            </w:r>
            <w:r>
              <w:rPr>
                <w:rFonts w:ascii="Carlito" w:hAnsi="Carlito"/>
                <w:b/>
                <w:bCs/>
                <w:u w:val="single" w:color="000000"/>
              </w:rPr>
              <w:t>ICD9/10 codes</w:t>
            </w:r>
          </w:p>
          <w:p w14:paraId="71BBED32" w14:textId="77777777" w:rsidR="00E608B4" w:rsidRDefault="00314D48" w:rsidP="00C66F9F">
            <w:pPr>
              <w:pStyle w:val="Body"/>
              <w:numPr>
                <w:ilvl w:val="0"/>
                <w:numId w:val="7"/>
              </w:numPr>
              <w:rPr>
                <w:rFonts w:ascii="Carlito" w:eastAsia="Carlito" w:hAnsi="Carlito" w:cs="Carlito"/>
                <w:b/>
                <w:bCs/>
                <w:u w:val="single" w:color="000000"/>
              </w:rPr>
            </w:pPr>
            <w:r>
              <w:rPr>
                <w:rFonts w:ascii="Arial Unicode MS" w:hAnsi="Arial Unicode MS"/>
                <w:sz w:val="24"/>
                <w:szCs w:val="24"/>
                <w:u w:val="single" w:color="000000"/>
              </w:rPr>
              <w:t>☐</w:t>
            </w:r>
            <w:r>
              <w:rPr>
                <w:rFonts w:ascii="Carlito" w:hAnsi="Carlito"/>
                <w:b/>
                <w:bCs/>
                <w:u w:val="single" w:color="000000"/>
              </w:rPr>
              <w:t>CPT codes</w:t>
            </w:r>
          </w:p>
          <w:p w14:paraId="71BBED33" w14:textId="77777777" w:rsidR="00E608B4" w:rsidRDefault="00314D48" w:rsidP="00C66F9F">
            <w:pPr>
              <w:pStyle w:val="Body"/>
              <w:numPr>
                <w:ilvl w:val="0"/>
                <w:numId w:val="7"/>
              </w:numPr>
              <w:rPr>
                <w:rFonts w:ascii="Carlito" w:eastAsia="Carlito" w:hAnsi="Carlito" w:cs="Carlito"/>
                <w:b/>
                <w:bCs/>
                <w:u w:val="single" w:color="000000"/>
              </w:rPr>
            </w:pPr>
            <w:r>
              <w:rPr>
                <w:rFonts w:ascii="Arial Unicode MS" w:hAnsi="Arial Unicode MS"/>
                <w:sz w:val="24"/>
                <w:szCs w:val="24"/>
                <w:u w:val="single" w:color="000000"/>
              </w:rPr>
              <w:t>☐</w:t>
            </w:r>
            <w:proofErr w:type="spellStart"/>
            <w:r>
              <w:rPr>
                <w:rFonts w:ascii="Carlito" w:hAnsi="Carlito"/>
                <w:b/>
                <w:bCs/>
                <w:u w:val="single" w:color="000000"/>
              </w:rPr>
              <w:t>Phecodes</w:t>
            </w:r>
            <w:proofErr w:type="spellEnd"/>
          </w:p>
          <w:p w14:paraId="71BBED34" w14:textId="77777777" w:rsidR="00E608B4" w:rsidRDefault="00314D48" w:rsidP="00C66F9F">
            <w:pPr>
              <w:pStyle w:val="Body"/>
              <w:numPr>
                <w:ilvl w:val="0"/>
                <w:numId w:val="7"/>
              </w:numPr>
            </w:pPr>
            <w:r>
              <w:rPr>
                <w:rFonts w:ascii="Arial Unicode MS" w:hAnsi="Arial Unicode MS"/>
                <w:sz w:val="24"/>
                <w:szCs w:val="24"/>
                <w:u w:val="single" w:color="000000"/>
              </w:rPr>
              <w:t>☐</w:t>
            </w:r>
            <w:r>
              <w:rPr>
                <w:rFonts w:ascii="Carlito" w:hAnsi="Carlito"/>
                <w:b/>
                <w:bCs/>
                <w:u w:val="single" w:color="000000"/>
              </w:rPr>
              <w:t>BMI</w:t>
            </w:r>
          </w:p>
        </w:tc>
        <w:tc>
          <w:tcPr>
            <w:tcW w:w="3434" w:type="dxa"/>
            <w:tcBorders>
              <w:top w:val="single" w:sz="4" w:space="0" w:color="E7E6E6"/>
              <w:left w:val="nil"/>
              <w:bottom w:val="single" w:sz="4" w:space="0" w:color="E7E6E6"/>
              <w:right w:val="nil"/>
            </w:tcBorders>
            <w:shd w:val="clear" w:color="auto" w:fill="auto"/>
            <w:tcMar>
              <w:top w:w="80" w:type="dxa"/>
              <w:left w:w="80" w:type="dxa"/>
              <w:bottom w:w="80" w:type="dxa"/>
              <w:right w:w="80" w:type="dxa"/>
            </w:tcMar>
          </w:tcPr>
          <w:p w14:paraId="71BBED35" w14:textId="6A497D02" w:rsidR="00E608B4" w:rsidRDefault="00314D48" w:rsidP="00C66F9F">
            <w:pPr>
              <w:pStyle w:val="Body"/>
              <w:numPr>
                <w:ilvl w:val="0"/>
                <w:numId w:val="8"/>
              </w:numPr>
              <w:rPr>
                <w:rFonts w:ascii="Carlito" w:eastAsia="Carlito" w:hAnsi="Carlito" w:cs="Carlito"/>
                <w:b/>
                <w:bCs/>
                <w:u w:val="single" w:color="000000"/>
              </w:rPr>
            </w:pPr>
            <w:r>
              <w:rPr>
                <w:rFonts w:ascii="Carlito" w:hAnsi="Carlito"/>
                <w:b/>
                <w:bCs/>
                <w:u w:val="single" w:color="000000"/>
              </w:rPr>
              <w:t>Common Variable Labs</w:t>
            </w:r>
          </w:p>
          <w:p w14:paraId="71BBED36" w14:textId="04119652" w:rsidR="00E608B4" w:rsidRDefault="00314D48" w:rsidP="00C66F9F">
            <w:pPr>
              <w:pStyle w:val="Body"/>
              <w:numPr>
                <w:ilvl w:val="0"/>
                <w:numId w:val="8"/>
              </w:numPr>
              <w:rPr>
                <w:rFonts w:ascii="Carlito" w:eastAsia="Carlito" w:hAnsi="Carlito" w:cs="Carlito"/>
                <w:b/>
                <w:bCs/>
                <w:u w:val="single" w:color="000000"/>
              </w:rPr>
            </w:pPr>
            <w:r>
              <w:rPr>
                <w:rFonts w:ascii="Carlito" w:hAnsi="Carlito"/>
                <w:b/>
                <w:bCs/>
                <w:u w:val="single" w:color="000000"/>
              </w:rPr>
              <w:t>Common Variable Meds</w:t>
            </w:r>
          </w:p>
          <w:p w14:paraId="71BBED37" w14:textId="0CA8CDEF" w:rsidR="00E608B4" w:rsidRDefault="00314D48" w:rsidP="00C66F9F">
            <w:pPr>
              <w:pStyle w:val="Body"/>
              <w:numPr>
                <w:ilvl w:val="0"/>
                <w:numId w:val="8"/>
              </w:numPr>
              <w:rPr>
                <w:rFonts w:ascii="Carlito" w:eastAsia="Carlito" w:hAnsi="Carlito" w:cs="Carlito"/>
                <w:b/>
                <w:bCs/>
                <w:u w:val="single" w:color="000000"/>
              </w:rPr>
            </w:pPr>
            <w:r>
              <w:rPr>
                <w:rFonts w:ascii="Carlito" w:hAnsi="Carlito"/>
                <w:b/>
                <w:bCs/>
                <w:u w:val="single" w:color="000000"/>
              </w:rPr>
              <w:t>Geocoding 2015 ACS variables</w:t>
            </w:r>
          </w:p>
          <w:p w14:paraId="71BBED38" w14:textId="33577774" w:rsidR="00E608B4" w:rsidRDefault="00314D48" w:rsidP="00C66F9F">
            <w:pPr>
              <w:pStyle w:val="Body"/>
              <w:numPr>
                <w:ilvl w:val="0"/>
                <w:numId w:val="8"/>
              </w:numPr>
            </w:pPr>
            <w:r>
              <w:rPr>
                <w:rFonts w:ascii="Carlito" w:hAnsi="Carlito"/>
                <w:b/>
                <w:bCs/>
                <w:u w:val="single" w:color="000000"/>
              </w:rPr>
              <w:t xml:space="preserve">Other: Case/Control status </w:t>
            </w:r>
          </w:p>
        </w:tc>
      </w:tr>
      <w:tr w:rsidR="00E608B4" w14:paraId="71BBED3C" w14:textId="77777777">
        <w:trPr>
          <w:trHeight w:val="883"/>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3A" w14:textId="77777777" w:rsidR="00E608B4" w:rsidRDefault="00314D48">
            <w:pPr>
              <w:pStyle w:val="Body"/>
            </w:pPr>
            <w:r>
              <w:rPr>
                <w:rFonts w:ascii="Carlito" w:hAnsi="Carlito"/>
                <w:b/>
                <w:bCs/>
                <w:u w:color="000000"/>
              </w:rPr>
              <w:t xml:space="preserve">Other Desired Data </w:t>
            </w:r>
            <w:r>
              <w:rPr>
                <w:rFonts w:ascii="Carlito" w:hAnsi="Carlito"/>
                <w:b/>
                <w:bCs/>
                <w:i/>
                <w:iCs/>
                <w:u w:color="000000"/>
              </w:rPr>
              <w:t>(Available from participating sites)</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3BEBFD07" w14:textId="4365895A" w:rsidR="00E608B4" w:rsidRDefault="00314D48">
            <w:pPr>
              <w:pStyle w:val="Body"/>
              <w:rPr>
                <w:rFonts w:ascii="Calibri Light" w:hAnsi="Calibri Light"/>
                <w:i/>
                <w:iCs/>
                <w:u w:color="000000"/>
              </w:rPr>
            </w:pPr>
            <w:r>
              <w:rPr>
                <w:rFonts w:ascii="Calibri Light" w:hAnsi="Calibri Light"/>
                <w:i/>
                <w:iCs/>
                <w:u w:color="000000"/>
              </w:rPr>
              <w:t>Please specifically list out any data elements that participating sites would collect or extract from clinical or other sources for this project (</w:t>
            </w:r>
            <w:proofErr w:type="gramStart"/>
            <w:r>
              <w:rPr>
                <w:rFonts w:ascii="Calibri Light" w:hAnsi="Calibri Light"/>
                <w:i/>
                <w:iCs/>
                <w:u w:color="000000"/>
              </w:rPr>
              <w:t>i.e.</w:t>
            </w:r>
            <w:proofErr w:type="gramEnd"/>
            <w:r>
              <w:rPr>
                <w:rFonts w:ascii="Calibri Light" w:hAnsi="Calibri Light"/>
                <w:i/>
                <w:iCs/>
                <w:u w:color="000000"/>
              </w:rPr>
              <w:t xml:space="preserve"> not common variables above) </w:t>
            </w:r>
          </w:p>
          <w:p w14:paraId="7E9F509D" w14:textId="5EF3EAFC" w:rsidR="00100C11" w:rsidRDefault="007175AF" w:rsidP="00100C11">
            <w:r>
              <w:t xml:space="preserve">In addition to the above, we need the following lab results from </w:t>
            </w:r>
            <w:r w:rsidR="00100C11">
              <w:t>admission</w:t>
            </w:r>
            <w:r>
              <w:t>: [</w:t>
            </w:r>
            <w:r w:rsidR="00100C11">
              <w:t>BUN (blood urea nitrogen), Creatinine, Albumin, Bilirubin, SGOT (serum glutamic oxaloacetic transaminase), Alkaline phosphatase</w:t>
            </w:r>
            <w:proofErr w:type="gramStart"/>
            <w:r w:rsidR="00100C11">
              <w:t>, ,</w:t>
            </w:r>
            <w:proofErr w:type="gramEnd"/>
            <w:r w:rsidR="00100C11">
              <w:t xml:space="preserve"> Platelet count, PTT (partial </w:t>
            </w:r>
            <w:proofErr w:type="spellStart"/>
            <w:r w:rsidR="00100C11">
              <w:t>thromblastin</w:t>
            </w:r>
            <w:proofErr w:type="spellEnd"/>
            <w:r w:rsidR="00100C11">
              <w:t xml:space="preserve"> time), PT (prothrombin time), INR (international normalized ratio), Sodium, Potassium, Hemoglobin.</w:t>
            </w:r>
          </w:p>
          <w:p w14:paraId="6FBC3858" w14:textId="771D2264" w:rsidR="00100C11" w:rsidRDefault="00100C11" w:rsidP="00100C11"/>
          <w:p w14:paraId="32EAAFD4" w14:textId="4E8A9C77" w:rsidR="007175AF" w:rsidRDefault="00100C11" w:rsidP="002A14D1">
            <w:r>
              <w:t xml:space="preserve"> smoking status, 30-day postop mortality</w:t>
            </w:r>
          </w:p>
          <w:p w14:paraId="10E94A1D" w14:textId="77777777" w:rsidR="00CF4C1E" w:rsidRDefault="00CF4C1E" w:rsidP="002A14D1"/>
          <w:p w14:paraId="71BBED3B" w14:textId="22E8F9C7" w:rsidR="00CF4C1E" w:rsidRPr="00100C11" w:rsidRDefault="00CF4C1E" w:rsidP="002A14D1">
            <w:r w:rsidRPr="001A2D4F">
              <w:rPr>
                <w:b/>
              </w:rPr>
              <w:t>Please note we’ll provide OMOP SQL where possible for sites to hopefully retrieve this data more easily.</w:t>
            </w:r>
          </w:p>
        </w:tc>
      </w:tr>
      <w:tr w:rsidR="00E608B4" w14:paraId="71BBED45" w14:textId="77777777">
        <w:trPr>
          <w:trHeight w:val="1841"/>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3D" w14:textId="77777777" w:rsidR="00E608B4" w:rsidRDefault="00314D48">
            <w:pPr>
              <w:pStyle w:val="Body"/>
            </w:pPr>
            <w:r>
              <w:rPr>
                <w:rFonts w:ascii="Carlito" w:hAnsi="Carlito"/>
                <w:b/>
                <w:bCs/>
                <w:u w:color="000000"/>
              </w:rPr>
              <w:lastRenderedPageBreak/>
              <w:t>Desired Genetic Data</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3E" w14:textId="751B993A" w:rsidR="00E608B4" w:rsidRDefault="00314D48" w:rsidP="00C66F9F">
            <w:pPr>
              <w:pStyle w:val="Body"/>
              <w:numPr>
                <w:ilvl w:val="0"/>
                <w:numId w:val="9"/>
              </w:numPr>
              <w:rPr>
                <w:rFonts w:ascii="Carlito" w:eastAsia="Carlito" w:hAnsi="Carlito" w:cs="Carlito"/>
                <w:b/>
                <w:bCs/>
                <w:u w:val="single" w:color="000000"/>
              </w:rPr>
            </w:pPr>
            <w:proofErr w:type="spellStart"/>
            <w:r>
              <w:rPr>
                <w:rFonts w:ascii="Carlito" w:hAnsi="Carlito"/>
                <w:b/>
                <w:bCs/>
                <w:u w:val="single" w:color="000000"/>
              </w:rPr>
              <w:t>eMERGE</w:t>
            </w:r>
            <w:proofErr w:type="spellEnd"/>
            <w:r>
              <w:rPr>
                <w:rFonts w:ascii="Carlito" w:hAnsi="Carlito"/>
                <w:b/>
                <w:bCs/>
                <w:u w:val="single" w:color="000000"/>
              </w:rPr>
              <w:t xml:space="preserve"> I-III Merged set (HRC imputed, GWAS)</w:t>
            </w:r>
          </w:p>
          <w:p w14:paraId="71BBED3F" w14:textId="77777777" w:rsidR="00E608B4" w:rsidRDefault="00314D48">
            <w:pPr>
              <w:pStyle w:val="Body"/>
              <w:rPr>
                <w:rFonts w:ascii="Calibri Light" w:eastAsia="Calibri Light" w:hAnsi="Calibri Light" w:cs="Calibri Light"/>
                <w:u w:color="000000"/>
              </w:rPr>
            </w:pPr>
            <w:r>
              <w:rPr>
                <w:rFonts w:ascii="Arial Unicode MS" w:hAnsi="Arial Unicode MS"/>
                <w:sz w:val="24"/>
                <w:szCs w:val="24"/>
                <w:u w:color="000000"/>
              </w:rPr>
              <w:t>☐</w:t>
            </w:r>
            <w:proofErr w:type="spellStart"/>
            <w:r>
              <w:rPr>
                <w:rFonts w:ascii="Calibri Light" w:hAnsi="Calibri Light"/>
                <w:u w:color="000000"/>
              </w:rPr>
              <w:t>eMERGE</w:t>
            </w:r>
            <w:proofErr w:type="spellEnd"/>
            <w:r>
              <w:rPr>
                <w:rFonts w:ascii="Calibri Light" w:hAnsi="Calibri Light"/>
                <w:u w:color="000000"/>
              </w:rPr>
              <w:t xml:space="preserve"> PGx/</w:t>
            </w:r>
            <w:proofErr w:type="spellStart"/>
            <w:r>
              <w:rPr>
                <w:rFonts w:ascii="Calibri Light" w:hAnsi="Calibri Light"/>
                <w:u w:color="000000"/>
              </w:rPr>
              <w:t>PGRNseq</w:t>
            </w:r>
            <w:proofErr w:type="spellEnd"/>
            <w:r>
              <w:rPr>
                <w:rFonts w:ascii="Calibri Light" w:hAnsi="Calibri Light"/>
                <w:u w:color="000000"/>
              </w:rPr>
              <w:t xml:space="preserve"> data set </w:t>
            </w:r>
          </w:p>
          <w:p w14:paraId="71BBED40" w14:textId="77777777" w:rsidR="00E608B4" w:rsidRDefault="00314D48">
            <w:pPr>
              <w:pStyle w:val="Body"/>
              <w:rPr>
                <w:rFonts w:ascii="Calibri Light" w:eastAsia="Calibri Light" w:hAnsi="Calibri Light" w:cs="Calibri Light"/>
                <w:u w:color="000000"/>
              </w:rPr>
            </w:pPr>
            <w:r>
              <w:rPr>
                <w:rFonts w:ascii="Arial Unicode MS" w:hAnsi="Arial Unicode MS"/>
                <w:sz w:val="24"/>
                <w:szCs w:val="24"/>
                <w:u w:color="000000"/>
              </w:rPr>
              <w:t>☐</w:t>
            </w:r>
            <w:proofErr w:type="spellStart"/>
            <w:r>
              <w:rPr>
                <w:rFonts w:ascii="Calibri Light" w:hAnsi="Calibri Light"/>
                <w:u w:color="000000"/>
              </w:rPr>
              <w:t>eMERGEseq</w:t>
            </w:r>
            <w:proofErr w:type="spellEnd"/>
            <w:r>
              <w:rPr>
                <w:rFonts w:ascii="Calibri Light" w:hAnsi="Calibri Light"/>
                <w:u w:color="000000"/>
              </w:rPr>
              <w:t xml:space="preserve"> data set (Phase III)</w:t>
            </w:r>
          </w:p>
          <w:p w14:paraId="71BBED41" w14:textId="7654DB58" w:rsidR="00E608B4" w:rsidRDefault="00314D48" w:rsidP="00C66F9F">
            <w:pPr>
              <w:pStyle w:val="Body"/>
              <w:numPr>
                <w:ilvl w:val="0"/>
                <w:numId w:val="10"/>
              </w:numPr>
              <w:rPr>
                <w:rFonts w:ascii="Carlito" w:eastAsia="Carlito" w:hAnsi="Carlito" w:cs="Carlito"/>
                <w:b/>
                <w:bCs/>
                <w:u w:val="single" w:color="000000"/>
              </w:rPr>
            </w:pPr>
            <w:proofErr w:type="spellStart"/>
            <w:r>
              <w:rPr>
                <w:rFonts w:ascii="Carlito" w:hAnsi="Carlito"/>
                <w:b/>
                <w:bCs/>
                <w:u w:val="single" w:color="000000"/>
              </w:rPr>
              <w:t>eMERGE</w:t>
            </w:r>
            <w:proofErr w:type="spellEnd"/>
            <w:r>
              <w:rPr>
                <w:rFonts w:ascii="Carlito" w:hAnsi="Carlito"/>
                <w:b/>
                <w:bCs/>
                <w:u w:val="single" w:color="000000"/>
              </w:rPr>
              <w:t xml:space="preserve"> Whole Genome sequencing data set</w:t>
            </w:r>
          </w:p>
          <w:p w14:paraId="71BBED42" w14:textId="77777777" w:rsidR="00E608B4" w:rsidRDefault="00314D48">
            <w:pPr>
              <w:pStyle w:val="Body"/>
              <w:rPr>
                <w:rFonts w:ascii="Calibri Light" w:eastAsia="Calibri Light" w:hAnsi="Calibri Light" w:cs="Calibri Light"/>
                <w:u w:color="000000"/>
              </w:rPr>
            </w:pPr>
            <w:r>
              <w:rPr>
                <w:rFonts w:ascii="Arial Unicode MS" w:hAnsi="Arial Unicode MS"/>
                <w:sz w:val="24"/>
                <w:szCs w:val="24"/>
                <w:u w:color="000000"/>
              </w:rPr>
              <w:t>☐</w:t>
            </w:r>
            <w:proofErr w:type="spellStart"/>
            <w:r>
              <w:rPr>
                <w:rFonts w:ascii="Calibri Light" w:hAnsi="Calibri Light"/>
                <w:u w:color="000000"/>
              </w:rPr>
              <w:t>eMERGE</w:t>
            </w:r>
            <w:proofErr w:type="spellEnd"/>
            <w:r>
              <w:rPr>
                <w:rFonts w:ascii="Calibri Light" w:hAnsi="Calibri Light"/>
                <w:u w:color="000000"/>
              </w:rPr>
              <w:t xml:space="preserve"> Exome chip data set</w:t>
            </w:r>
          </w:p>
          <w:p w14:paraId="71BBED43" w14:textId="77777777" w:rsidR="00E608B4" w:rsidRDefault="00314D48">
            <w:pPr>
              <w:pStyle w:val="Body"/>
              <w:rPr>
                <w:rFonts w:ascii="Calibri Light" w:eastAsia="Calibri Light" w:hAnsi="Calibri Light" w:cs="Calibri Light"/>
                <w:u w:color="000000"/>
              </w:rPr>
            </w:pPr>
            <w:r>
              <w:rPr>
                <w:rFonts w:ascii="Arial Unicode MS" w:hAnsi="Arial Unicode MS"/>
                <w:sz w:val="24"/>
                <w:szCs w:val="24"/>
                <w:u w:color="000000"/>
              </w:rPr>
              <w:t>☐</w:t>
            </w:r>
            <w:proofErr w:type="spellStart"/>
            <w:r>
              <w:rPr>
                <w:rFonts w:ascii="Calibri Light" w:hAnsi="Calibri Light"/>
                <w:u w:color="000000"/>
              </w:rPr>
              <w:t>eMERGE</w:t>
            </w:r>
            <w:proofErr w:type="spellEnd"/>
            <w:r>
              <w:rPr>
                <w:rFonts w:ascii="Calibri Light" w:hAnsi="Calibri Light"/>
                <w:u w:color="000000"/>
              </w:rPr>
              <w:t xml:space="preserve"> Whole Exome sequencing data set</w:t>
            </w:r>
          </w:p>
          <w:p w14:paraId="71BBED44" w14:textId="77777777" w:rsidR="00E608B4" w:rsidRDefault="00314D48">
            <w:pPr>
              <w:pStyle w:val="Body"/>
            </w:pPr>
            <w:r>
              <w:rPr>
                <w:rFonts w:ascii="Arial Unicode MS" w:hAnsi="Arial Unicode MS"/>
                <w:sz w:val="24"/>
                <w:szCs w:val="24"/>
                <w:u w:color="000000"/>
              </w:rPr>
              <w:t>☐</w:t>
            </w:r>
            <w:r>
              <w:rPr>
                <w:rFonts w:ascii="Calibri Light" w:hAnsi="Calibri Light"/>
                <w:u w:color="000000"/>
              </w:rPr>
              <w:t>Other (not listed above):</w:t>
            </w:r>
          </w:p>
        </w:tc>
      </w:tr>
      <w:tr w:rsidR="00E608B4" w14:paraId="71BBED49" w14:textId="77777777">
        <w:trPr>
          <w:trHeight w:val="741"/>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46" w14:textId="77777777" w:rsidR="00E608B4" w:rsidRDefault="00314D48">
            <w:pPr>
              <w:pStyle w:val="Body"/>
            </w:pPr>
            <w:r>
              <w:rPr>
                <w:rFonts w:ascii="Carlito" w:hAnsi="Carlito"/>
                <w:b/>
                <w:bCs/>
                <w:u w:color="000000"/>
              </w:rPr>
              <w:t xml:space="preserve">Does project pertain to an existing </w:t>
            </w:r>
            <w:proofErr w:type="spellStart"/>
            <w:r>
              <w:rPr>
                <w:rFonts w:ascii="Carlito" w:hAnsi="Carlito"/>
                <w:b/>
                <w:bCs/>
                <w:u w:color="000000"/>
              </w:rPr>
              <w:t>eMERGE</w:t>
            </w:r>
            <w:proofErr w:type="spellEnd"/>
            <w:r>
              <w:rPr>
                <w:rFonts w:ascii="Carlito" w:hAnsi="Carlito"/>
                <w:b/>
                <w:bCs/>
                <w:u w:color="000000"/>
              </w:rPr>
              <w:t xml:space="preserve"> Phenotype?</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71BBED47" w14:textId="77777777" w:rsidR="00E608B4" w:rsidRDefault="00314D48">
            <w:pPr>
              <w:pStyle w:val="Body"/>
              <w:rPr>
                <w:rFonts w:ascii="Calibri Light" w:eastAsia="Calibri Light" w:hAnsi="Calibri Light" w:cs="Calibri Light"/>
                <w:u w:color="000000"/>
              </w:rPr>
            </w:pPr>
            <w:r>
              <w:rPr>
                <w:rFonts w:ascii="Arial Unicode MS" w:hAnsi="Arial Unicode MS"/>
                <w:sz w:val="24"/>
                <w:szCs w:val="24"/>
                <w:u w:color="000000"/>
              </w:rPr>
              <w:t>☐</w:t>
            </w:r>
            <w:r>
              <w:rPr>
                <w:rFonts w:ascii="Calibri Light" w:hAnsi="Calibri Light"/>
                <w:u w:color="000000"/>
              </w:rPr>
              <w:t xml:space="preserve">Yes, if so please list                               </w:t>
            </w:r>
          </w:p>
          <w:p w14:paraId="71BBED48" w14:textId="231E43F0" w:rsidR="00E608B4" w:rsidRDefault="00314D48" w:rsidP="00C66F9F">
            <w:pPr>
              <w:pStyle w:val="Body"/>
              <w:numPr>
                <w:ilvl w:val="0"/>
                <w:numId w:val="10"/>
              </w:numPr>
            </w:pPr>
            <w:r>
              <w:rPr>
                <w:rFonts w:ascii="Carlito" w:hAnsi="Carlito"/>
                <w:b/>
                <w:bCs/>
                <w:u w:val="single" w:color="000000"/>
              </w:rPr>
              <w:t>No</w:t>
            </w:r>
          </w:p>
        </w:tc>
      </w:tr>
      <w:tr w:rsidR="00E608B4" w14:paraId="71BBED4E" w14:textId="77777777">
        <w:trPr>
          <w:trHeight w:val="7559"/>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4A" w14:textId="77777777" w:rsidR="00E608B4" w:rsidRDefault="00314D48">
            <w:pPr>
              <w:pStyle w:val="Body"/>
            </w:pPr>
            <w:r>
              <w:rPr>
                <w:rFonts w:ascii="Carlito" w:hAnsi="Carlito"/>
                <w:b/>
                <w:bCs/>
                <w:u w:color="000000"/>
              </w:rPr>
              <w:t>Planned Statistical Analyses</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4B" w14:textId="77777777" w:rsidR="00E608B4" w:rsidRDefault="00314D48">
            <w:pPr>
              <w:pStyle w:val="Body"/>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initial GWAS-analyses will be conducted with a mixed linear model (MLM)-based approach as </w:t>
            </w:r>
            <w:proofErr w:type="spellStart"/>
            <w:r>
              <w:rPr>
                <w:rFonts w:ascii="Times New Roman" w:hAnsi="Times New Roman"/>
                <w:sz w:val="24"/>
                <w:szCs w:val="24"/>
                <w:u w:color="000000"/>
              </w:rPr>
              <w:t>fastGWA</w:t>
            </w:r>
            <w:proofErr w:type="spellEnd"/>
            <w:r>
              <w:rPr>
                <w:rFonts w:ascii="Times New Roman" w:hAnsi="Times New Roman"/>
                <w:sz w:val="24"/>
                <w:szCs w:val="24"/>
                <w:u w:color="000000"/>
              </w:rPr>
              <w:t xml:space="preserve"> with a sparse GRM. A p-value of 5x10</w:t>
            </w:r>
            <w:r>
              <w:rPr>
                <w:rFonts w:ascii="Times New Roman" w:hAnsi="Times New Roman"/>
                <w:sz w:val="24"/>
                <w:szCs w:val="24"/>
                <w:u w:color="000000"/>
                <w:vertAlign w:val="superscript"/>
              </w:rPr>
              <w:t>-8</w:t>
            </w:r>
            <w:r>
              <w:rPr>
                <w:rFonts w:ascii="Times New Roman" w:hAnsi="Times New Roman"/>
                <w:sz w:val="24"/>
                <w:szCs w:val="24"/>
                <w:u w:color="000000"/>
              </w:rPr>
              <w:t xml:space="preserve"> will be considered statistically significant. Polygenic risk scoring will be performed according to previously published methods from our collaborators at the University of Copenhagen.</w:t>
            </w:r>
            <w:r>
              <w:rPr>
                <w:rFonts w:ascii="Times New Roman" w:eastAsia="Times New Roman" w:hAnsi="Times New Roman" w:cs="Times New Roman"/>
                <w:sz w:val="24"/>
                <w:szCs w:val="24"/>
                <w:u w:color="000000"/>
              </w:rPr>
              <w:br/>
            </w:r>
            <w:r>
              <w:rPr>
                <w:rFonts w:ascii="Times New Roman" w:hAnsi="Times New Roman"/>
                <w:sz w:val="24"/>
                <w:szCs w:val="24"/>
                <w:u w:color="000000"/>
              </w:rPr>
              <w:t xml:space="preserve">For the DNN part, convolutional neural networks will be trained on the genotyping data using feature importance methodologies to identify the most relevant SNPs for outcome prediction. </w:t>
            </w:r>
          </w:p>
          <w:p w14:paraId="71BBED4C" w14:textId="77777777" w:rsidR="00E608B4" w:rsidRDefault="00314D48">
            <w:pPr>
              <w:pStyle w:val="Body"/>
              <w:spacing w:line="480" w:lineRule="auto"/>
              <w:rPr>
                <w:rFonts w:ascii="Calibri Light" w:eastAsia="Calibri Light" w:hAnsi="Calibri Light" w:cs="Calibri Light"/>
                <w:sz w:val="24"/>
                <w:szCs w:val="24"/>
                <w:u w:color="000000"/>
              </w:rPr>
            </w:pPr>
            <w:r>
              <w:rPr>
                <w:rFonts w:ascii="Times New Roman" w:hAnsi="Times New Roman"/>
                <w:sz w:val="24"/>
                <w:szCs w:val="24"/>
                <w:u w:color="000000"/>
              </w:rPr>
              <w:t>In the final step of the projects, the different methodologies (GWAS, polygenic risk score and DNN) will be fitted to risk prediction models including relevant clinical confounder variables for the purpose of assessing AUROC performance metrics.</w:t>
            </w:r>
          </w:p>
          <w:p w14:paraId="71BBED4D" w14:textId="77777777" w:rsidR="00E608B4" w:rsidRDefault="00E608B4">
            <w:pPr>
              <w:pStyle w:val="Body"/>
            </w:pPr>
          </w:p>
        </w:tc>
      </w:tr>
      <w:tr w:rsidR="00E608B4" w14:paraId="71BBED51" w14:textId="77777777">
        <w:trPr>
          <w:trHeight w:val="721"/>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4F" w14:textId="77777777" w:rsidR="00E608B4" w:rsidRDefault="00314D48">
            <w:pPr>
              <w:pStyle w:val="Body"/>
            </w:pPr>
            <w:r>
              <w:rPr>
                <w:rFonts w:ascii="Carlito" w:hAnsi="Carlito"/>
                <w:b/>
                <w:bCs/>
                <w:u w:color="000000"/>
              </w:rPr>
              <w:lastRenderedPageBreak/>
              <w:t>Ethical Considerations</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71BBED50" w14:textId="77777777" w:rsidR="00E608B4" w:rsidRDefault="00314D48">
            <w:pPr>
              <w:pStyle w:val="Body"/>
            </w:pPr>
            <w:r>
              <w:rPr>
                <w:rFonts w:ascii="Times New Roman" w:hAnsi="Times New Roman"/>
                <w:u w:color="000000"/>
              </w:rPr>
              <w:t xml:space="preserve">No direct interaction with patients will take place, and the proposed studies will only use data already present in approved biobanks (eMerge and </w:t>
            </w:r>
            <w:proofErr w:type="spellStart"/>
            <w:r>
              <w:rPr>
                <w:rFonts w:ascii="Times New Roman" w:hAnsi="Times New Roman"/>
                <w:u w:color="000000"/>
              </w:rPr>
              <w:t>NUgene</w:t>
            </w:r>
            <w:proofErr w:type="spellEnd"/>
            <w:r>
              <w:rPr>
                <w:rFonts w:ascii="Times New Roman" w:hAnsi="Times New Roman"/>
                <w:u w:color="000000"/>
              </w:rPr>
              <w:t xml:space="preserve">). </w:t>
            </w:r>
          </w:p>
        </w:tc>
      </w:tr>
      <w:tr w:rsidR="00E608B4" w14:paraId="71BBED54" w14:textId="77777777">
        <w:trPr>
          <w:trHeight w:val="890"/>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52" w14:textId="77777777" w:rsidR="00E608B4" w:rsidRDefault="00314D48">
            <w:pPr>
              <w:pStyle w:val="Body"/>
            </w:pPr>
            <w:r>
              <w:rPr>
                <w:rFonts w:ascii="Carlito" w:hAnsi="Carlito"/>
                <w:b/>
                <w:bCs/>
                <w:u w:color="000000"/>
              </w:rPr>
              <w:t>Available Funding or Resources</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53" w14:textId="77777777" w:rsidR="00E608B4" w:rsidRDefault="00314D48">
            <w:pPr>
              <w:pStyle w:val="Default"/>
              <w:spacing w:before="100" w:after="100" w:line="480" w:lineRule="auto"/>
            </w:pPr>
            <w:r>
              <w:rPr>
                <w:rFonts w:ascii="Times New Roman" w:hAnsi="Times New Roman"/>
                <w:u w:color="000000"/>
              </w:rPr>
              <w:t xml:space="preserve">Access to </w:t>
            </w:r>
            <w:proofErr w:type="spellStart"/>
            <w:r>
              <w:rPr>
                <w:rFonts w:ascii="Times New Roman" w:hAnsi="Times New Roman"/>
                <w:u w:color="000000"/>
              </w:rPr>
              <w:t>NUgene</w:t>
            </w:r>
            <w:proofErr w:type="spellEnd"/>
            <w:r>
              <w:rPr>
                <w:rFonts w:ascii="Times New Roman" w:hAnsi="Times New Roman"/>
                <w:u w:color="000000"/>
              </w:rPr>
              <w:t xml:space="preserve"> and eMerge is funded by a grant from the Novo Nordisk Foundation to Martin </w:t>
            </w:r>
            <w:proofErr w:type="spellStart"/>
            <w:r>
              <w:rPr>
                <w:rFonts w:ascii="Times New Roman" w:hAnsi="Times New Roman"/>
                <w:u w:color="000000"/>
              </w:rPr>
              <w:t>Sillesen</w:t>
            </w:r>
            <w:proofErr w:type="spellEnd"/>
            <w:r>
              <w:rPr>
                <w:rFonts w:ascii="Times New Roman" w:hAnsi="Times New Roman"/>
                <w:u w:color="000000"/>
              </w:rPr>
              <w:t xml:space="preserve"> (Grant #NNF19OC0055183)</w:t>
            </w:r>
          </w:p>
        </w:tc>
      </w:tr>
      <w:tr w:rsidR="00E608B4" w14:paraId="71BBED57" w14:textId="77777777">
        <w:trPr>
          <w:trHeight w:val="519"/>
        </w:trPr>
        <w:tc>
          <w:tcPr>
            <w:tcW w:w="2491" w:type="dxa"/>
            <w:tcBorders>
              <w:top w:val="single" w:sz="4" w:space="0" w:color="E7E6E6"/>
              <w:left w:val="nil"/>
              <w:bottom w:val="single" w:sz="4" w:space="0" w:color="E7E6E6"/>
              <w:right w:val="single" w:sz="4" w:space="0" w:color="E7E6E6"/>
            </w:tcBorders>
            <w:shd w:val="clear" w:color="auto" w:fill="E7EAF4"/>
            <w:tcMar>
              <w:top w:w="80" w:type="dxa"/>
              <w:left w:w="80" w:type="dxa"/>
              <w:bottom w:w="80" w:type="dxa"/>
              <w:right w:w="80" w:type="dxa"/>
            </w:tcMar>
            <w:vAlign w:val="center"/>
          </w:tcPr>
          <w:p w14:paraId="71BBED55" w14:textId="77777777" w:rsidR="00E608B4" w:rsidRDefault="00314D48">
            <w:pPr>
              <w:pStyle w:val="Body"/>
            </w:pPr>
            <w:r>
              <w:rPr>
                <w:rFonts w:ascii="Carlito" w:hAnsi="Carlito"/>
                <w:b/>
                <w:bCs/>
                <w:u w:color="000000"/>
              </w:rPr>
              <w:t>Target Journal</w:t>
            </w:r>
          </w:p>
        </w:tc>
        <w:tc>
          <w:tcPr>
            <w:tcW w:w="6868" w:type="dxa"/>
            <w:gridSpan w:val="2"/>
            <w:tcBorders>
              <w:top w:val="single" w:sz="4" w:space="0" w:color="E7E6E6"/>
              <w:left w:val="single" w:sz="4" w:space="0" w:color="E7E6E6"/>
              <w:bottom w:val="single" w:sz="4" w:space="0" w:color="E7E6E6"/>
              <w:right w:val="nil"/>
            </w:tcBorders>
            <w:shd w:val="clear" w:color="auto" w:fill="E7EAF4"/>
            <w:tcMar>
              <w:top w:w="80" w:type="dxa"/>
              <w:left w:w="80" w:type="dxa"/>
              <w:bottom w:w="80" w:type="dxa"/>
              <w:right w:w="80" w:type="dxa"/>
            </w:tcMar>
          </w:tcPr>
          <w:p w14:paraId="657AA6DE" w14:textId="77777777" w:rsidR="00E608B4" w:rsidRDefault="00314D48">
            <w:pPr>
              <w:pStyle w:val="Default"/>
              <w:spacing w:before="0" w:line="240" w:lineRule="auto"/>
              <w:rPr>
                <w:rFonts w:ascii="Calibri Light" w:hAnsi="Calibri Light"/>
                <w:sz w:val="22"/>
                <w:szCs w:val="22"/>
                <w:u w:color="000000"/>
              </w:rPr>
            </w:pPr>
            <w:r>
              <w:rPr>
                <w:rFonts w:ascii="Calibri Light" w:hAnsi="Calibri Light"/>
                <w:sz w:val="22"/>
                <w:szCs w:val="22"/>
                <w:u w:color="000000"/>
              </w:rPr>
              <w:t xml:space="preserve">To be decided. </w:t>
            </w:r>
          </w:p>
          <w:p w14:paraId="65C1807A" w14:textId="77777777" w:rsidR="00A905B6" w:rsidRDefault="00032F5F">
            <w:pPr>
              <w:pStyle w:val="Default"/>
              <w:spacing w:before="0" w:line="240" w:lineRule="auto"/>
              <w:rPr>
                <w:rFonts w:ascii="Calibri Light" w:hAnsi="Calibri Light"/>
                <w:sz w:val="22"/>
                <w:szCs w:val="22"/>
                <w:u w:color="000000"/>
              </w:rPr>
            </w:pPr>
            <w:r>
              <w:rPr>
                <w:rFonts w:ascii="Calibri Light" w:hAnsi="Calibri Light"/>
                <w:sz w:val="22"/>
                <w:szCs w:val="22"/>
                <w:u w:color="000000"/>
              </w:rPr>
              <w:t>Annals of Surgery</w:t>
            </w:r>
          </w:p>
          <w:p w14:paraId="304DEA93" w14:textId="77777777" w:rsidR="00032F5F" w:rsidRDefault="00032F5F">
            <w:pPr>
              <w:pStyle w:val="Default"/>
              <w:spacing w:before="0" w:line="240" w:lineRule="auto"/>
              <w:rPr>
                <w:rFonts w:ascii="Calibri Light" w:hAnsi="Calibri Light"/>
                <w:sz w:val="22"/>
                <w:szCs w:val="22"/>
                <w:u w:color="000000"/>
              </w:rPr>
            </w:pPr>
            <w:r>
              <w:rPr>
                <w:rFonts w:ascii="Calibri Light" w:hAnsi="Calibri Light"/>
                <w:sz w:val="22"/>
                <w:szCs w:val="22"/>
                <w:u w:color="000000"/>
              </w:rPr>
              <w:t>JAMA Surgery</w:t>
            </w:r>
          </w:p>
          <w:p w14:paraId="71BBED56" w14:textId="60C0DA90" w:rsidR="00032F5F" w:rsidRDefault="00032F5F">
            <w:pPr>
              <w:pStyle w:val="Default"/>
              <w:spacing w:before="0" w:line="240" w:lineRule="auto"/>
            </w:pPr>
            <w:r>
              <w:rPr>
                <w:rFonts w:ascii="Calibri Light" w:hAnsi="Calibri Light"/>
                <w:sz w:val="22"/>
                <w:szCs w:val="22"/>
                <w:u w:color="000000"/>
              </w:rPr>
              <w:t>British Journal of Surgery</w:t>
            </w:r>
          </w:p>
        </w:tc>
      </w:tr>
      <w:tr w:rsidR="00E608B4" w14:paraId="71BBED5D" w14:textId="77777777">
        <w:trPr>
          <w:trHeight w:val="2561"/>
        </w:trPr>
        <w:tc>
          <w:tcPr>
            <w:tcW w:w="2491" w:type="dxa"/>
            <w:tcBorders>
              <w:top w:val="single" w:sz="4" w:space="0" w:color="E7E6E6"/>
              <w:left w:val="nil"/>
              <w:bottom w:val="single" w:sz="4" w:space="0" w:color="E7E6E6"/>
              <w:right w:val="single" w:sz="4" w:space="0" w:color="E7E6E6"/>
            </w:tcBorders>
            <w:shd w:val="clear" w:color="auto" w:fill="auto"/>
            <w:tcMar>
              <w:top w:w="80" w:type="dxa"/>
              <w:left w:w="80" w:type="dxa"/>
              <w:bottom w:w="80" w:type="dxa"/>
              <w:right w:w="80" w:type="dxa"/>
            </w:tcMar>
            <w:vAlign w:val="center"/>
          </w:tcPr>
          <w:p w14:paraId="71BBED58" w14:textId="77777777" w:rsidR="00E608B4" w:rsidRDefault="00E608B4">
            <w:pPr>
              <w:pStyle w:val="Body"/>
              <w:rPr>
                <w:rFonts w:ascii="Carlito" w:eastAsia="Carlito" w:hAnsi="Carlito" w:cs="Carlito"/>
                <w:b/>
                <w:bCs/>
                <w:u w:color="000000"/>
              </w:rPr>
            </w:pPr>
          </w:p>
          <w:p w14:paraId="71BBED59" w14:textId="60803019" w:rsidR="00E608B4" w:rsidRDefault="00314D48">
            <w:pPr>
              <w:pStyle w:val="Body"/>
              <w:rPr>
                <w:rFonts w:ascii="Carlito" w:eastAsia="Carlito" w:hAnsi="Carlito" w:cs="Carlito"/>
                <w:b/>
                <w:bCs/>
                <w:u w:color="000000"/>
              </w:rPr>
            </w:pPr>
            <w:r>
              <w:rPr>
                <w:rFonts w:ascii="Carlito" w:hAnsi="Carlito"/>
                <w:b/>
                <w:bCs/>
                <w:u w:color="000000"/>
              </w:rPr>
              <w:t>Milestones</w:t>
            </w:r>
            <w:r w:rsidR="0032229F" w:rsidRPr="00227240">
              <w:rPr>
                <w:rFonts w:ascii="Calibri Light" w:hAnsi="Calibri Light"/>
                <w:b/>
                <w:i/>
              </w:rPr>
              <w:t>**</w:t>
            </w:r>
          </w:p>
          <w:p w14:paraId="71BBED5A" w14:textId="77777777" w:rsidR="00E608B4" w:rsidRDefault="00314D48">
            <w:pPr>
              <w:pStyle w:val="Body"/>
            </w:pPr>
            <w:r>
              <w:rPr>
                <w:rFonts w:ascii="Calibri Light" w:hAnsi="Calibri Light"/>
                <w:i/>
                <w:iCs/>
                <w:u w:color="000000"/>
              </w:rPr>
              <w:t>(This section should include the key dates for completion of project, including approval, project duration, draft completion, and submission.)</w:t>
            </w:r>
          </w:p>
        </w:tc>
        <w:tc>
          <w:tcPr>
            <w:tcW w:w="6868" w:type="dxa"/>
            <w:gridSpan w:val="2"/>
            <w:tcBorders>
              <w:top w:val="single" w:sz="4" w:space="0" w:color="E7E6E6"/>
              <w:left w:val="single" w:sz="4" w:space="0" w:color="E7E6E6"/>
              <w:bottom w:val="single" w:sz="4" w:space="0" w:color="E7E6E6"/>
              <w:right w:val="nil"/>
            </w:tcBorders>
            <w:shd w:val="clear" w:color="auto" w:fill="auto"/>
            <w:tcMar>
              <w:top w:w="80" w:type="dxa"/>
              <w:left w:w="80" w:type="dxa"/>
              <w:bottom w:w="80" w:type="dxa"/>
              <w:right w:w="80" w:type="dxa"/>
            </w:tcMar>
          </w:tcPr>
          <w:p w14:paraId="71BBED5B" w14:textId="77777777" w:rsidR="00E608B4" w:rsidRDefault="00E608B4">
            <w:pPr>
              <w:pStyle w:val="Body"/>
              <w:rPr>
                <w:rFonts w:ascii="Calibri Light" w:eastAsia="Calibri Light" w:hAnsi="Calibri Light" w:cs="Calibri Light"/>
                <w:u w:color="000000"/>
              </w:rPr>
            </w:pPr>
          </w:p>
          <w:p w14:paraId="76D5FEA8" w14:textId="77777777" w:rsidR="00F872DB" w:rsidRDefault="00314D48">
            <w:pPr>
              <w:pStyle w:val="Body"/>
              <w:rPr>
                <w:rFonts w:ascii="Calibri Light" w:hAnsi="Calibri Light"/>
                <w:u w:color="000000"/>
              </w:rPr>
            </w:pPr>
            <w:r>
              <w:rPr>
                <w:rFonts w:ascii="Calibri Light" w:hAnsi="Calibri Light"/>
                <w:u w:color="000000"/>
              </w:rPr>
              <w:t xml:space="preserve">We anticipate manuscript submissions within 1 year of approval of data access. Analysis is expected to one completed by Dec 31, </w:t>
            </w:r>
            <w:proofErr w:type="gramStart"/>
            <w:r>
              <w:rPr>
                <w:rFonts w:ascii="Calibri Light" w:hAnsi="Calibri Light"/>
                <w:u w:color="000000"/>
              </w:rPr>
              <w:t>2022</w:t>
            </w:r>
            <w:proofErr w:type="gramEnd"/>
            <w:r>
              <w:rPr>
                <w:rFonts w:ascii="Calibri Light" w:hAnsi="Calibri Light"/>
                <w:u w:color="000000"/>
              </w:rPr>
              <w:t xml:space="preserve"> and the manuscripts will be completed by summer 2023</w:t>
            </w:r>
            <w:r w:rsidR="00F872DB">
              <w:rPr>
                <w:rFonts w:ascii="Calibri Light" w:hAnsi="Calibri Light"/>
                <w:u w:color="000000"/>
              </w:rPr>
              <w:t xml:space="preserve"> as follows:</w:t>
            </w:r>
          </w:p>
          <w:p w14:paraId="484BB502" w14:textId="1F9B525D" w:rsidR="00F872DB" w:rsidRDefault="00473777" w:rsidP="00F872DB">
            <w:pPr>
              <w:pStyle w:val="ListParagraph"/>
              <w:numPr>
                <w:ilvl w:val="2"/>
                <w:numId w:val="4"/>
              </w:numPr>
              <w:ind w:left="360"/>
              <w:rPr>
                <w:rFonts w:asciiTheme="minorHAnsi" w:hAnsiTheme="minorHAnsi" w:cstheme="minorBidi"/>
                <w:color w:val="1F497D"/>
                <w:sz w:val="22"/>
                <w:szCs w:val="22"/>
              </w:rPr>
            </w:pPr>
            <w:r>
              <w:rPr>
                <w:rFonts w:asciiTheme="minorHAnsi" w:hAnsiTheme="minorHAnsi" w:cstheme="minorBidi"/>
                <w:b/>
                <w:i/>
                <w:color w:val="1F497D"/>
                <w:sz w:val="22"/>
                <w:szCs w:val="22"/>
              </w:rPr>
              <w:t>06/01/2023</w:t>
            </w:r>
            <w:r w:rsidR="00F872DB" w:rsidRPr="00F872DB">
              <w:rPr>
                <w:rFonts w:asciiTheme="minorHAnsi" w:hAnsiTheme="minorHAnsi" w:cstheme="minorBidi"/>
                <w:b/>
                <w:i/>
                <w:color w:val="1F497D"/>
                <w:sz w:val="22"/>
                <w:szCs w:val="22"/>
              </w:rPr>
              <w:t>:</w:t>
            </w:r>
            <w:r w:rsidR="00F872DB">
              <w:rPr>
                <w:rFonts w:asciiTheme="minorHAnsi" w:hAnsiTheme="minorHAnsi" w:cstheme="minorBidi"/>
                <w:color w:val="1F497D"/>
                <w:sz w:val="22"/>
                <w:szCs w:val="22"/>
              </w:rPr>
              <w:t xml:space="preserve"> 1</w:t>
            </w:r>
            <w:r w:rsidR="00F872DB">
              <w:rPr>
                <w:rFonts w:asciiTheme="minorHAnsi" w:hAnsiTheme="minorHAnsi" w:cstheme="minorBidi"/>
                <w:color w:val="1F497D"/>
                <w:sz w:val="22"/>
                <w:szCs w:val="22"/>
                <w:vertAlign w:val="superscript"/>
              </w:rPr>
              <w:t>st</w:t>
            </w:r>
            <w:r w:rsidR="00F872DB">
              <w:rPr>
                <w:rFonts w:asciiTheme="minorHAnsi" w:hAnsiTheme="minorHAnsi" w:cstheme="minorBidi"/>
                <w:color w:val="1F497D"/>
                <w:sz w:val="22"/>
                <w:szCs w:val="22"/>
              </w:rPr>
              <w:t xml:space="preserve"> manuscript draft sent to all authors for review</w:t>
            </w:r>
          </w:p>
          <w:p w14:paraId="1B6BEA31" w14:textId="2E9F05F8" w:rsidR="00F872DB" w:rsidRDefault="00473777" w:rsidP="00F872DB">
            <w:pPr>
              <w:pStyle w:val="ListParagraph"/>
              <w:numPr>
                <w:ilvl w:val="2"/>
                <w:numId w:val="4"/>
              </w:numPr>
              <w:ind w:left="360"/>
              <w:rPr>
                <w:rFonts w:asciiTheme="minorHAnsi" w:hAnsiTheme="minorHAnsi" w:cstheme="minorBidi"/>
                <w:color w:val="1F497D"/>
                <w:sz w:val="22"/>
                <w:szCs w:val="22"/>
              </w:rPr>
            </w:pPr>
            <w:r>
              <w:rPr>
                <w:rFonts w:asciiTheme="minorHAnsi" w:hAnsiTheme="minorHAnsi" w:cstheme="minorBidi"/>
                <w:b/>
                <w:i/>
                <w:color w:val="1F497D"/>
                <w:sz w:val="22"/>
                <w:szCs w:val="22"/>
              </w:rPr>
              <w:t>06/15/2023</w:t>
            </w:r>
            <w:r w:rsidR="00F872DB" w:rsidRPr="00F872DB">
              <w:rPr>
                <w:rFonts w:asciiTheme="minorHAnsi" w:hAnsiTheme="minorHAnsi" w:cstheme="minorBidi"/>
                <w:b/>
                <w:i/>
                <w:color w:val="1F497D"/>
                <w:sz w:val="22"/>
                <w:szCs w:val="22"/>
              </w:rPr>
              <w:t>:</w:t>
            </w:r>
            <w:r w:rsidR="00F872DB" w:rsidRPr="00F872DB">
              <w:rPr>
                <w:rFonts w:asciiTheme="minorHAnsi" w:hAnsiTheme="minorHAnsi" w:cstheme="minorBidi"/>
                <w:b/>
                <w:color w:val="1F497D"/>
                <w:sz w:val="22"/>
                <w:szCs w:val="22"/>
              </w:rPr>
              <w:t xml:space="preserve"> </w:t>
            </w:r>
            <w:r w:rsidR="00F872DB">
              <w:rPr>
                <w:rFonts w:asciiTheme="minorHAnsi" w:hAnsiTheme="minorHAnsi" w:cstheme="minorBidi"/>
                <w:color w:val="1F497D"/>
                <w:sz w:val="22"/>
                <w:szCs w:val="22"/>
              </w:rPr>
              <w:t>Final draft sent to all authors for approval</w:t>
            </w:r>
          </w:p>
          <w:p w14:paraId="71BBED5C" w14:textId="054B62F9" w:rsidR="00E608B4" w:rsidRPr="00787F63" w:rsidRDefault="00473777" w:rsidP="00787F63">
            <w:pPr>
              <w:pStyle w:val="ListParagraph"/>
              <w:numPr>
                <w:ilvl w:val="2"/>
                <w:numId w:val="4"/>
              </w:numPr>
              <w:ind w:left="360"/>
              <w:rPr>
                <w:rFonts w:asciiTheme="minorHAnsi" w:hAnsiTheme="minorHAnsi" w:cstheme="minorBidi"/>
                <w:color w:val="1F497D"/>
                <w:sz w:val="22"/>
                <w:szCs w:val="22"/>
              </w:rPr>
            </w:pPr>
            <w:r>
              <w:rPr>
                <w:rFonts w:asciiTheme="minorHAnsi" w:hAnsiTheme="minorHAnsi" w:cstheme="minorBidi"/>
                <w:b/>
                <w:i/>
                <w:color w:val="1F497D"/>
                <w:sz w:val="22"/>
                <w:szCs w:val="22"/>
              </w:rPr>
              <w:t>06/25/2023</w:t>
            </w:r>
            <w:r w:rsidR="00F872DB" w:rsidRPr="00F872DB">
              <w:rPr>
                <w:rFonts w:asciiTheme="minorHAnsi" w:hAnsiTheme="minorHAnsi" w:cstheme="minorBidi"/>
                <w:b/>
                <w:i/>
                <w:color w:val="1F497D"/>
                <w:sz w:val="22"/>
                <w:szCs w:val="22"/>
              </w:rPr>
              <w:t xml:space="preserve">: </w:t>
            </w:r>
            <w:r w:rsidR="00F872DB">
              <w:rPr>
                <w:rFonts w:asciiTheme="minorHAnsi" w:hAnsiTheme="minorHAnsi" w:cstheme="minorBidi"/>
                <w:color w:val="1F497D"/>
                <w:sz w:val="22"/>
                <w:szCs w:val="22"/>
              </w:rPr>
              <w:t>Submission to journal</w:t>
            </w:r>
          </w:p>
        </w:tc>
      </w:tr>
    </w:tbl>
    <w:p w14:paraId="71BBED5E" w14:textId="77777777" w:rsidR="00E608B4" w:rsidRDefault="00E608B4">
      <w:pPr>
        <w:pStyle w:val="Default"/>
        <w:widowControl w:val="0"/>
        <w:spacing w:before="100" w:after="100" w:line="240" w:lineRule="auto"/>
        <w:rPr>
          <w:rFonts w:ascii="Times New Roman" w:eastAsia="Times New Roman" w:hAnsi="Times New Roman" w:cs="Times New Roman"/>
          <w:b/>
          <w:bCs/>
          <w:u w:color="000000"/>
        </w:rPr>
      </w:pPr>
    </w:p>
    <w:p w14:paraId="71BBED5F" w14:textId="77777777" w:rsidR="00E608B4" w:rsidRDefault="00E608B4">
      <w:pPr>
        <w:pStyle w:val="Body"/>
        <w:rPr>
          <w:rFonts w:ascii="Times New Roman" w:eastAsia="Times New Roman" w:hAnsi="Times New Roman" w:cs="Times New Roman"/>
          <w:sz w:val="24"/>
          <w:szCs w:val="24"/>
          <w:u w:color="000000"/>
        </w:rPr>
      </w:pPr>
    </w:p>
    <w:p w14:paraId="71BBED60" w14:textId="77777777" w:rsidR="00E608B4" w:rsidRDefault="00314D48">
      <w:pPr>
        <w:pStyle w:val="Body"/>
        <w:rPr>
          <w:rFonts w:ascii="Carlito" w:eastAsia="Carlito" w:hAnsi="Carlito" w:cs="Carlito"/>
          <w:b/>
          <w:bCs/>
          <w:u w:color="000000"/>
        </w:rPr>
      </w:pPr>
      <w:r>
        <w:rPr>
          <w:rFonts w:ascii="Carlito" w:hAnsi="Carlito"/>
          <w:b/>
          <w:bCs/>
          <w:u w:color="000000"/>
        </w:rPr>
        <w:t xml:space="preserve">*Common Variables available across all datasets: </w:t>
      </w:r>
    </w:p>
    <w:p w14:paraId="71BBED61" w14:textId="692B61CB" w:rsidR="00E608B4" w:rsidRDefault="00314D48">
      <w:pPr>
        <w:pStyle w:val="Default"/>
        <w:numPr>
          <w:ilvl w:val="0"/>
          <w:numId w:val="2"/>
        </w:numPr>
        <w:spacing w:before="0" w:line="240" w:lineRule="auto"/>
        <w:rPr>
          <w:rFonts w:ascii="Calibri Light" w:hAnsi="Calibri Light"/>
          <w:sz w:val="22"/>
          <w:szCs w:val="22"/>
          <w:u w:color="000000"/>
        </w:rPr>
      </w:pPr>
      <w:r>
        <w:rPr>
          <w:rFonts w:ascii="Calibri Light" w:hAnsi="Calibri Light"/>
          <w:sz w:val="22"/>
          <w:szCs w:val="22"/>
          <w:u w:val="single" w:color="000000"/>
        </w:rPr>
        <w:t>Demographics:</w:t>
      </w:r>
      <w:r>
        <w:rPr>
          <w:rFonts w:ascii="Calibri Light" w:hAnsi="Calibri Light"/>
          <w:sz w:val="22"/>
          <w:szCs w:val="22"/>
          <w:u w:color="000000"/>
        </w:rPr>
        <w:t xml:space="preserve"> sex, year of birth, decade of birth, race, </w:t>
      </w:r>
      <w:r w:rsidR="00787F63">
        <w:rPr>
          <w:rFonts w:ascii="Calibri Light" w:hAnsi="Calibri Light"/>
          <w:sz w:val="22"/>
          <w:szCs w:val="22"/>
          <w:u w:color="000000"/>
        </w:rPr>
        <w:t>ethnicity</w:t>
      </w:r>
    </w:p>
    <w:p w14:paraId="71BBED62" w14:textId="77777777" w:rsidR="00E608B4" w:rsidRDefault="00314D48">
      <w:pPr>
        <w:pStyle w:val="Default"/>
        <w:numPr>
          <w:ilvl w:val="0"/>
          <w:numId w:val="2"/>
        </w:numPr>
        <w:spacing w:before="0" w:line="240" w:lineRule="auto"/>
        <w:rPr>
          <w:rFonts w:ascii="Calibri Light" w:hAnsi="Calibri Light"/>
          <w:sz w:val="22"/>
          <w:szCs w:val="22"/>
          <w:u w:color="000000"/>
        </w:rPr>
      </w:pPr>
      <w:r>
        <w:rPr>
          <w:rFonts w:ascii="Calibri" w:hAnsi="Calibri"/>
          <w:sz w:val="22"/>
          <w:szCs w:val="22"/>
          <w:u w:val="single" w:color="000000"/>
        </w:rPr>
        <w:t>Codes</w:t>
      </w:r>
      <w:r>
        <w:rPr>
          <w:rFonts w:ascii="Calibri" w:hAnsi="Calibri"/>
          <w:sz w:val="22"/>
          <w:szCs w:val="22"/>
          <w:u w:color="000000"/>
        </w:rPr>
        <w:t xml:space="preserve">: (repeated values &amp; age at event): ICD, CPT, </w:t>
      </w:r>
      <w:proofErr w:type="spellStart"/>
      <w:r>
        <w:rPr>
          <w:rFonts w:ascii="Calibri" w:hAnsi="Calibri"/>
          <w:sz w:val="22"/>
          <w:szCs w:val="22"/>
          <w:u w:color="000000"/>
        </w:rPr>
        <w:t>Phecodes</w:t>
      </w:r>
      <w:proofErr w:type="spellEnd"/>
    </w:p>
    <w:p w14:paraId="71BBED63" w14:textId="77777777" w:rsidR="00E608B4" w:rsidRDefault="00314D48">
      <w:pPr>
        <w:pStyle w:val="Default"/>
        <w:numPr>
          <w:ilvl w:val="0"/>
          <w:numId w:val="2"/>
        </w:numPr>
        <w:spacing w:before="0" w:line="240" w:lineRule="auto"/>
        <w:rPr>
          <w:rFonts w:ascii="Calibri Light" w:hAnsi="Calibri Light"/>
          <w:sz w:val="22"/>
          <w:szCs w:val="22"/>
          <w:u w:color="000000"/>
        </w:rPr>
      </w:pPr>
      <w:r>
        <w:rPr>
          <w:rFonts w:ascii="Calibri" w:hAnsi="Calibri"/>
          <w:sz w:val="22"/>
          <w:szCs w:val="22"/>
          <w:u w:val="single" w:color="000000"/>
        </w:rPr>
        <w:t>BMI</w:t>
      </w:r>
      <w:r>
        <w:rPr>
          <w:rFonts w:ascii="Calibri Light" w:hAnsi="Calibri Light"/>
          <w:sz w:val="22"/>
          <w:szCs w:val="22"/>
          <w:u w:color="000000"/>
        </w:rPr>
        <w:t xml:space="preserve">: </w:t>
      </w:r>
      <w:r>
        <w:rPr>
          <w:rFonts w:ascii="Calibri" w:hAnsi="Calibri"/>
          <w:sz w:val="22"/>
          <w:szCs w:val="22"/>
          <w:u w:color="000000"/>
        </w:rPr>
        <w:t>(repeated value &amp; age at event) height, weight, BMI</w:t>
      </w:r>
    </w:p>
    <w:p w14:paraId="71BBED64" w14:textId="77777777" w:rsidR="00E608B4" w:rsidRDefault="00314D48">
      <w:pPr>
        <w:pStyle w:val="Default"/>
        <w:numPr>
          <w:ilvl w:val="0"/>
          <w:numId w:val="2"/>
        </w:numPr>
        <w:spacing w:before="0" w:line="240" w:lineRule="auto"/>
        <w:rPr>
          <w:rFonts w:ascii="Calibri Light" w:hAnsi="Calibri Light"/>
          <w:sz w:val="22"/>
          <w:szCs w:val="22"/>
          <w:u w:color="000000"/>
        </w:rPr>
      </w:pPr>
      <w:r>
        <w:rPr>
          <w:rFonts w:ascii="Calibri Light" w:hAnsi="Calibri Light"/>
          <w:sz w:val="22"/>
          <w:szCs w:val="22"/>
          <w:u w:val="single" w:color="000000"/>
        </w:rPr>
        <w:t>Labs</w:t>
      </w:r>
      <w:r>
        <w:rPr>
          <w:rFonts w:ascii="Calibri Light" w:hAnsi="Calibri Light"/>
          <w:sz w:val="22"/>
          <w:szCs w:val="22"/>
          <w:u w:color="000000"/>
        </w:rPr>
        <w:t xml:space="preserve">: (lab </w:t>
      </w:r>
      <w:r>
        <w:rPr>
          <w:rFonts w:ascii="Calibri" w:hAnsi="Calibri"/>
          <w:sz w:val="22"/>
          <w:szCs w:val="22"/>
          <w:u w:color="000000"/>
        </w:rPr>
        <w:t>name, repeated lab value &amp; age at event)</w:t>
      </w:r>
      <w:r>
        <w:rPr>
          <w:rFonts w:ascii="Calibri Light" w:hAnsi="Calibri Light"/>
          <w:sz w:val="22"/>
          <w:szCs w:val="22"/>
          <w:u w:color="000000"/>
        </w:rPr>
        <w:t xml:space="preserve"> Serum total cholesterol, LDL, HDL, Triglycerides, Glucose fasting/non-fasting/unknown, &amp; White Blood Cell count</w:t>
      </w:r>
    </w:p>
    <w:p w14:paraId="71BBED65" w14:textId="77777777" w:rsidR="00E608B4" w:rsidRDefault="00314D48">
      <w:pPr>
        <w:pStyle w:val="Default"/>
        <w:numPr>
          <w:ilvl w:val="0"/>
          <w:numId w:val="2"/>
        </w:numPr>
        <w:spacing w:before="0" w:line="240" w:lineRule="auto"/>
        <w:rPr>
          <w:rFonts w:ascii="Calibri Light" w:hAnsi="Calibri Light"/>
          <w:sz w:val="22"/>
          <w:szCs w:val="22"/>
          <w:u w:color="000000"/>
        </w:rPr>
      </w:pPr>
      <w:r>
        <w:rPr>
          <w:rFonts w:ascii="Calibri Light" w:hAnsi="Calibri Light"/>
          <w:sz w:val="22"/>
          <w:szCs w:val="22"/>
          <w:u w:val="single" w:color="000000"/>
        </w:rPr>
        <w:t>Medications</w:t>
      </w:r>
      <w:r>
        <w:rPr>
          <w:rFonts w:ascii="Calibri Light" w:hAnsi="Calibri Light"/>
          <w:sz w:val="22"/>
          <w:szCs w:val="22"/>
          <w:u w:color="000000"/>
        </w:rPr>
        <w:t xml:space="preserve">: (medication name, repeated, &amp; age at event) Cerivastatin sodium, Rosuvastatin, Simvastatin, Fluvastatin, Pravastatin, Lovastatin, Atorvastatin, &amp; </w:t>
      </w:r>
      <w:proofErr w:type="spellStart"/>
      <w:r>
        <w:rPr>
          <w:rFonts w:ascii="Calibri Light" w:hAnsi="Calibri Light"/>
          <w:sz w:val="22"/>
          <w:szCs w:val="22"/>
          <w:u w:color="000000"/>
        </w:rPr>
        <w:t>Pitavastatin</w:t>
      </w:r>
      <w:proofErr w:type="spellEnd"/>
    </w:p>
    <w:p w14:paraId="71BBED66" w14:textId="77777777" w:rsidR="00E608B4" w:rsidRDefault="00314D48">
      <w:pPr>
        <w:pStyle w:val="Default"/>
        <w:numPr>
          <w:ilvl w:val="0"/>
          <w:numId w:val="2"/>
        </w:numPr>
        <w:spacing w:before="0" w:line="240" w:lineRule="auto"/>
        <w:rPr>
          <w:rFonts w:ascii="Calibri Light" w:hAnsi="Calibri Light"/>
          <w:sz w:val="22"/>
          <w:szCs w:val="22"/>
          <w:u w:color="000000"/>
        </w:rPr>
      </w:pPr>
      <w:r>
        <w:rPr>
          <w:rFonts w:ascii="Calibri Light" w:hAnsi="Calibri Light"/>
          <w:sz w:val="22"/>
          <w:szCs w:val="22"/>
          <w:u w:val="single" w:color="000000"/>
        </w:rPr>
        <w:t>Other: Case/Control status on Phase I and Phase II phenotype:</w:t>
      </w:r>
      <w:r>
        <w:rPr>
          <w:rFonts w:ascii="Calibri Light" w:hAnsi="Calibri Light"/>
          <w:sz w:val="22"/>
          <w:szCs w:val="22"/>
          <w:u w:color="000000"/>
        </w:rPr>
        <w:t xml:space="preserve"> only on GWAS dataset participants</w:t>
      </w:r>
    </w:p>
    <w:p w14:paraId="71BBED67" w14:textId="5A8F3BD4" w:rsidR="00E608B4" w:rsidRDefault="00E608B4">
      <w:pPr>
        <w:pStyle w:val="Body"/>
      </w:pPr>
    </w:p>
    <w:p w14:paraId="7D25B297" w14:textId="27776C71" w:rsidR="0032229F" w:rsidRDefault="0032229F" w:rsidP="0032229F">
      <w:pPr>
        <w:rPr>
          <w:b/>
        </w:rPr>
      </w:pPr>
      <w:r w:rsidRPr="00227240">
        <w:rPr>
          <w:rFonts w:ascii="Calibri Light" w:hAnsi="Calibri Light"/>
          <w:b/>
          <w:i/>
          <w:sz w:val="22"/>
        </w:rPr>
        <w:t xml:space="preserve">** </w:t>
      </w:r>
      <w:r w:rsidRPr="00227240">
        <w:rPr>
          <w:rFonts w:ascii="Calibri Light" w:hAnsi="Calibri Light"/>
          <w:i/>
          <w:sz w:val="22"/>
        </w:rPr>
        <w:t xml:space="preserve">This section should include the timeline for completion of project, </w:t>
      </w:r>
      <w:proofErr w:type="gramStart"/>
      <w:r w:rsidRPr="00227240">
        <w:rPr>
          <w:rFonts w:ascii="Calibri Light" w:hAnsi="Calibri Light"/>
          <w:i/>
          <w:sz w:val="22"/>
        </w:rPr>
        <w:t>including:</w:t>
      </w:r>
      <w:proofErr w:type="gramEnd"/>
      <w:r w:rsidRPr="00227240">
        <w:rPr>
          <w:rFonts w:ascii="Calibri Light" w:hAnsi="Calibri Light"/>
          <w:i/>
          <w:sz w:val="22"/>
        </w:rPr>
        <w:t xml:space="preserve"> approval, project duration, first and second draft of the paper and submission.</w:t>
      </w:r>
    </w:p>
    <w:p w14:paraId="43F713A0" w14:textId="32E042A5" w:rsidR="00CF4C1E" w:rsidRDefault="00CF4C1E">
      <w:pPr>
        <w:pStyle w:val="Body"/>
      </w:pPr>
    </w:p>
    <w:sectPr w:rsidR="00CF4C1E">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2CA5" w14:textId="77777777" w:rsidR="00A33DE5" w:rsidRDefault="00A33DE5">
      <w:r>
        <w:separator/>
      </w:r>
    </w:p>
  </w:endnote>
  <w:endnote w:type="continuationSeparator" w:id="0">
    <w:p w14:paraId="1FB9AE05" w14:textId="77777777" w:rsidR="00A33DE5" w:rsidRDefault="00A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Roman">
    <w:altName w:val="Times New Roman"/>
    <w:panose1 w:val="00000500000000020000"/>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ED69" w14:textId="77777777" w:rsidR="00E608B4" w:rsidRDefault="00E60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A0DB" w14:textId="77777777" w:rsidR="00A33DE5" w:rsidRDefault="00A33DE5">
      <w:r>
        <w:separator/>
      </w:r>
    </w:p>
  </w:footnote>
  <w:footnote w:type="continuationSeparator" w:id="0">
    <w:p w14:paraId="22F19335" w14:textId="77777777" w:rsidR="00A33DE5" w:rsidRDefault="00A3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ED68" w14:textId="77777777" w:rsidR="00E608B4" w:rsidRDefault="00E608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786"/>
    <w:multiLevelType w:val="hybridMultilevel"/>
    <w:tmpl w:val="BA421B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371F0C"/>
    <w:multiLevelType w:val="hybridMultilevel"/>
    <w:tmpl w:val="757238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3235E9"/>
    <w:multiLevelType w:val="hybridMultilevel"/>
    <w:tmpl w:val="E240708C"/>
    <w:styleLink w:val="ImportedStyle10"/>
    <w:lvl w:ilvl="0" w:tplc="420ACA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FA4F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924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065F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0A9C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2873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A460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F22B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78B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1F0204"/>
    <w:multiLevelType w:val="hybridMultilevel"/>
    <w:tmpl w:val="DFC4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724D2B"/>
    <w:multiLevelType w:val="hybridMultilevel"/>
    <w:tmpl w:val="E240708C"/>
    <w:numStyleLink w:val="ImportedStyle10"/>
  </w:abstractNum>
  <w:abstractNum w:abstractNumId="5" w15:restartNumberingAfterBreak="0">
    <w:nsid w:val="5AA668D3"/>
    <w:multiLevelType w:val="hybridMultilevel"/>
    <w:tmpl w:val="79FE9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54D38"/>
    <w:multiLevelType w:val="hybridMultilevel"/>
    <w:tmpl w:val="76C848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32608E"/>
    <w:multiLevelType w:val="hybridMultilevel"/>
    <w:tmpl w:val="04DE33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7C66BC"/>
    <w:multiLevelType w:val="hybridMultilevel"/>
    <w:tmpl w:val="F7C6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562155">
    <w:abstractNumId w:val="2"/>
  </w:num>
  <w:num w:numId="2" w16cid:durableId="673916991">
    <w:abstractNumId w:val="4"/>
  </w:num>
  <w:num w:numId="3" w16cid:durableId="520515467">
    <w:abstractNumId w:val="8"/>
  </w:num>
  <w:num w:numId="4" w16cid:durableId="679357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203105">
    <w:abstractNumId w:val="6"/>
  </w:num>
  <w:num w:numId="6" w16cid:durableId="1592884840">
    <w:abstractNumId w:val="3"/>
  </w:num>
  <w:num w:numId="7" w16cid:durableId="26222537">
    <w:abstractNumId w:val="0"/>
  </w:num>
  <w:num w:numId="8" w16cid:durableId="866218150">
    <w:abstractNumId w:val="5"/>
  </w:num>
  <w:num w:numId="9" w16cid:durableId="1681078836">
    <w:abstractNumId w:val="7"/>
  </w:num>
  <w:num w:numId="10" w16cid:durableId="1780756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B4"/>
    <w:rsid w:val="00032F5F"/>
    <w:rsid w:val="000D2936"/>
    <w:rsid w:val="000F0000"/>
    <w:rsid w:val="00100C11"/>
    <w:rsid w:val="001A2D4F"/>
    <w:rsid w:val="002027DE"/>
    <w:rsid w:val="002A14D1"/>
    <w:rsid w:val="002A2640"/>
    <w:rsid w:val="002A5DDE"/>
    <w:rsid w:val="002D2465"/>
    <w:rsid w:val="00314D48"/>
    <w:rsid w:val="0032229F"/>
    <w:rsid w:val="003772D9"/>
    <w:rsid w:val="003A346D"/>
    <w:rsid w:val="003D3415"/>
    <w:rsid w:val="00400DCA"/>
    <w:rsid w:val="00412635"/>
    <w:rsid w:val="004239BA"/>
    <w:rsid w:val="00467072"/>
    <w:rsid w:val="004700BD"/>
    <w:rsid w:val="00473777"/>
    <w:rsid w:val="004E2FC0"/>
    <w:rsid w:val="005A75F6"/>
    <w:rsid w:val="0061265B"/>
    <w:rsid w:val="007054E0"/>
    <w:rsid w:val="0071701D"/>
    <w:rsid w:val="007175AF"/>
    <w:rsid w:val="00787F63"/>
    <w:rsid w:val="00815313"/>
    <w:rsid w:val="00901067"/>
    <w:rsid w:val="009426D6"/>
    <w:rsid w:val="00987FEC"/>
    <w:rsid w:val="00A33DE5"/>
    <w:rsid w:val="00A73DA8"/>
    <w:rsid w:val="00A905B6"/>
    <w:rsid w:val="00BF12AF"/>
    <w:rsid w:val="00C17D0D"/>
    <w:rsid w:val="00C66F9F"/>
    <w:rsid w:val="00CE3DF4"/>
    <w:rsid w:val="00CF4C1E"/>
    <w:rsid w:val="00D15A64"/>
    <w:rsid w:val="00D72D82"/>
    <w:rsid w:val="00DB1B98"/>
    <w:rsid w:val="00DC72B0"/>
    <w:rsid w:val="00DF72AB"/>
    <w:rsid w:val="00E608B4"/>
    <w:rsid w:val="00F872DB"/>
    <w:rsid w:val="00FB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ECAB"/>
  <w15:docId w15:val="{9DD138A4-07C5-448D-A9D9-C23E9331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ImportedStyle10">
    <w:name w:val="Imported Style 10"/>
    <w:pPr>
      <w:numPr>
        <w:numId w:val="1"/>
      </w:numPr>
    </w:pPr>
  </w:style>
  <w:style w:type="paragraph" w:styleId="BalloonText">
    <w:name w:val="Balloon Text"/>
    <w:basedOn w:val="Normal"/>
    <w:link w:val="BalloonTextChar"/>
    <w:uiPriority w:val="99"/>
    <w:semiHidden/>
    <w:unhideWhenUsed/>
    <w:rsid w:val="00DB1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98"/>
    <w:rPr>
      <w:rFonts w:ascii="Segoe UI" w:hAnsi="Segoe UI" w:cs="Segoe UI"/>
      <w:sz w:val="18"/>
      <w:szCs w:val="18"/>
    </w:rPr>
  </w:style>
  <w:style w:type="character" w:styleId="CommentReference">
    <w:name w:val="annotation reference"/>
    <w:basedOn w:val="DefaultParagraphFont"/>
    <w:uiPriority w:val="99"/>
    <w:semiHidden/>
    <w:unhideWhenUsed/>
    <w:rsid w:val="00DB1B98"/>
    <w:rPr>
      <w:sz w:val="16"/>
      <w:szCs w:val="16"/>
    </w:rPr>
  </w:style>
  <w:style w:type="paragraph" w:styleId="CommentText">
    <w:name w:val="annotation text"/>
    <w:basedOn w:val="Normal"/>
    <w:link w:val="CommentTextChar"/>
    <w:uiPriority w:val="99"/>
    <w:semiHidden/>
    <w:unhideWhenUsed/>
    <w:rsid w:val="00DB1B98"/>
    <w:rPr>
      <w:sz w:val="20"/>
      <w:szCs w:val="20"/>
    </w:rPr>
  </w:style>
  <w:style w:type="character" w:customStyle="1" w:styleId="CommentTextChar">
    <w:name w:val="Comment Text Char"/>
    <w:basedOn w:val="DefaultParagraphFont"/>
    <w:link w:val="CommentText"/>
    <w:uiPriority w:val="99"/>
    <w:semiHidden/>
    <w:rsid w:val="00DB1B98"/>
  </w:style>
  <w:style w:type="paragraph" w:styleId="CommentSubject">
    <w:name w:val="annotation subject"/>
    <w:basedOn w:val="CommentText"/>
    <w:next w:val="CommentText"/>
    <w:link w:val="CommentSubjectChar"/>
    <w:uiPriority w:val="99"/>
    <w:semiHidden/>
    <w:unhideWhenUsed/>
    <w:rsid w:val="00DB1B98"/>
    <w:rPr>
      <w:b/>
      <w:bCs/>
    </w:rPr>
  </w:style>
  <w:style w:type="character" w:customStyle="1" w:styleId="CommentSubjectChar">
    <w:name w:val="Comment Subject Char"/>
    <w:basedOn w:val="CommentTextChar"/>
    <w:link w:val="CommentSubject"/>
    <w:uiPriority w:val="99"/>
    <w:semiHidden/>
    <w:rsid w:val="00DB1B98"/>
    <w:rPr>
      <w:b/>
      <w:bCs/>
    </w:rPr>
  </w:style>
  <w:style w:type="paragraph" w:styleId="Revision">
    <w:name w:val="Revision"/>
    <w:hidden/>
    <w:uiPriority w:val="99"/>
    <w:semiHidden/>
    <w:rsid w:val="007175A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F872D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1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thias.aagaard.christensen@regionh.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9292C0003CA4A8E20D28D6C2B9B69" ma:contentTypeVersion="14" ma:contentTypeDescription="Create a new document." ma:contentTypeScope="" ma:versionID="e0aac5e6ddbb32bfeb263aefa1df9c58">
  <xsd:schema xmlns:xsd="http://www.w3.org/2001/XMLSchema" xmlns:xs="http://www.w3.org/2001/XMLSchema" xmlns:p="http://schemas.microsoft.com/office/2006/metadata/properties" xmlns:ns3="4a7e07fe-43ec-4b2f-87ed-5fb08d66e6b9" xmlns:ns4="fc9b7a34-1c63-4ab6-9d2c-ed6fb5eb3a79" targetNamespace="http://schemas.microsoft.com/office/2006/metadata/properties" ma:root="true" ma:fieldsID="40ccc7eaea65637e8a7175eeea5915f8" ns3:_="" ns4:_="">
    <xsd:import namespace="4a7e07fe-43ec-4b2f-87ed-5fb08d66e6b9"/>
    <xsd:import namespace="fc9b7a34-1c63-4ab6-9d2c-ed6fb5eb3a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e07fe-43ec-4b2f-87ed-5fb08d66e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b7a34-1c63-4ab6-9d2c-ed6fb5eb3a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AB0ED-CD91-4650-8357-DA3A0311DC10}">
  <ds:schemaRefs>
    <ds:schemaRef ds:uri="http://schemas.microsoft.com/sharepoint/v3/contenttype/forms"/>
  </ds:schemaRefs>
</ds:datastoreItem>
</file>

<file path=customXml/itemProps2.xml><?xml version="1.0" encoding="utf-8"?>
<ds:datastoreItem xmlns:ds="http://schemas.openxmlformats.org/officeDocument/2006/customXml" ds:itemID="{6BF0EAFA-3CE3-44CA-91A4-31FD2FDE9C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7F65D-A292-48CA-8DFC-1B2F78D3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07fe-43ec-4b2f-87ed-5fb08d66e6b9"/>
    <ds:schemaRef ds:uri="fc9b7a34-1c63-4ab6-9d2c-ed6fb5eb3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Allen Pacheco</dc:creator>
  <cp:lastModifiedBy>Aloisi, Brian</cp:lastModifiedBy>
  <cp:revision>2</cp:revision>
  <dcterms:created xsi:type="dcterms:W3CDTF">2022-09-30T21:36:00Z</dcterms:created>
  <dcterms:modified xsi:type="dcterms:W3CDTF">2022-09-30T21:36:00Z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0x0101007039292C0003CA4A8E20D28D6C2B9B69</vt:lpwstr>
  </property>
  <property fmtid="{D5CDD505-2E9C-101B-9397-08002B2CF9AE}" pid="3" name="MSIP_Label_792c8cef-6f2b-4af1-b4ac-d815ff795cd6_Enabled">
    <vt:lpwstr>true</vt:lpwstr>
  </property>
  <property fmtid="{D5CDD505-2E9C-101B-9397-08002B2CF9AE}" pid="4" name="MSIP_Label_792c8cef-6f2b-4af1-b4ac-d815ff795cd6_SetDate">
    <vt:lpwstr>2022-09-30T21:36:52Z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6f4c7744-1ee1-4425-94ba-a598774ae53b</vt:lpwstr>
  </property>
  <property fmtid="{D5CDD505-2E9C-101B-9397-08002B2CF9AE}" pid="9" name="MSIP_Label_792c8cef-6f2b-4af1-b4ac-d815ff795cd6_ContentBits">
    <vt:lpwstr>0</vt:lpwstr>
  </property>
</Properties>
</file>