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6BDC7B" w14:textId="77777777" w:rsidR="008E1CBB" w:rsidRDefault="006E7680">
      <w:pPr>
        <w:pStyle w:val="Title"/>
        <w:jc w:val="center"/>
        <w:rPr>
          <w:rFonts w:ascii="Calibri" w:eastAsia="Calibri" w:hAnsi="Calibri" w:cs="Calibri"/>
          <w:b/>
          <w:color w:val="3BA3E1"/>
          <w:sz w:val="28"/>
          <w:szCs w:val="28"/>
        </w:rPr>
      </w:pPr>
      <w:bookmarkStart w:id="0" w:name="_heading=h.lb3isyr128oq" w:colFirst="0" w:colLast="0"/>
      <w:bookmarkEnd w:id="0"/>
      <w:r>
        <w:rPr>
          <w:rFonts w:ascii="Calibri" w:eastAsia="Calibri" w:hAnsi="Calibri" w:cs="Calibri"/>
          <w:b/>
          <w:sz w:val="28"/>
          <w:szCs w:val="28"/>
        </w:rPr>
        <w:t xml:space="preserve">Summary of External Scientific Panel/Steering Committee Meeting: </w:t>
      </w:r>
      <w:r>
        <w:rPr>
          <w:rFonts w:ascii="Calibri" w:eastAsia="Calibri" w:hAnsi="Calibri" w:cs="Calibri"/>
          <w:b/>
          <w:color w:val="3BA3E1"/>
          <w:sz w:val="28"/>
          <w:szCs w:val="28"/>
        </w:rPr>
        <w:t>April 2025</w:t>
      </w:r>
    </w:p>
    <w:p w14:paraId="7F6BDC7C" w14:textId="77777777" w:rsidR="008E1CBB" w:rsidRDefault="006E7680">
      <w:pPr>
        <w:jc w:val="center"/>
        <w:rPr>
          <w:rFonts w:ascii="Calibri" w:eastAsia="Calibri" w:hAnsi="Calibri" w:cs="Calibri"/>
          <w:sz w:val="28"/>
          <w:szCs w:val="28"/>
        </w:rPr>
      </w:pPr>
      <w:r>
        <w:rPr>
          <w:rFonts w:ascii="Calibri" w:eastAsia="Calibri" w:hAnsi="Calibri" w:cs="Calibri"/>
          <w:sz w:val="28"/>
          <w:szCs w:val="28"/>
        </w:rPr>
        <w:t xml:space="preserve">April 3, Zoom </w:t>
      </w:r>
    </w:p>
    <w:p w14:paraId="7F6BDC7D" w14:textId="08332BA3" w:rsidR="008E1CBB" w:rsidRDefault="006E7680">
      <w:pPr>
        <w:jc w:val="center"/>
        <w:rPr>
          <w:rFonts w:ascii="Calibri" w:eastAsia="Calibri" w:hAnsi="Calibri" w:cs="Calibri"/>
          <w:b/>
          <w:color w:val="434343"/>
        </w:rPr>
      </w:pPr>
      <w:r>
        <w:rPr>
          <w:rFonts w:ascii="Calibri" w:eastAsia="Calibri" w:hAnsi="Calibri" w:cs="Calibri"/>
          <w:color w:val="1155CC"/>
          <w:sz w:val="28"/>
          <w:szCs w:val="28"/>
          <w:u w:val="single"/>
        </w:rPr>
        <w:t>Meeting Slides</w:t>
      </w:r>
      <w:r>
        <w:rPr>
          <w:rFonts w:ascii="Calibri" w:eastAsia="Calibri" w:hAnsi="Calibri" w:cs="Calibri"/>
          <w:color w:val="434343"/>
          <w:sz w:val="28"/>
          <w:szCs w:val="28"/>
        </w:rPr>
        <w:t xml:space="preserve"> </w:t>
      </w:r>
    </w:p>
    <w:p w14:paraId="7F6BDC7E" w14:textId="77777777" w:rsidR="008E1CBB" w:rsidRDefault="008E1CBB">
      <w:pPr>
        <w:rPr>
          <w:rFonts w:ascii="Calibri" w:eastAsia="Calibri" w:hAnsi="Calibri" w:cs="Calibri"/>
          <w:color w:val="434343"/>
        </w:rPr>
      </w:pPr>
    </w:p>
    <w:p w14:paraId="7F6BDC7F" w14:textId="77777777" w:rsidR="008E1CBB" w:rsidRDefault="006E7680">
      <w:pPr>
        <w:rPr>
          <w:rFonts w:ascii="Calibri" w:eastAsia="Calibri" w:hAnsi="Calibri" w:cs="Calibri"/>
          <w:color w:val="434343"/>
        </w:rPr>
      </w:pPr>
      <w:r>
        <w:rPr>
          <w:rFonts w:ascii="Calibri" w:eastAsia="Calibri" w:hAnsi="Calibri" w:cs="Calibri"/>
          <w:b/>
          <w:color w:val="434343"/>
        </w:rPr>
        <w:t>ESP Meeting</w:t>
      </w:r>
      <w:r>
        <w:rPr>
          <w:rFonts w:ascii="Calibri" w:eastAsia="Calibri" w:hAnsi="Calibri" w:cs="Calibri"/>
          <w:color w:val="434343"/>
        </w:rPr>
        <w:t xml:space="preserve"> </w:t>
      </w:r>
    </w:p>
    <w:p w14:paraId="7F6BDC80" w14:textId="41F1CA78" w:rsidR="008E1CBB" w:rsidRDefault="006E7680">
      <w:pPr>
        <w:rPr>
          <w:rFonts w:ascii="Calibri" w:eastAsia="Calibri" w:hAnsi="Calibri" w:cs="Calibri"/>
          <w:color w:val="434343"/>
        </w:rPr>
      </w:pPr>
      <w:r>
        <w:rPr>
          <w:rFonts w:ascii="Calibri" w:eastAsia="Calibri" w:hAnsi="Calibri" w:cs="Calibri"/>
          <w:color w:val="1155CC"/>
          <w:u w:val="single"/>
        </w:rPr>
        <w:t>Final recruitment &amp; return numbers | Cindy Prows (CCHMC), Gail…</w:t>
      </w:r>
    </w:p>
    <w:p w14:paraId="7F6BDC81" w14:textId="1E09B3FB" w:rsidR="008E1CBB" w:rsidRDefault="006E7680">
      <w:pPr>
        <w:rPr>
          <w:rFonts w:ascii="Calibri" w:eastAsia="Calibri" w:hAnsi="Calibri" w:cs="Calibri"/>
          <w:color w:val="434343"/>
        </w:rPr>
      </w:pPr>
      <w:r>
        <w:rPr>
          <w:rFonts w:ascii="Calibri" w:eastAsia="Calibri" w:hAnsi="Calibri" w:cs="Calibri"/>
          <w:color w:val="1155CC"/>
          <w:u w:val="single"/>
        </w:rPr>
        <w:t>Validated outcomes concepts | Nita Limdi (UAB), Dave Veenstra (…</w:t>
      </w:r>
    </w:p>
    <w:p w14:paraId="7F6BDC82" w14:textId="7D076201" w:rsidR="008E1CBB" w:rsidRDefault="006E7680">
      <w:pPr>
        <w:rPr>
          <w:rFonts w:ascii="Calibri" w:eastAsia="Calibri" w:hAnsi="Calibri" w:cs="Calibri"/>
          <w:color w:val="434343"/>
        </w:rPr>
      </w:pPr>
      <w:r>
        <w:rPr>
          <w:rFonts w:ascii="Calibri" w:eastAsia="Calibri" w:hAnsi="Calibri" w:cs="Calibri"/>
          <w:color w:val="1155CC"/>
          <w:u w:val="single"/>
        </w:rPr>
        <w:t>Outcomes data pull &amp; manual chart review |  Jen Pacheco (NU…</w:t>
      </w:r>
    </w:p>
    <w:p w14:paraId="7F6BDC83" w14:textId="79213079" w:rsidR="008E1CBB" w:rsidRDefault="006E7680">
      <w:pPr>
        <w:rPr>
          <w:rFonts w:ascii="Calibri" w:eastAsia="Calibri" w:hAnsi="Calibri" w:cs="Calibri"/>
          <w:color w:val="434343"/>
        </w:rPr>
      </w:pPr>
      <w:r>
        <w:rPr>
          <w:rFonts w:ascii="Calibri" w:eastAsia="Calibri" w:hAnsi="Calibri" w:cs="Calibri"/>
          <w:color w:val="1155CC"/>
          <w:u w:val="single"/>
        </w:rPr>
        <w:t>Input and feedback from the ESP</w:t>
      </w:r>
    </w:p>
    <w:p w14:paraId="7F6BDC84" w14:textId="413DD3C1" w:rsidR="008E1CBB" w:rsidRDefault="006E7680">
      <w:pPr>
        <w:rPr>
          <w:rFonts w:ascii="Calibri" w:eastAsia="Calibri" w:hAnsi="Calibri" w:cs="Calibri"/>
          <w:color w:val="434343"/>
        </w:rPr>
      </w:pPr>
      <w:r>
        <w:rPr>
          <w:rFonts w:ascii="Calibri" w:eastAsia="Calibri" w:hAnsi="Calibri" w:cs="Calibri"/>
          <w:color w:val="1155CC"/>
          <w:u w:val="single"/>
        </w:rPr>
        <w:t>Official ESP Recommendations</w:t>
      </w:r>
    </w:p>
    <w:p w14:paraId="7F6BDC85" w14:textId="77777777" w:rsidR="008E1CBB" w:rsidRDefault="008E1CBB">
      <w:pPr>
        <w:rPr>
          <w:rFonts w:ascii="Calibri" w:eastAsia="Calibri" w:hAnsi="Calibri" w:cs="Calibri"/>
          <w:color w:val="434343"/>
        </w:rPr>
      </w:pPr>
    </w:p>
    <w:p w14:paraId="7F6BDC86" w14:textId="61D6B35A" w:rsidR="008E1CBB" w:rsidRDefault="006E7680">
      <w:pPr>
        <w:rPr>
          <w:color w:val="0E71EB"/>
          <w:sz w:val="18"/>
          <w:szCs w:val="18"/>
          <w:u w:val="single"/>
        </w:rPr>
      </w:pPr>
      <w:r>
        <w:rPr>
          <w:rFonts w:ascii="Calibri" w:eastAsia="Calibri" w:hAnsi="Calibri" w:cs="Calibri"/>
          <w:b/>
          <w:color w:val="434343"/>
        </w:rPr>
        <w:t xml:space="preserve">Recording: </w:t>
      </w:r>
      <w:r>
        <w:rPr>
          <w:color w:val="0E71EB"/>
          <w:sz w:val="18"/>
          <w:szCs w:val="18"/>
          <w:u w:val="single"/>
        </w:rPr>
        <w:t>https://zoom.us/rec/share/vSV6nxdUeptZukGVSJEeib4s9aN18EbrLjUp0ZXhDQh1jGnE3gQKegCOhqQ8ZzQ9.d0yNoSporaWj6VTc</w:t>
      </w:r>
    </w:p>
    <w:p w14:paraId="7F6BDC87" w14:textId="77777777" w:rsidR="008E1CBB" w:rsidRDefault="008E1CBB">
      <w:pPr>
        <w:rPr>
          <w:rFonts w:ascii="Calibri" w:eastAsia="Calibri" w:hAnsi="Calibri" w:cs="Calibri"/>
          <w:b/>
          <w:color w:val="434343"/>
        </w:rPr>
      </w:pPr>
    </w:p>
    <w:p w14:paraId="7F6BDC88" w14:textId="77777777" w:rsidR="008E1CBB" w:rsidRDefault="006E7680">
      <w:pPr>
        <w:rPr>
          <w:rFonts w:ascii="Calibri" w:eastAsia="Calibri" w:hAnsi="Calibri" w:cs="Calibri"/>
          <w:color w:val="434343"/>
          <w:sz w:val="26"/>
          <w:szCs w:val="26"/>
        </w:rPr>
      </w:pPr>
      <w:r>
        <w:rPr>
          <w:rFonts w:ascii="Calibri" w:eastAsia="Calibri" w:hAnsi="Calibri" w:cs="Calibri"/>
          <w:b/>
          <w:color w:val="434343"/>
        </w:rPr>
        <w:t xml:space="preserve">Passcode: </w:t>
      </w:r>
      <w:r>
        <w:rPr>
          <w:rFonts w:ascii="Calibri" w:eastAsia="Calibri" w:hAnsi="Calibri" w:cs="Calibri"/>
        </w:rPr>
        <w:t>G6kRL+@H</w:t>
      </w:r>
    </w:p>
    <w:p w14:paraId="7F6BDC89" w14:textId="77777777" w:rsidR="008E1CBB" w:rsidRDefault="008E1CBB">
      <w:pPr>
        <w:ind w:hanging="90"/>
        <w:rPr>
          <w:rFonts w:ascii="Calibri" w:eastAsia="Calibri" w:hAnsi="Calibri" w:cs="Calibri"/>
          <w:color w:val="434343"/>
        </w:rPr>
      </w:pPr>
    </w:p>
    <w:p w14:paraId="7F6BDC8A" w14:textId="0F89C9FD" w:rsidR="008E1CBB" w:rsidRDefault="006E7680">
      <w:pPr>
        <w:rPr>
          <w:rFonts w:ascii="Calibri" w:eastAsia="Calibri" w:hAnsi="Calibri" w:cs="Calibri"/>
        </w:rPr>
      </w:pPr>
      <w:r>
        <w:rPr>
          <w:rFonts w:ascii="Calibri" w:eastAsia="Calibri" w:hAnsi="Calibri" w:cs="Calibri"/>
          <w:color w:val="1155CC"/>
          <w:u w:val="single"/>
        </w:rPr>
        <w:t>ESP Packet</w:t>
      </w:r>
      <w:r>
        <w:rPr>
          <w:rFonts w:ascii="Calibri" w:eastAsia="Calibri" w:hAnsi="Calibri" w:cs="Calibri"/>
        </w:rPr>
        <w:t xml:space="preserve"> </w:t>
      </w:r>
    </w:p>
    <w:p w14:paraId="7F6BDC8B" w14:textId="0AD7A48D" w:rsidR="008E1CBB" w:rsidRDefault="006E7680">
      <w:pPr>
        <w:rPr>
          <w:rFonts w:ascii="Calibri" w:eastAsia="Calibri" w:hAnsi="Calibri" w:cs="Calibri"/>
        </w:rPr>
      </w:pPr>
      <w:r>
        <w:rPr>
          <w:rFonts w:ascii="Calibri" w:eastAsia="Calibri" w:hAnsi="Calibri" w:cs="Calibri"/>
          <w:color w:val="1155CC"/>
          <w:u w:val="single"/>
        </w:rPr>
        <w:t>Background Packet</w:t>
      </w:r>
    </w:p>
    <w:p w14:paraId="7F6BDC8C" w14:textId="77777777" w:rsidR="008E1CBB" w:rsidRDefault="008E1CBB">
      <w:pPr>
        <w:rPr>
          <w:rFonts w:ascii="Calibri" w:eastAsia="Calibri" w:hAnsi="Calibri" w:cs="Calibri"/>
          <w:b/>
          <w:color w:val="434343"/>
        </w:rPr>
      </w:pPr>
    </w:p>
    <w:p w14:paraId="7F6BDC8D" w14:textId="48320195" w:rsidR="008E1CBB" w:rsidRDefault="006E7680">
      <w:pPr>
        <w:numPr>
          <w:ilvl w:val="0"/>
          <w:numId w:val="2"/>
        </w:numPr>
        <w:ind w:right="-180"/>
        <w:rPr>
          <w:rFonts w:ascii="Calibri" w:eastAsia="Calibri" w:hAnsi="Calibri" w:cs="Calibri"/>
          <w:b/>
          <w:color w:val="434343"/>
        </w:rPr>
      </w:pPr>
      <w:bookmarkStart w:id="1" w:name="bookmark=id.31vjoeyl9ao4" w:colFirst="0" w:colLast="0"/>
      <w:bookmarkEnd w:id="1"/>
      <w:r>
        <w:rPr>
          <w:rFonts w:ascii="Calibri" w:eastAsia="Calibri" w:hAnsi="Calibri" w:cs="Calibri"/>
          <w:b/>
        </w:rPr>
        <w:t xml:space="preserve">Final recruitment &amp; return numbers | Cindy Prows (CCHMC), Gail Jarvik (UW), Iftikhar Kullo (Mayo) | </w:t>
      </w:r>
      <w:r>
        <w:rPr>
          <w:rFonts w:ascii="Calibri" w:eastAsia="Calibri" w:hAnsi="Calibri" w:cs="Calibri"/>
          <w:b/>
          <w:color w:val="1155CC"/>
          <w:u w:val="single"/>
        </w:rPr>
        <w:t>Slides</w:t>
      </w:r>
      <w:r>
        <w:rPr>
          <w:rFonts w:ascii="Calibri" w:eastAsia="Calibri" w:hAnsi="Calibri" w:cs="Calibri"/>
          <w:b/>
          <w:color w:val="434343"/>
        </w:rPr>
        <w:t xml:space="preserve"> </w:t>
      </w:r>
    </w:p>
    <w:p w14:paraId="7F6BDC8E" w14:textId="77777777" w:rsidR="008E1CBB" w:rsidRDefault="006E7680">
      <w:pPr>
        <w:numPr>
          <w:ilvl w:val="1"/>
          <w:numId w:val="2"/>
        </w:numPr>
        <w:rPr>
          <w:rFonts w:ascii="Calibri" w:eastAsia="Calibri" w:hAnsi="Calibri" w:cs="Calibri"/>
        </w:rPr>
      </w:pPr>
      <w:r>
        <w:rPr>
          <w:rFonts w:ascii="Calibri" w:eastAsia="Calibri" w:hAnsi="Calibri" w:cs="Calibri"/>
        </w:rPr>
        <w:t>Final enrollment numbers for eMERGE are 27,043, which exceeded enrollment goals.</w:t>
      </w:r>
    </w:p>
    <w:p w14:paraId="7F6BDC8F" w14:textId="77777777" w:rsidR="008E1CBB" w:rsidRDefault="006E7680">
      <w:pPr>
        <w:numPr>
          <w:ilvl w:val="1"/>
          <w:numId w:val="2"/>
        </w:numPr>
        <w:rPr>
          <w:rFonts w:ascii="Calibri" w:eastAsia="Calibri" w:hAnsi="Calibri" w:cs="Calibri"/>
        </w:rPr>
      </w:pPr>
      <w:r>
        <w:rPr>
          <w:rFonts w:ascii="Calibri" w:eastAsia="Calibri" w:hAnsi="Calibri" w:cs="Calibri"/>
        </w:rPr>
        <w:t>At least 48% of participants were underrepresented or medically underserved.</w:t>
      </w:r>
    </w:p>
    <w:p w14:paraId="7F6BDC90" w14:textId="77777777" w:rsidR="008E1CBB" w:rsidRDefault="006E7680">
      <w:pPr>
        <w:numPr>
          <w:ilvl w:val="1"/>
          <w:numId w:val="2"/>
        </w:numPr>
        <w:rPr>
          <w:rFonts w:ascii="Calibri" w:eastAsia="Calibri" w:hAnsi="Calibri" w:cs="Calibri"/>
        </w:rPr>
      </w:pPr>
      <w:r>
        <w:rPr>
          <w:rFonts w:ascii="Calibri" w:eastAsia="Calibri" w:hAnsi="Calibri" w:cs="Calibri"/>
        </w:rPr>
        <w:t xml:space="preserve">It has been difficult </w:t>
      </w:r>
      <w:proofErr w:type="gramStart"/>
      <w:r>
        <w:rPr>
          <w:rFonts w:ascii="Calibri" w:eastAsia="Calibri" w:hAnsi="Calibri" w:cs="Calibri"/>
        </w:rPr>
        <w:t>achieving</w:t>
      </w:r>
      <w:proofErr w:type="gramEnd"/>
      <w:r>
        <w:rPr>
          <w:rFonts w:ascii="Calibri" w:eastAsia="Calibri" w:hAnsi="Calibri" w:cs="Calibri"/>
        </w:rPr>
        <w:t xml:space="preserve"> accurate enrollment and return numbers.</w:t>
      </w:r>
    </w:p>
    <w:p w14:paraId="7F6BDC91" w14:textId="77777777" w:rsidR="008E1CBB" w:rsidRDefault="006E7680">
      <w:pPr>
        <w:numPr>
          <w:ilvl w:val="2"/>
          <w:numId w:val="2"/>
        </w:numPr>
        <w:rPr>
          <w:rFonts w:ascii="Calibri" w:eastAsia="Calibri" w:hAnsi="Calibri" w:cs="Calibri"/>
        </w:rPr>
      </w:pPr>
      <w:r>
        <w:rPr>
          <w:rFonts w:ascii="Calibri" w:eastAsia="Calibri" w:hAnsi="Calibri" w:cs="Calibri"/>
        </w:rPr>
        <w:t xml:space="preserve">CARE and Outcomes workgroups </w:t>
      </w:r>
      <w:proofErr w:type="gramStart"/>
      <w:r>
        <w:rPr>
          <w:rFonts w:ascii="Calibri" w:eastAsia="Calibri" w:hAnsi="Calibri" w:cs="Calibri"/>
        </w:rPr>
        <w:t>made a decision</w:t>
      </w:r>
      <w:proofErr w:type="gramEnd"/>
      <w:r>
        <w:rPr>
          <w:rFonts w:ascii="Calibri" w:eastAsia="Calibri" w:hAnsi="Calibri" w:cs="Calibri"/>
        </w:rPr>
        <w:t xml:space="preserve"> that the Clinical Data Platform (CDP) would be the source of truth.</w:t>
      </w:r>
    </w:p>
    <w:p w14:paraId="7F6BDC92" w14:textId="77777777" w:rsidR="008E1CBB" w:rsidRDefault="006E7680">
      <w:pPr>
        <w:numPr>
          <w:ilvl w:val="2"/>
          <w:numId w:val="2"/>
        </w:numPr>
        <w:rPr>
          <w:rFonts w:ascii="Calibri" w:eastAsia="Calibri" w:hAnsi="Calibri" w:cs="Calibri"/>
        </w:rPr>
      </w:pPr>
      <w:r>
        <w:rPr>
          <w:rFonts w:ascii="Calibri" w:eastAsia="Calibri" w:hAnsi="Calibri" w:cs="Calibri"/>
        </w:rPr>
        <w:t>Reconciliation of the CDP data was a dependency for final recruitment, enrollment, GIRA return numbers, among other items.</w:t>
      </w:r>
    </w:p>
    <w:p w14:paraId="7F6BDC93" w14:textId="77777777" w:rsidR="008E1CBB" w:rsidRDefault="006E7680">
      <w:pPr>
        <w:numPr>
          <w:ilvl w:val="1"/>
          <w:numId w:val="2"/>
        </w:numPr>
        <w:rPr>
          <w:rFonts w:ascii="Calibri" w:eastAsia="Calibri" w:hAnsi="Calibri" w:cs="Calibri"/>
        </w:rPr>
      </w:pPr>
      <w:r>
        <w:rPr>
          <w:rFonts w:ascii="Calibri" w:eastAsia="Calibri" w:hAnsi="Calibri" w:cs="Calibri"/>
        </w:rPr>
        <w:t>Final counts will be frozen on April 10.</w:t>
      </w:r>
    </w:p>
    <w:p w14:paraId="7F6BDC94" w14:textId="77777777" w:rsidR="008E1CBB" w:rsidRDefault="006E7680">
      <w:pPr>
        <w:numPr>
          <w:ilvl w:val="1"/>
          <w:numId w:val="2"/>
        </w:numPr>
        <w:rPr>
          <w:rFonts w:ascii="Calibri" w:eastAsia="Calibri" w:hAnsi="Calibri" w:cs="Calibri"/>
        </w:rPr>
      </w:pPr>
      <w:r>
        <w:rPr>
          <w:rFonts w:ascii="Calibri" w:eastAsia="Calibri" w:hAnsi="Calibri" w:cs="Calibri"/>
        </w:rPr>
        <w:t>Out of 24,243 active participants, GIRA returns were completed on 23,838 participants. Of those, 8,306 GIRA were high risk.</w:t>
      </w:r>
    </w:p>
    <w:p w14:paraId="7F6BDC95" w14:textId="77777777" w:rsidR="008E1CBB" w:rsidRDefault="006E7680">
      <w:pPr>
        <w:numPr>
          <w:ilvl w:val="1"/>
          <w:numId w:val="2"/>
        </w:numPr>
        <w:rPr>
          <w:rFonts w:ascii="Calibri" w:eastAsia="Calibri" w:hAnsi="Calibri" w:cs="Calibri"/>
        </w:rPr>
      </w:pPr>
      <w:r>
        <w:rPr>
          <w:rFonts w:ascii="Calibri" w:eastAsia="Calibri" w:hAnsi="Calibri" w:cs="Calibri"/>
        </w:rPr>
        <w:t xml:space="preserve">Collective cohort demographics were stable, even after accounting for some </w:t>
      </w:r>
      <w:proofErr w:type="gramStart"/>
      <w:r>
        <w:rPr>
          <w:rFonts w:ascii="Calibri" w:eastAsia="Calibri" w:hAnsi="Calibri" w:cs="Calibri"/>
        </w:rPr>
        <w:t>drop-outs</w:t>
      </w:r>
      <w:proofErr w:type="gramEnd"/>
      <w:r>
        <w:rPr>
          <w:rFonts w:ascii="Calibri" w:eastAsia="Calibri" w:hAnsi="Calibri" w:cs="Calibri"/>
        </w:rPr>
        <w:t>. Participant loss also did not disproportionately impact reported race.</w:t>
      </w:r>
    </w:p>
    <w:p w14:paraId="7F6BDC96" w14:textId="77777777" w:rsidR="008E1CBB" w:rsidRDefault="006E7680">
      <w:pPr>
        <w:numPr>
          <w:ilvl w:val="1"/>
          <w:numId w:val="2"/>
        </w:numPr>
        <w:rPr>
          <w:rFonts w:ascii="Calibri" w:eastAsia="Calibri" w:hAnsi="Calibri" w:cs="Calibri"/>
        </w:rPr>
      </w:pPr>
      <w:r>
        <w:rPr>
          <w:rFonts w:ascii="Calibri" w:eastAsia="Calibri" w:hAnsi="Calibri" w:cs="Calibri"/>
        </w:rPr>
        <w:t>Approximately 35% of participants received a high risk GIRA. The majority of these were from either a high PRS or family history.</w:t>
      </w:r>
    </w:p>
    <w:p w14:paraId="7F6BDC97" w14:textId="77777777" w:rsidR="008E1CBB" w:rsidRDefault="006E7680">
      <w:pPr>
        <w:numPr>
          <w:ilvl w:val="1"/>
          <w:numId w:val="2"/>
        </w:numPr>
        <w:rPr>
          <w:rFonts w:ascii="Calibri" w:eastAsia="Calibri" w:hAnsi="Calibri" w:cs="Calibri"/>
        </w:rPr>
      </w:pPr>
      <w:r>
        <w:rPr>
          <w:rFonts w:ascii="Calibri" w:eastAsia="Calibri" w:hAnsi="Calibri" w:cs="Calibri"/>
        </w:rPr>
        <w:t xml:space="preserve">The breast cancer group had 48 participants that had a </w:t>
      </w:r>
      <w:proofErr w:type="gramStart"/>
      <w:r>
        <w:rPr>
          <w:rFonts w:ascii="Calibri" w:eastAsia="Calibri" w:hAnsi="Calibri" w:cs="Calibri"/>
        </w:rPr>
        <w:t>high risk</w:t>
      </w:r>
      <w:proofErr w:type="gramEnd"/>
      <w:r>
        <w:rPr>
          <w:rFonts w:ascii="Calibri" w:eastAsia="Calibri" w:hAnsi="Calibri" w:cs="Calibri"/>
        </w:rPr>
        <w:t xml:space="preserve"> return based on genes not captured in the BOADICEA risk calculation.</w:t>
      </w:r>
    </w:p>
    <w:p w14:paraId="7F6BDC98" w14:textId="77777777" w:rsidR="008E1CBB" w:rsidRDefault="006E7680">
      <w:pPr>
        <w:numPr>
          <w:ilvl w:val="1"/>
          <w:numId w:val="2"/>
        </w:numPr>
        <w:rPr>
          <w:rFonts w:ascii="Calibri" w:eastAsia="Calibri" w:hAnsi="Calibri" w:cs="Calibri"/>
        </w:rPr>
      </w:pPr>
      <w:r>
        <w:rPr>
          <w:rFonts w:ascii="Calibri" w:eastAsia="Calibri" w:hAnsi="Calibri" w:cs="Calibri"/>
        </w:rPr>
        <w:t xml:space="preserve">The CARE manuscript will focus on GIRA returns with special attention on those that require in-person returns or courtesy calls. </w:t>
      </w:r>
    </w:p>
    <w:p w14:paraId="7F6BDC99" w14:textId="77777777" w:rsidR="008E1CBB" w:rsidRDefault="006E7680">
      <w:pPr>
        <w:numPr>
          <w:ilvl w:val="2"/>
          <w:numId w:val="2"/>
        </w:numPr>
        <w:rPr>
          <w:rFonts w:ascii="Calibri" w:eastAsia="Calibri" w:hAnsi="Calibri" w:cs="Calibri"/>
        </w:rPr>
      </w:pPr>
      <w:r>
        <w:rPr>
          <w:rFonts w:ascii="Calibri" w:eastAsia="Calibri" w:hAnsi="Calibri" w:cs="Calibri"/>
        </w:rPr>
        <w:t>Methods that are considered ‘in-person’ include face-to-face, video calls, telehealth, or telephone disclosure.</w:t>
      </w:r>
    </w:p>
    <w:p w14:paraId="7F6BDC9A" w14:textId="77777777" w:rsidR="008E1CBB" w:rsidRDefault="006E7680">
      <w:pPr>
        <w:numPr>
          <w:ilvl w:val="2"/>
          <w:numId w:val="2"/>
        </w:numPr>
        <w:rPr>
          <w:rFonts w:ascii="Calibri" w:eastAsia="Calibri" w:hAnsi="Calibri" w:cs="Calibri"/>
        </w:rPr>
      </w:pPr>
      <w:r>
        <w:rPr>
          <w:rFonts w:ascii="Calibri" w:eastAsia="Calibri" w:hAnsi="Calibri" w:cs="Calibri"/>
        </w:rPr>
        <w:t xml:space="preserve">In-person returns are done for those that had high risk GIRA based </w:t>
      </w:r>
      <w:proofErr w:type="gramStart"/>
      <w:r>
        <w:rPr>
          <w:rFonts w:ascii="Calibri" w:eastAsia="Calibri" w:hAnsi="Calibri" w:cs="Calibri"/>
        </w:rPr>
        <w:t>off of</w:t>
      </w:r>
      <w:proofErr w:type="gramEnd"/>
      <w:r>
        <w:rPr>
          <w:rFonts w:ascii="Calibri" w:eastAsia="Calibri" w:hAnsi="Calibri" w:cs="Calibri"/>
        </w:rPr>
        <w:t xml:space="preserve"> high PRS, monogenic, or BOADICEA triggers.</w:t>
      </w:r>
    </w:p>
    <w:p w14:paraId="7F6BDC9B" w14:textId="77777777" w:rsidR="008E1CBB" w:rsidRDefault="006E7680">
      <w:pPr>
        <w:numPr>
          <w:ilvl w:val="1"/>
          <w:numId w:val="2"/>
        </w:numPr>
        <w:rPr>
          <w:rFonts w:ascii="Calibri" w:eastAsia="Calibri" w:hAnsi="Calibri" w:cs="Calibri"/>
        </w:rPr>
      </w:pPr>
      <w:r>
        <w:rPr>
          <w:rFonts w:ascii="Calibri" w:eastAsia="Calibri" w:hAnsi="Calibri" w:cs="Calibri"/>
        </w:rPr>
        <w:t>There will be a comparison of actual high risks results to expected (predicted) in the future.</w:t>
      </w:r>
    </w:p>
    <w:p w14:paraId="7F6BDC9C" w14:textId="77777777" w:rsidR="008E1CBB" w:rsidRDefault="006E7680">
      <w:pPr>
        <w:numPr>
          <w:ilvl w:val="1"/>
          <w:numId w:val="2"/>
        </w:numPr>
        <w:rPr>
          <w:rFonts w:ascii="Calibri" w:eastAsia="Calibri" w:hAnsi="Calibri" w:cs="Calibri"/>
        </w:rPr>
      </w:pPr>
      <w:r>
        <w:rPr>
          <w:rFonts w:ascii="Calibri" w:eastAsia="Calibri" w:hAnsi="Calibri" w:cs="Calibri"/>
        </w:rPr>
        <w:t xml:space="preserve">The method </w:t>
      </w:r>
      <w:proofErr w:type="gramStart"/>
      <w:r>
        <w:rPr>
          <w:rFonts w:ascii="Calibri" w:eastAsia="Calibri" w:hAnsi="Calibri" w:cs="Calibri"/>
        </w:rPr>
        <w:t>in</w:t>
      </w:r>
      <w:proofErr w:type="gramEnd"/>
      <w:r>
        <w:rPr>
          <w:rFonts w:ascii="Calibri" w:eastAsia="Calibri" w:hAnsi="Calibri" w:cs="Calibri"/>
        </w:rPr>
        <w:t xml:space="preserve"> how courtesy calls for discordant results will be reported will need further discussion.</w:t>
      </w:r>
    </w:p>
    <w:p w14:paraId="7F6BDC9D" w14:textId="78167C44" w:rsidR="008E1CBB" w:rsidRDefault="006E7680">
      <w:pPr>
        <w:numPr>
          <w:ilvl w:val="0"/>
          <w:numId w:val="2"/>
        </w:numPr>
        <w:ind w:right="-180"/>
        <w:rPr>
          <w:rFonts w:ascii="Calibri" w:eastAsia="Calibri" w:hAnsi="Calibri" w:cs="Calibri"/>
          <w:b/>
          <w:color w:val="434343"/>
        </w:rPr>
      </w:pPr>
      <w:bookmarkStart w:id="2" w:name="bookmark=id.sb85swyqcrpq" w:colFirst="0" w:colLast="0"/>
      <w:bookmarkEnd w:id="2"/>
      <w:r>
        <w:rPr>
          <w:rFonts w:ascii="Calibri" w:eastAsia="Calibri" w:hAnsi="Calibri" w:cs="Calibri"/>
          <w:b/>
        </w:rPr>
        <w:t xml:space="preserve">Validated outcomes concepts | Nita Limdi (UAB), Dave Veenstra (UW) | </w:t>
      </w:r>
      <w:r>
        <w:rPr>
          <w:rFonts w:ascii="Calibri" w:eastAsia="Calibri" w:hAnsi="Calibri" w:cs="Calibri"/>
          <w:b/>
          <w:color w:val="1155CC"/>
          <w:u w:val="single"/>
        </w:rPr>
        <w:t>Slides</w:t>
      </w:r>
    </w:p>
    <w:p w14:paraId="7F6BDC9E" w14:textId="77777777" w:rsidR="008E1CBB" w:rsidRDefault="006E7680">
      <w:pPr>
        <w:numPr>
          <w:ilvl w:val="1"/>
          <w:numId w:val="2"/>
        </w:numPr>
        <w:ind w:right="-180"/>
        <w:rPr>
          <w:rFonts w:ascii="Calibri" w:eastAsia="Calibri" w:hAnsi="Calibri" w:cs="Calibri"/>
        </w:rPr>
      </w:pPr>
      <w:r>
        <w:rPr>
          <w:rFonts w:ascii="Calibri" w:eastAsia="Calibri" w:hAnsi="Calibri" w:cs="Calibri"/>
        </w:rPr>
        <w:lastRenderedPageBreak/>
        <w:t>Cross-condition analyses will focus on adoption of recommended health care actions.</w:t>
      </w:r>
    </w:p>
    <w:p w14:paraId="7F6BDC9F" w14:textId="77777777" w:rsidR="008E1CBB" w:rsidRDefault="006E7680">
      <w:pPr>
        <w:numPr>
          <w:ilvl w:val="2"/>
          <w:numId w:val="2"/>
        </w:numPr>
        <w:ind w:right="-180"/>
        <w:rPr>
          <w:rFonts w:ascii="Calibri" w:eastAsia="Calibri" w:hAnsi="Calibri" w:cs="Calibri"/>
        </w:rPr>
      </w:pPr>
      <w:r>
        <w:rPr>
          <w:rFonts w:ascii="Calibri" w:eastAsia="Calibri" w:hAnsi="Calibri" w:cs="Calibri"/>
        </w:rPr>
        <w:t>The assessment will be done on the provider level by investigating if the provider ordered the recommended action and if the participant completed said action.</w:t>
      </w:r>
    </w:p>
    <w:p w14:paraId="7F6BDCA0" w14:textId="77777777" w:rsidR="008E1CBB" w:rsidRDefault="006E7680">
      <w:pPr>
        <w:numPr>
          <w:ilvl w:val="1"/>
          <w:numId w:val="2"/>
        </w:numPr>
        <w:ind w:right="-180"/>
        <w:rPr>
          <w:rFonts w:ascii="Calibri" w:eastAsia="Calibri" w:hAnsi="Calibri" w:cs="Calibri"/>
        </w:rPr>
      </w:pPr>
      <w:r>
        <w:rPr>
          <w:rFonts w:ascii="Calibri" w:eastAsia="Calibri" w:hAnsi="Calibri" w:cs="Calibri"/>
        </w:rPr>
        <w:t>There will be many condition-specific analyses.</w:t>
      </w:r>
    </w:p>
    <w:p w14:paraId="7F6BDCA1"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There were 19,369 complete </w:t>
      </w:r>
      <w:proofErr w:type="spellStart"/>
      <w:r>
        <w:rPr>
          <w:rFonts w:ascii="Calibri" w:eastAsia="Calibri" w:hAnsi="Calibri" w:cs="Calibri"/>
        </w:rPr>
        <w:t>GIRAs</w:t>
      </w:r>
      <w:proofErr w:type="spellEnd"/>
      <w:r>
        <w:rPr>
          <w:rFonts w:ascii="Calibri" w:eastAsia="Calibri" w:hAnsi="Calibri" w:cs="Calibri"/>
        </w:rPr>
        <w:t xml:space="preserve"> returned (both PRS + Monogenic results included).</w:t>
      </w:r>
    </w:p>
    <w:p w14:paraId="7F6BDCA2" w14:textId="77777777" w:rsidR="008E1CBB" w:rsidRDefault="006E7680">
      <w:pPr>
        <w:numPr>
          <w:ilvl w:val="1"/>
          <w:numId w:val="2"/>
        </w:numPr>
        <w:ind w:right="-180"/>
        <w:rPr>
          <w:rFonts w:ascii="Calibri" w:eastAsia="Calibri" w:hAnsi="Calibri" w:cs="Calibri"/>
        </w:rPr>
      </w:pPr>
      <w:r>
        <w:rPr>
          <w:rFonts w:ascii="Calibri" w:eastAsia="Calibri" w:hAnsi="Calibri" w:cs="Calibri"/>
        </w:rPr>
        <w:t>The cross-condition analysis will assess the adoption of recommended actions.</w:t>
      </w:r>
    </w:p>
    <w:p w14:paraId="7F6BDCA3" w14:textId="77777777" w:rsidR="008E1CBB" w:rsidRDefault="006E7680">
      <w:pPr>
        <w:numPr>
          <w:ilvl w:val="1"/>
          <w:numId w:val="2"/>
        </w:numPr>
        <w:ind w:right="-180"/>
        <w:rPr>
          <w:rFonts w:ascii="Calibri" w:eastAsia="Calibri" w:hAnsi="Calibri" w:cs="Calibri"/>
        </w:rPr>
      </w:pPr>
      <w:r>
        <w:rPr>
          <w:rFonts w:ascii="Calibri" w:eastAsia="Calibri" w:hAnsi="Calibri" w:cs="Calibri"/>
        </w:rPr>
        <w:t>The lifecycle of an order for the clinical sites was illustrated.</w:t>
      </w:r>
    </w:p>
    <w:p w14:paraId="7F6BDCA4" w14:textId="77777777" w:rsidR="008E1CBB" w:rsidRDefault="006E7680">
      <w:pPr>
        <w:numPr>
          <w:ilvl w:val="2"/>
          <w:numId w:val="2"/>
        </w:numPr>
        <w:ind w:right="-180"/>
        <w:rPr>
          <w:rFonts w:ascii="Calibri" w:eastAsia="Calibri" w:hAnsi="Calibri" w:cs="Calibri"/>
        </w:rPr>
      </w:pPr>
      <w:r>
        <w:rPr>
          <w:rFonts w:ascii="Calibri" w:eastAsia="Calibri" w:hAnsi="Calibri" w:cs="Calibri"/>
        </w:rPr>
        <w:t xml:space="preserve">This process starts with an encounter and results in a LOINC code and CPT code which can </w:t>
      </w:r>
      <w:proofErr w:type="gramStart"/>
      <w:r>
        <w:rPr>
          <w:rFonts w:ascii="Calibri" w:eastAsia="Calibri" w:hAnsi="Calibri" w:cs="Calibri"/>
        </w:rPr>
        <w:t>allow for</w:t>
      </w:r>
      <w:proofErr w:type="gramEnd"/>
      <w:r>
        <w:rPr>
          <w:rFonts w:ascii="Calibri" w:eastAsia="Calibri" w:hAnsi="Calibri" w:cs="Calibri"/>
        </w:rPr>
        <w:t xml:space="preserve"> tracking.</w:t>
      </w:r>
    </w:p>
    <w:p w14:paraId="7F6BDCA5" w14:textId="77777777" w:rsidR="008E1CBB" w:rsidRDefault="006E7680">
      <w:pPr>
        <w:numPr>
          <w:ilvl w:val="2"/>
          <w:numId w:val="2"/>
        </w:numPr>
        <w:ind w:right="-180"/>
        <w:rPr>
          <w:rFonts w:ascii="Calibri" w:eastAsia="Calibri" w:hAnsi="Calibri" w:cs="Calibri"/>
        </w:rPr>
      </w:pPr>
      <w:r>
        <w:rPr>
          <w:rFonts w:ascii="Calibri" w:eastAsia="Calibri" w:hAnsi="Calibri" w:cs="Calibri"/>
        </w:rPr>
        <w:t>Kavi Wagholikar (MGB) also mapped orders and was able to demonstrate how to capture 99% of orders based on keywords.</w:t>
      </w:r>
    </w:p>
    <w:p w14:paraId="7F6BDCA6" w14:textId="77777777" w:rsidR="008E1CBB" w:rsidRDefault="006E7680">
      <w:pPr>
        <w:numPr>
          <w:ilvl w:val="2"/>
          <w:numId w:val="2"/>
        </w:numPr>
        <w:ind w:right="-180"/>
        <w:rPr>
          <w:rFonts w:ascii="Calibri" w:eastAsia="Calibri" w:hAnsi="Calibri" w:cs="Calibri"/>
        </w:rPr>
      </w:pPr>
      <w:r>
        <w:rPr>
          <w:rFonts w:ascii="Calibri" w:eastAsia="Calibri" w:hAnsi="Calibri" w:cs="Calibri"/>
        </w:rPr>
        <w:t>The Study Design and Analysis Framework paper (NT466.1) will map out the process from screening through survey completion.</w:t>
      </w:r>
    </w:p>
    <w:p w14:paraId="7F6BDCA7" w14:textId="77777777" w:rsidR="008E1CBB" w:rsidRDefault="006E7680">
      <w:pPr>
        <w:numPr>
          <w:ilvl w:val="3"/>
          <w:numId w:val="2"/>
        </w:numPr>
        <w:ind w:right="-180"/>
        <w:rPr>
          <w:rFonts w:ascii="Calibri" w:eastAsia="Calibri" w:hAnsi="Calibri" w:cs="Calibri"/>
        </w:rPr>
      </w:pPr>
      <w:r>
        <w:rPr>
          <w:rFonts w:ascii="Calibri" w:eastAsia="Calibri" w:hAnsi="Calibri" w:cs="Calibri"/>
        </w:rPr>
        <w:t>Assessment of adoption of the recommended actions at the provider/participant level will also be reported.</w:t>
      </w:r>
    </w:p>
    <w:p w14:paraId="7F6BDCA8" w14:textId="77777777" w:rsidR="008E1CBB" w:rsidRDefault="006E7680">
      <w:pPr>
        <w:numPr>
          <w:ilvl w:val="1"/>
          <w:numId w:val="2"/>
        </w:numPr>
        <w:ind w:right="-180"/>
        <w:rPr>
          <w:rFonts w:ascii="Calibri" w:eastAsia="Calibri" w:hAnsi="Calibri" w:cs="Calibri"/>
        </w:rPr>
      </w:pPr>
      <w:r>
        <w:rPr>
          <w:rFonts w:ascii="Calibri" w:eastAsia="Calibri" w:hAnsi="Calibri" w:cs="Calibri"/>
        </w:rPr>
        <w:t>An immediate patient visit is not required to initiate the process (lifecycle of the order), but some type of contact or prior to recruitment will have had to have happened.</w:t>
      </w:r>
    </w:p>
    <w:p w14:paraId="7F6BDCA9"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Care or testing occurring outside of the system will be taken into </w:t>
      </w:r>
      <w:proofErr w:type="gramStart"/>
      <w:r>
        <w:rPr>
          <w:rFonts w:ascii="Calibri" w:eastAsia="Calibri" w:hAnsi="Calibri" w:cs="Calibri"/>
        </w:rPr>
        <w:t>account</w:t>
      </w:r>
      <w:proofErr w:type="gramEnd"/>
      <w:r>
        <w:rPr>
          <w:rFonts w:ascii="Calibri" w:eastAsia="Calibri" w:hAnsi="Calibri" w:cs="Calibri"/>
        </w:rPr>
        <w:t xml:space="preserve"> but expectations are that these numbers will be low.</w:t>
      </w:r>
    </w:p>
    <w:p w14:paraId="7F6BDCAA" w14:textId="77777777" w:rsidR="008E1CBB" w:rsidRDefault="006E7680">
      <w:pPr>
        <w:numPr>
          <w:ilvl w:val="2"/>
          <w:numId w:val="2"/>
        </w:numPr>
        <w:ind w:right="-180"/>
        <w:rPr>
          <w:rFonts w:ascii="Calibri" w:eastAsia="Calibri" w:hAnsi="Calibri" w:cs="Calibri"/>
        </w:rPr>
      </w:pPr>
      <w:r>
        <w:rPr>
          <w:rFonts w:ascii="Calibri" w:eastAsia="Calibri" w:hAnsi="Calibri" w:cs="Calibri"/>
        </w:rPr>
        <w:t>There is a patient survey that may help determine actions for participants outside of the healthcare system.</w:t>
      </w:r>
    </w:p>
    <w:p w14:paraId="7F6BDCAB" w14:textId="77777777" w:rsidR="008E1CBB" w:rsidRDefault="006E7680">
      <w:pPr>
        <w:numPr>
          <w:ilvl w:val="1"/>
          <w:numId w:val="2"/>
        </w:numPr>
        <w:ind w:right="-180"/>
        <w:rPr>
          <w:rFonts w:ascii="Calibri" w:eastAsia="Calibri" w:hAnsi="Calibri" w:cs="Calibri"/>
        </w:rPr>
      </w:pPr>
      <w:r>
        <w:rPr>
          <w:rFonts w:ascii="Calibri" w:eastAsia="Calibri" w:hAnsi="Calibri" w:cs="Calibri"/>
        </w:rPr>
        <w:t>The proportion of patients to have higher numbers of participants completing the recommended action than those not at high risk.</w:t>
      </w:r>
    </w:p>
    <w:p w14:paraId="7F6BDCAC" w14:textId="77777777" w:rsidR="008E1CBB" w:rsidRDefault="006E7680">
      <w:pPr>
        <w:numPr>
          <w:ilvl w:val="1"/>
          <w:numId w:val="2"/>
        </w:numPr>
        <w:ind w:right="-180"/>
        <w:rPr>
          <w:rFonts w:ascii="Calibri" w:eastAsia="Calibri" w:hAnsi="Calibri" w:cs="Calibri"/>
        </w:rPr>
      </w:pPr>
      <w:r>
        <w:rPr>
          <w:rFonts w:ascii="Calibri" w:eastAsia="Calibri" w:hAnsi="Calibri" w:cs="Calibri"/>
        </w:rPr>
        <w:t>Chart reviewers had issues determining whether care was given based on GIRA recommendations or not.</w:t>
      </w:r>
    </w:p>
    <w:p w14:paraId="7F6BDCAD" w14:textId="77777777" w:rsidR="008E1CBB" w:rsidRDefault="008E1CBB">
      <w:pPr>
        <w:ind w:left="2160" w:right="-180"/>
        <w:rPr>
          <w:rFonts w:ascii="Calibri" w:eastAsia="Calibri" w:hAnsi="Calibri" w:cs="Calibri"/>
        </w:rPr>
      </w:pPr>
    </w:p>
    <w:p w14:paraId="7F6BDCAE" w14:textId="528114A2" w:rsidR="008E1CBB" w:rsidRDefault="006E7680">
      <w:pPr>
        <w:numPr>
          <w:ilvl w:val="0"/>
          <w:numId w:val="2"/>
        </w:numPr>
        <w:ind w:right="-180"/>
        <w:rPr>
          <w:rFonts w:ascii="Calibri" w:eastAsia="Calibri" w:hAnsi="Calibri" w:cs="Calibri"/>
          <w:b/>
          <w:color w:val="434343"/>
        </w:rPr>
      </w:pPr>
      <w:bookmarkStart w:id="3" w:name="bookmark=id.q7qhys2sg8dw" w:colFirst="0" w:colLast="0"/>
      <w:bookmarkEnd w:id="3"/>
      <w:r>
        <w:rPr>
          <w:rFonts w:ascii="Calibri" w:eastAsia="Calibri" w:hAnsi="Calibri" w:cs="Calibri"/>
          <w:b/>
        </w:rPr>
        <w:t>Outcomes data pull &amp; manual chart review |  Jen Pacheco (NU), Lisa Martin (CCHMC), Wei-Qi Wei (VUMC), Shawn Murphy (MGB) |</w:t>
      </w:r>
      <w:r>
        <w:rPr>
          <w:rFonts w:ascii="Calibri" w:eastAsia="Calibri" w:hAnsi="Calibri" w:cs="Calibri"/>
          <w:b/>
          <w:color w:val="434343"/>
        </w:rPr>
        <w:t xml:space="preserve"> </w:t>
      </w:r>
      <w:r>
        <w:rPr>
          <w:rFonts w:ascii="Calibri" w:eastAsia="Calibri" w:hAnsi="Calibri" w:cs="Calibri"/>
          <w:b/>
          <w:color w:val="1155CC"/>
          <w:u w:val="single"/>
        </w:rPr>
        <w:t>Slides</w:t>
      </w:r>
    </w:p>
    <w:p w14:paraId="7F6BDCAF" w14:textId="77777777" w:rsidR="008E1CBB" w:rsidRDefault="006E7680">
      <w:pPr>
        <w:numPr>
          <w:ilvl w:val="1"/>
          <w:numId w:val="2"/>
        </w:numPr>
        <w:ind w:right="-180"/>
        <w:rPr>
          <w:rFonts w:ascii="Calibri" w:eastAsia="Calibri" w:hAnsi="Calibri" w:cs="Calibri"/>
        </w:rPr>
      </w:pPr>
      <w:r>
        <w:rPr>
          <w:rFonts w:ascii="Calibri" w:eastAsia="Calibri" w:hAnsi="Calibri" w:cs="Calibri"/>
        </w:rPr>
        <w:t>Jen Pacheco presented on the outcomes data pull and manual chart review processes.</w:t>
      </w:r>
    </w:p>
    <w:p w14:paraId="7F6BDCB0"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eMERGE will perform another OMOP </w:t>
      </w:r>
      <w:proofErr w:type="spellStart"/>
      <w:r>
        <w:rPr>
          <w:rFonts w:ascii="Calibri" w:eastAsia="Calibri" w:hAnsi="Calibri" w:cs="Calibri"/>
        </w:rPr>
        <w:t>CDM</w:t>
      </w:r>
      <w:proofErr w:type="spellEnd"/>
      <w:r>
        <w:rPr>
          <w:rFonts w:ascii="Calibri" w:eastAsia="Calibri" w:hAnsi="Calibri" w:cs="Calibri"/>
        </w:rPr>
        <w:t xml:space="preserve"> data pull for structured data, and add a semi-structured data pull from sites’ local databases next month for a 6-month interim analysis.</w:t>
      </w:r>
    </w:p>
    <w:p w14:paraId="7F6BDCB1"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The semi-structured data pull is more complicated and requires mapping keywords and phrases across sites. For example, referrals may only be found in text fields. </w:t>
      </w:r>
    </w:p>
    <w:p w14:paraId="7F6BDCB2"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The information gained from the manual chart reviews </w:t>
      </w:r>
      <w:proofErr w:type="gramStart"/>
      <w:r>
        <w:rPr>
          <w:rFonts w:ascii="Calibri" w:eastAsia="Calibri" w:hAnsi="Calibri" w:cs="Calibri"/>
        </w:rPr>
        <w:t>are</w:t>
      </w:r>
      <w:proofErr w:type="gramEnd"/>
      <w:r>
        <w:rPr>
          <w:rFonts w:ascii="Calibri" w:eastAsia="Calibri" w:hAnsi="Calibri" w:cs="Calibri"/>
        </w:rPr>
        <w:t xml:space="preserve"> being used to ensure the network is pulling the necessary data, using the correct keywords, and pulling from the best locations.</w:t>
      </w:r>
    </w:p>
    <w:p w14:paraId="7F6BDCB3" w14:textId="77777777" w:rsidR="008E1CBB" w:rsidRDefault="006E7680">
      <w:pPr>
        <w:numPr>
          <w:ilvl w:val="1"/>
          <w:numId w:val="2"/>
        </w:numPr>
        <w:ind w:right="-180"/>
        <w:rPr>
          <w:rFonts w:ascii="Calibri" w:eastAsia="Calibri" w:hAnsi="Calibri" w:cs="Calibri"/>
        </w:rPr>
      </w:pPr>
      <w:r>
        <w:rPr>
          <w:rFonts w:ascii="Calibri" w:eastAsia="Calibri" w:hAnsi="Calibri" w:cs="Calibri"/>
        </w:rPr>
        <w:t>There are many different types of data being collected by each condition. This data is split across local and shared databases.</w:t>
      </w:r>
    </w:p>
    <w:p w14:paraId="7F6BDCB4" w14:textId="77777777" w:rsidR="008E1CBB" w:rsidRDefault="006E7680">
      <w:pPr>
        <w:numPr>
          <w:ilvl w:val="1"/>
          <w:numId w:val="2"/>
        </w:numPr>
        <w:ind w:right="-180"/>
        <w:rPr>
          <w:rFonts w:ascii="Calibri" w:eastAsia="Calibri" w:hAnsi="Calibri" w:cs="Calibri"/>
        </w:rPr>
      </w:pPr>
      <w:r>
        <w:rPr>
          <w:rFonts w:ascii="Calibri" w:eastAsia="Calibri" w:hAnsi="Calibri" w:cs="Calibri"/>
        </w:rPr>
        <w:t>This is an iterative process and is being performed in parallel with different workgroups and condition leads.</w:t>
      </w:r>
    </w:p>
    <w:p w14:paraId="7F6BDCB5" w14:textId="77777777" w:rsidR="008E1CBB" w:rsidRDefault="006E7680">
      <w:pPr>
        <w:numPr>
          <w:ilvl w:val="1"/>
          <w:numId w:val="2"/>
        </w:numPr>
        <w:ind w:right="-180"/>
        <w:rPr>
          <w:rFonts w:ascii="Calibri" w:eastAsia="Calibri" w:hAnsi="Calibri" w:cs="Calibri"/>
        </w:rPr>
      </w:pPr>
      <w:r>
        <w:rPr>
          <w:rFonts w:ascii="Calibri" w:eastAsia="Calibri" w:hAnsi="Calibri" w:cs="Calibri"/>
        </w:rPr>
        <w:t>The goal is to harmonize and map order names and keywords from each site.</w:t>
      </w:r>
    </w:p>
    <w:p w14:paraId="7F6BDCB6" w14:textId="77777777" w:rsidR="008E1CBB" w:rsidRDefault="006E7680">
      <w:pPr>
        <w:numPr>
          <w:ilvl w:val="1"/>
          <w:numId w:val="2"/>
        </w:numPr>
        <w:ind w:right="-180"/>
        <w:rPr>
          <w:rFonts w:ascii="Calibri" w:eastAsia="Calibri" w:hAnsi="Calibri" w:cs="Calibri"/>
        </w:rPr>
      </w:pPr>
      <w:r>
        <w:rPr>
          <w:rFonts w:ascii="Calibri" w:eastAsia="Calibri" w:hAnsi="Calibri" w:cs="Calibri"/>
        </w:rPr>
        <w:t>The 327 charts reviewed in the manual chart review process resulted in data gathered from 586 relevant encounters, 665 relevant orders, and 122 relevant referrals, across all conditions and sites.</w:t>
      </w:r>
    </w:p>
    <w:p w14:paraId="7F6BDCB7" w14:textId="77777777" w:rsidR="008E1CBB" w:rsidRDefault="006E7680">
      <w:pPr>
        <w:numPr>
          <w:ilvl w:val="1"/>
          <w:numId w:val="2"/>
        </w:numPr>
        <w:ind w:right="-180"/>
        <w:rPr>
          <w:rFonts w:ascii="Calibri" w:eastAsia="Calibri" w:hAnsi="Calibri" w:cs="Calibri"/>
        </w:rPr>
      </w:pPr>
      <w:r>
        <w:rPr>
          <w:rFonts w:ascii="Calibri" w:eastAsia="Calibri" w:hAnsi="Calibri" w:cs="Calibri"/>
        </w:rPr>
        <w:t>The manual chart review forms utilized a combination of checkboxes and free text forms to gather information.</w:t>
      </w:r>
    </w:p>
    <w:p w14:paraId="7F6BDCB8" w14:textId="77777777" w:rsidR="008E1CBB" w:rsidRDefault="006E7680">
      <w:pPr>
        <w:numPr>
          <w:ilvl w:val="1"/>
          <w:numId w:val="2"/>
        </w:numPr>
        <w:ind w:right="-180"/>
        <w:rPr>
          <w:rFonts w:ascii="Calibri" w:eastAsia="Calibri" w:hAnsi="Calibri" w:cs="Calibri"/>
        </w:rPr>
      </w:pPr>
      <w:r>
        <w:rPr>
          <w:rFonts w:ascii="Calibri" w:eastAsia="Calibri" w:hAnsi="Calibri" w:cs="Calibri"/>
        </w:rPr>
        <w:t>Chart reviewers were asked to paste patient notes into a specific field in the chart review forms.</w:t>
      </w:r>
    </w:p>
    <w:p w14:paraId="7F6BDCB9" w14:textId="77777777" w:rsidR="008E1CBB" w:rsidRDefault="006E7680">
      <w:pPr>
        <w:numPr>
          <w:ilvl w:val="1"/>
          <w:numId w:val="2"/>
        </w:numPr>
        <w:ind w:right="-180"/>
        <w:rPr>
          <w:rFonts w:ascii="Calibri" w:eastAsia="Calibri" w:hAnsi="Calibri" w:cs="Calibri"/>
        </w:rPr>
      </w:pPr>
      <w:r>
        <w:rPr>
          <w:rFonts w:ascii="Calibri" w:eastAsia="Calibri" w:hAnsi="Calibri" w:cs="Calibri"/>
        </w:rPr>
        <w:t>The manual chart review examined the time range of two years prior to return of results to over six-months post return of results.</w:t>
      </w:r>
    </w:p>
    <w:p w14:paraId="7F6BDCBA" w14:textId="77777777" w:rsidR="008E1CBB" w:rsidRDefault="006E7680">
      <w:pPr>
        <w:numPr>
          <w:ilvl w:val="2"/>
          <w:numId w:val="2"/>
        </w:numPr>
        <w:ind w:right="-180"/>
        <w:rPr>
          <w:rFonts w:ascii="Calibri" w:eastAsia="Calibri" w:hAnsi="Calibri" w:cs="Calibri"/>
        </w:rPr>
      </w:pPr>
      <w:r>
        <w:rPr>
          <w:rFonts w:ascii="Calibri" w:eastAsia="Calibri" w:hAnsi="Calibri" w:cs="Calibri"/>
        </w:rPr>
        <w:lastRenderedPageBreak/>
        <w:t>Sites were asked to select participants who were found to be at high risk and who met with a provider following the return of results. They were also asked to select a few participants who were not at high risk.</w:t>
      </w:r>
    </w:p>
    <w:p w14:paraId="7F6BDCBB" w14:textId="77777777" w:rsidR="008E1CBB" w:rsidRDefault="006E7680">
      <w:pPr>
        <w:numPr>
          <w:ilvl w:val="1"/>
          <w:numId w:val="2"/>
        </w:numPr>
        <w:ind w:right="-180"/>
        <w:rPr>
          <w:rFonts w:ascii="Calibri" w:eastAsia="Calibri" w:hAnsi="Calibri" w:cs="Calibri"/>
        </w:rPr>
      </w:pPr>
      <w:r>
        <w:rPr>
          <w:rFonts w:ascii="Calibri" w:eastAsia="Calibri" w:hAnsi="Calibri" w:cs="Calibri"/>
        </w:rPr>
        <w:t>Each condition had at least one relevant order, referral, and encounter found.</w:t>
      </w:r>
    </w:p>
    <w:p w14:paraId="7F6BDCBC"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The group is in the process now of trying to abstract out keywords and phrases from the free </w:t>
      </w:r>
      <w:proofErr w:type="gramStart"/>
      <w:r>
        <w:rPr>
          <w:rFonts w:ascii="Calibri" w:eastAsia="Calibri" w:hAnsi="Calibri" w:cs="Calibri"/>
        </w:rPr>
        <w:t>text, and</w:t>
      </w:r>
      <w:proofErr w:type="gramEnd"/>
      <w:r>
        <w:rPr>
          <w:rFonts w:ascii="Calibri" w:eastAsia="Calibri" w:hAnsi="Calibri" w:cs="Calibri"/>
        </w:rPr>
        <w:t xml:space="preserve"> documenting </w:t>
      </w:r>
      <w:proofErr w:type="gramStart"/>
      <w:r>
        <w:rPr>
          <w:rFonts w:ascii="Calibri" w:eastAsia="Calibri" w:hAnsi="Calibri" w:cs="Calibri"/>
        </w:rPr>
        <w:t>where in</w:t>
      </w:r>
      <w:proofErr w:type="gramEnd"/>
      <w:r>
        <w:rPr>
          <w:rFonts w:ascii="Calibri" w:eastAsia="Calibri" w:hAnsi="Calibri" w:cs="Calibri"/>
        </w:rPr>
        <w:t xml:space="preserve"> the chart the information was found.</w:t>
      </w:r>
    </w:p>
    <w:p w14:paraId="7F6BDCBD" w14:textId="77777777" w:rsidR="008E1CBB" w:rsidRDefault="006E7680">
      <w:pPr>
        <w:numPr>
          <w:ilvl w:val="2"/>
          <w:numId w:val="2"/>
        </w:numPr>
        <w:ind w:right="-180"/>
        <w:rPr>
          <w:rFonts w:ascii="Calibri" w:eastAsia="Calibri" w:hAnsi="Calibri" w:cs="Calibri"/>
        </w:rPr>
      </w:pPr>
      <w:r>
        <w:rPr>
          <w:rFonts w:ascii="Calibri" w:eastAsia="Calibri" w:hAnsi="Calibri" w:cs="Calibri"/>
        </w:rPr>
        <w:t>Over half of the encounter information was found in the notes, and over 40% of the orders were found in the notes.</w:t>
      </w:r>
    </w:p>
    <w:p w14:paraId="7F6BDCBE" w14:textId="77777777" w:rsidR="008E1CBB" w:rsidRDefault="006E7680">
      <w:pPr>
        <w:numPr>
          <w:ilvl w:val="1"/>
          <w:numId w:val="2"/>
        </w:numPr>
        <w:ind w:right="-180"/>
        <w:rPr>
          <w:rFonts w:ascii="Calibri" w:eastAsia="Calibri" w:hAnsi="Calibri" w:cs="Calibri"/>
        </w:rPr>
      </w:pPr>
      <w:r>
        <w:rPr>
          <w:rFonts w:ascii="Calibri" w:eastAsia="Calibri" w:hAnsi="Calibri" w:cs="Calibri"/>
        </w:rPr>
        <w:t>The QA/QC Task Force is working with the reviewers to extract de-identified free text and keywords into a shareable collection spreadsheet.</w:t>
      </w:r>
    </w:p>
    <w:p w14:paraId="7F6BDCBF" w14:textId="77777777" w:rsidR="008E1CBB" w:rsidRDefault="006E7680">
      <w:pPr>
        <w:numPr>
          <w:ilvl w:val="2"/>
          <w:numId w:val="2"/>
        </w:numPr>
        <w:ind w:right="-180"/>
        <w:rPr>
          <w:rFonts w:ascii="Calibri" w:eastAsia="Calibri" w:hAnsi="Calibri" w:cs="Calibri"/>
        </w:rPr>
      </w:pPr>
      <w:r>
        <w:rPr>
          <w:rFonts w:ascii="Calibri" w:eastAsia="Calibri" w:hAnsi="Calibri" w:cs="Calibri"/>
        </w:rPr>
        <w:t>The task force is mapping elements from the manual chart review to the EHR pull data dictionary to perform a side-by-side comparison.</w:t>
      </w:r>
    </w:p>
    <w:p w14:paraId="7F6BDCC0" w14:textId="77777777" w:rsidR="008E1CBB" w:rsidRDefault="006E7680">
      <w:pPr>
        <w:numPr>
          <w:ilvl w:val="1"/>
          <w:numId w:val="2"/>
        </w:numPr>
        <w:ind w:right="-180"/>
        <w:rPr>
          <w:rFonts w:ascii="Calibri" w:eastAsia="Calibri" w:hAnsi="Calibri" w:cs="Calibri"/>
        </w:rPr>
      </w:pPr>
      <w:r>
        <w:rPr>
          <w:rFonts w:ascii="Calibri" w:eastAsia="Calibri" w:hAnsi="Calibri" w:cs="Calibri"/>
        </w:rPr>
        <w:t>The comparison process will take multiple rounds and involve clinician input.</w:t>
      </w:r>
    </w:p>
    <w:p w14:paraId="7F6BDCC1" w14:textId="77777777" w:rsidR="008E1CBB" w:rsidRDefault="006E7680">
      <w:pPr>
        <w:numPr>
          <w:ilvl w:val="1"/>
          <w:numId w:val="2"/>
        </w:numPr>
        <w:ind w:right="-180"/>
        <w:rPr>
          <w:rFonts w:ascii="Calibri" w:eastAsia="Calibri" w:hAnsi="Calibri" w:cs="Calibri"/>
        </w:rPr>
      </w:pPr>
      <w:r>
        <w:rPr>
          <w:rFonts w:ascii="Calibri" w:eastAsia="Calibri" w:hAnsi="Calibri" w:cs="Calibri"/>
        </w:rPr>
        <w:t>The keyword list will need to be updated based on the information found in the manual chart review.</w:t>
      </w:r>
    </w:p>
    <w:p w14:paraId="7F6BDCC2" w14:textId="77777777" w:rsidR="008E1CBB" w:rsidRDefault="006E7680">
      <w:pPr>
        <w:numPr>
          <w:ilvl w:val="1"/>
          <w:numId w:val="2"/>
        </w:numPr>
        <w:ind w:right="-180"/>
        <w:rPr>
          <w:rFonts w:ascii="Calibri" w:eastAsia="Calibri" w:hAnsi="Calibri" w:cs="Calibri"/>
        </w:rPr>
      </w:pPr>
      <w:r>
        <w:rPr>
          <w:rFonts w:ascii="Calibri" w:eastAsia="Calibri" w:hAnsi="Calibri" w:cs="Calibri"/>
        </w:rPr>
        <w:t>The pull of semi-structured and unstructured data will involve using the keyword list and potentially using LLMs.</w:t>
      </w:r>
    </w:p>
    <w:p w14:paraId="7F6BDCC3"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To train the LLM, the Phenotyping workgroup developed a unified prompt to pull referrals and information about what </w:t>
      </w:r>
      <w:proofErr w:type="spellStart"/>
      <w:r>
        <w:rPr>
          <w:rFonts w:ascii="Calibri" w:eastAsia="Calibri" w:hAnsi="Calibri" w:cs="Calibri"/>
        </w:rPr>
        <w:t>specialities</w:t>
      </w:r>
      <w:proofErr w:type="spellEnd"/>
      <w:r>
        <w:rPr>
          <w:rFonts w:ascii="Calibri" w:eastAsia="Calibri" w:hAnsi="Calibri" w:cs="Calibri"/>
        </w:rPr>
        <w:t xml:space="preserve"> the referrals were to.</w:t>
      </w:r>
    </w:p>
    <w:p w14:paraId="7F6BDCC4"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VUMC tested three LLM </w:t>
      </w:r>
      <w:proofErr w:type="gramStart"/>
      <w:r>
        <w:rPr>
          <w:rFonts w:ascii="Calibri" w:eastAsia="Calibri" w:hAnsi="Calibri" w:cs="Calibri"/>
        </w:rPr>
        <w:t>models, and</w:t>
      </w:r>
      <w:proofErr w:type="gramEnd"/>
      <w:r>
        <w:rPr>
          <w:rFonts w:ascii="Calibri" w:eastAsia="Calibri" w:hAnsi="Calibri" w:cs="Calibri"/>
        </w:rPr>
        <w:t xml:space="preserve"> found that </w:t>
      </w:r>
      <w:proofErr w:type="spellStart"/>
      <w:r>
        <w:rPr>
          <w:rFonts w:ascii="Calibri" w:eastAsia="Calibri" w:hAnsi="Calibri" w:cs="Calibri"/>
        </w:rPr>
        <w:t>GPT</w:t>
      </w:r>
      <w:proofErr w:type="spellEnd"/>
      <w:r>
        <w:rPr>
          <w:rFonts w:ascii="Calibri" w:eastAsia="Calibri" w:hAnsi="Calibri" w:cs="Calibri"/>
        </w:rPr>
        <w:t xml:space="preserve"> and LLaMA were the best performing.</w:t>
      </w:r>
    </w:p>
    <w:p w14:paraId="7F6BDCC5"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Sites that </w:t>
      </w:r>
      <w:proofErr w:type="gramStart"/>
      <w:r>
        <w:rPr>
          <w:rFonts w:ascii="Calibri" w:eastAsia="Calibri" w:hAnsi="Calibri" w:cs="Calibri"/>
        </w:rPr>
        <w:t>are able to</w:t>
      </w:r>
      <w:proofErr w:type="gramEnd"/>
      <w:r>
        <w:rPr>
          <w:rFonts w:ascii="Calibri" w:eastAsia="Calibri" w:hAnsi="Calibri" w:cs="Calibri"/>
        </w:rPr>
        <w:t xml:space="preserve"> are currently testing LLaMA.</w:t>
      </w:r>
    </w:p>
    <w:p w14:paraId="7F6BDCC6" w14:textId="77777777" w:rsidR="008E1CBB" w:rsidRDefault="006E7680">
      <w:pPr>
        <w:numPr>
          <w:ilvl w:val="1"/>
          <w:numId w:val="2"/>
        </w:numPr>
        <w:ind w:right="-180"/>
        <w:rPr>
          <w:rFonts w:ascii="Calibri" w:eastAsia="Calibri" w:hAnsi="Calibri" w:cs="Calibri"/>
        </w:rPr>
      </w:pPr>
      <w:r>
        <w:rPr>
          <w:rFonts w:ascii="Calibri" w:eastAsia="Calibri" w:hAnsi="Calibri" w:cs="Calibri"/>
        </w:rPr>
        <w:t>The LLM results will be compared to the manual chart review data to improve prompt generation and evaluate performance.</w:t>
      </w:r>
    </w:p>
    <w:p w14:paraId="7F6BDCC7"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These groups would like the ESP to weigh in on how to ensure they are involving the relevant stakeholders, </w:t>
      </w:r>
      <w:proofErr w:type="gramStart"/>
      <w:r>
        <w:rPr>
          <w:rFonts w:ascii="Calibri" w:eastAsia="Calibri" w:hAnsi="Calibri" w:cs="Calibri"/>
        </w:rPr>
        <w:t>provided</w:t>
      </w:r>
      <w:proofErr w:type="gramEnd"/>
      <w:r>
        <w:rPr>
          <w:rFonts w:ascii="Calibri" w:eastAsia="Calibri" w:hAnsi="Calibri" w:cs="Calibri"/>
        </w:rPr>
        <w:t xml:space="preserve"> the iterative process and limited timelines.</w:t>
      </w:r>
    </w:p>
    <w:p w14:paraId="7F6BDCC8"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There was a question from the ESP regarding how expected outcome rates were calculated, and if the group would consider performing a targeted additional manual chart review if there was a major discrepancy observed between an observed and expected outcome rate. </w:t>
      </w:r>
    </w:p>
    <w:p w14:paraId="7F6BDCC9" w14:textId="77777777" w:rsidR="008E1CBB" w:rsidRDefault="006E7680">
      <w:pPr>
        <w:numPr>
          <w:ilvl w:val="2"/>
          <w:numId w:val="2"/>
        </w:numPr>
        <w:ind w:right="-180"/>
        <w:rPr>
          <w:rFonts w:ascii="Calibri" w:eastAsia="Calibri" w:hAnsi="Calibri" w:cs="Calibri"/>
        </w:rPr>
      </w:pPr>
      <w:r>
        <w:rPr>
          <w:rFonts w:ascii="Calibri" w:eastAsia="Calibri" w:hAnsi="Calibri" w:cs="Calibri"/>
        </w:rPr>
        <w:t>At recruitment, clinical numbers were provided from the EHR to determine background rate for common orders.</w:t>
      </w:r>
    </w:p>
    <w:p w14:paraId="7F6BDCCA" w14:textId="77777777" w:rsidR="008E1CBB" w:rsidRDefault="006E7680">
      <w:pPr>
        <w:numPr>
          <w:ilvl w:val="2"/>
          <w:numId w:val="2"/>
        </w:numPr>
        <w:ind w:right="-180"/>
        <w:rPr>
          <w:rFonts w:ascii="Calibri" w:eastAsia="Calibri" w:hAnsi="Calibri" w:cs="Calibri"/>
        </w:rPr>
      </w:pPr>
      <w:r>
        <w:rPr>
          <w:rFonts w:ascii="Calibri" w:eastAsia="Calibri" w:hAnsi="Calibri" w:cs="Calibri"/>
        </w:rPr>
        <w:t>For more rare orders, for example pediatric A1C, the group can ask a pediatric site to examine the general population to determine the background rate.</w:t>
      </w:r>
    </w:p>
    <w:p w14:paraId="7F6BDCCB"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After the initial EHR data </w:t>
      </w:r>
      <w:proofErr w:type="gramStart"/>
      <w:r>
        <w:rPr>
          <w:rFonts w:ascii="Calibri" w:eastAsia="Calibri" w:hAnsi="Calibri" w:cs="Calibri"/>
        </w:rPr>
        <w:t>pull</w:t>
      </w:r>
      <w:proofErr w:type="gramEnd"/>
      <w:r>
        <w:rPr>
          <w:rFonts w:ascii="Calibri" w:eastAsia="Calibri" w:hAnsi="Calibri" w:cs="Calibri"/>
        </w:rPr>
        <w:t xml:space="preserve"> last year, sites reviewed and found that the data differed from expected. This led to the Phenotyping workgroup adjusting their methods.</w:t>
      </w:r>
    </w:p>
    <w:p w14:paraId="7F6BDCCC"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If it is observed that an outcome is not </w:t>
      </w:r>
      <w:proofErr w:type="gramStart"/>
      <w:r>
        <w:rPr>
          <w:rFonts w:ascii="Calibri" w:eastAsia="Calibri" w:hAnsi="Calibri" w:cs="Calibri"/>
        </w:rPr>
        <w:t>being captured</w:t>
      </w:r>
      <w:proofErr w:type="gramEnd"/>
      <w:r>
        <w:rPr>
          <w:rFonts w:ascii="Calibri" w:eastAsia="Calibri" w:hAnsi="Calibri" w:cs="Calibri"/>
        </w:rPr>
        <w:t xml:space="preserve"> as expected in the six-month data pull, the groups will discuss and modify prior to the 12-month data pull to maximize data collection. The iterative nature of this process will allow for this.</w:t>
      </w:r>
    </w:p>
    <w:p w14:paraId="7F6BDCCD"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It is very difficult to calculate an “ideal rate” of referrals. </w:t>
      </w:r>
    </w:p>
    <w:p w14:paraId="7F6BDCCE" w14:textId="77777777" w:rsidR="008E1CBB" w:rsidRDefault="006E7680">
      <w:pPr>
        <w:numPr>
          <w:ilvl w:val="2"/>
          <w:numId w:val="2"/>
        </w:numPr>
        <w:ind w:right="-180"/>
        <w:rPr>
          <w:rFonts w:ascii="Calibri" w:eastAsia="Calibri" w:hAnsi="Calibri" w:cs="Calibri"/>
        </w:rPr>
      </w:pPr>
      <w:r>
        <w:rPr>
          <w:rFonts w:ascii="Calibri" w:eastAsia="Calibri" w:hAnsi="Calibri" w:cs="Calibri"/>
        </w:rPr>
        <w:t>The care recommendations used language such as “consider.”</w:t>
      </w:r>
    </w:p>
    <w:p w14:paraId="7F6BDCCF" w14:textId="77777777" w:rsidR="008E1CBB" w:rsidRDefault="006E7680">
      <w:pPr>
        <w:numPr>
          <w:ilvl w:val="2"/>
          <w:numId w:val="2"/>
        </w:numPr>
        <w:ind w:right="-180"/>
        <w:rPr>
          <w:rFonts w:ascii="Calibri" w:eastAsia="Calibri" w:hAnsi="Calibri" w:cs="Calibri"/>
        </w:rPr>
      </w:pPr>
      <w:r>
        <w:rPr>
          <w:rFonts w:ascii="Calibri" w:eastAsia="Calibri" w:hAnsi="Calibri" w:cs="Calibri"/>
        </w:rPr>
        <w:t>Referrals will also be context specific for the participant.</w:t>
      </w:r>
    </w:p>
    <w:p w14:paraId="7F6BDCD0" w14:textId="77777777" w:rsidR="008E1CBB" w:rsidRDefault="006E7680">
      <w:pPr>
        <w:numPr>
          <w:ilvl w:val="2"/>
          <w:numId w:val="2"/>
        </w:numPr>
        <w:ind w:right="-180"/>
        <w:rPr>
          <w:rFonts w:ascii="Calibri" w:eastAsia="Calibri" w:hAnsi="Calibri" w:cs="Calibri"/>
        </w:rPr>
      </w:pPr>
      <w:r>
        <w:rPr>
          <w:rFonts w:ascii="Calibri" w:eastAsia="Calibri" w:hAnsi="Calibri" w:cs="Calibri"/>
        </w:rPr>
        <w:t>The use of a background rate will be the best standard to determine if the GIRA impacted actions taken.</w:t>
      </w:r>
    </w:p>
    <w:p w14:paraId="7F6BDCD1"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The data from the manual </w:t>
      </w:r>
      <w:proofErr w:type="gramStart"/>
      <w:r>
        <w:rPr>
          <w:rFonts w:ascii="Calibri" w:eastAsia="Calibri" w:hAnsi="Calibri" w:cs="Calibri"/>
        </w:rPr>
        <w:t>chart review</w:t>
      </w:r>
      <w:proofErr w:type="gramEnd"/>
      <w:r>
        <w:rPr>
          <w:rFonts w:ascii="Calibri" w:eastAsia="Calibri" w:hAnsi="Calibri" w:cs="Calibri"/>
        </w:rPr>
        <w:t xml:space="preserve"> is still being reviewed. At this point in time no issues with the automated data pulls have been observed. </w:t>
      </w:r>
    </w:p>
    <w:p w14:paraId="7F6BDCD2"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At the last ESP meeting, the ESP </w:t>
      </w:r>
      <w:proofErr w:type="gramStart"/>
      <w:r>
        <w:rPr>
          <w:rFonts w:ascii="Calibri" w:eastAsia="Calibri" w:hAnsi="Calibri" w:cs="Calibri"/>
        </w:rPr>
        <w:t>asked about</w:t>
      </w:r>
      <w:proofErr w:type="gramEnd"/>
      <w:r>
        <w:rPr>
          <w:rFonts w:ascii="Calibri" w:eastAsia="Calibri" w:hAnsi="Calibri" w:cs="Calibri"/>
        </w:rPr>
        <w:t xml:space="preserve"> if the 30 </w:t>
      </w:r>
      <w:proofErr w:type="gramStart"/>
      <w:r>
        <w:rPr>
          <w:rFonts w:ascii="Calibri" w:eastAsia="Calibri" w:hAnsi="Calibri" w:cs="Calibri"/>
        </w:rPr>
        <w:t>charts manually reviewed</w:t>
      </w:r>
      <w:proofErr w:type="gramEnd"/>
      <w:r>
        <w:rPr>
          <w:rFonts w:ascii="Calibri" w:eastAsia="Calibri" w:hAnsi="Calibri" w:cs="Calibri"/>
        </w:rPr>
        <w:t xml:space="preserve"> per site were sufficient.</w:t>
      </w:r>
    </w:p>
    <w:p w14:paraId="7F6BDCD3" w14:textId="77777777" w:rsidR="008E1CBB" w:rsidRDefault="006E7680">
      <w:pPr>
        <w:numPr>
          <w:ilvl w:val="2"/>
          <w:numId w:val="2"/>
        </w:numPr>
        <w:ind w:right="-180"/>
        <w:rPr>
          <w:rFonts w:ascii="Calibri" w:eastAsia="Calibri" w:hAnsi="Calibri" w:cs="Calibri"/>
        </w:rPr>
      </w:pPr>
      <w:r>
        <w:rPr>
          <w:rFonts w:ascii="Calibri" w:eastAsia="Calibri" w:hAnsi="Calibri" w:cs="Calibri"/>
        </w:rPr>
        <w:t>Because the network has not performed comparisons with the data pull yet, it is unknown if they were sufficient.</w:t>
      </w:r>
    </w:p>
    <w:p w14:paraId="7F6BDCD4" w14:textId="77777777" w:rsidR="008E1CBB" w:rsidRDefault="006E7680">
      <w:pPr>
        <w:numPr>
          <w:ilvl w:val="2"/>
          <w:numId w:val="2"/>
        </w:numPr>
        <w:ind w:right="-180"/>
        <w:rPr>
          <w:rFonts w:ascii="Calibri" w:eastAsia="Calibri" w:hAnsi="Calibri" w:cs="Calibri"/>
        </w:rPr>
      </w:pPr>
      <w:r>
        <w:rPr>
          <w:rFonts w:ascii="Calibri" w:eastAsia="Calibri" w:hAnsi="Calibri" w:cs="Calibri"/>
        </w:rPr>
        <w:lastRenderedPageBreak/>
        <w:t xml:space="preserve">It is difficult to get </w:t>
      </w:r>
      <w:proofErr w:type="gramStart"/>
      <w:r>
        <w:rPr>
          <w:rFonts w:ascii="Calibri" w:eastAsia="Calibri" w:hAnsi="Calibri" w:cs="Calibri"/>
        </w:rPr>
        <w:t>a high</w:t>
      </w:r>
      <w:proofErr w:type="gramEnd"/>
      <w:r>
        <w:rPr>
          <w:rFonts w:ascii="Calibri" w:eastAsia="Calibri" w:hAnsi="Calibri" w:cs="Calibri"/>
        </w:rPr>
        <w:t xml:space="preserve"> sensitivity with a small number of charts.</w:t>
      </w:r>
    </w:p>
    <w:p w14:paraId="7F6BDCD5" w14:textId="77777777" w:rsidR="008E1CBB" w:rsidRDefault="006E7680">
      <w:pPr>
        <w:numPr>
          <w:ilvl w:val="2"/>
          <w:numId w:val="2"/>
        </w:numPr>
        <w:ind w:right="-180"/>
        <w:rPr>
          <w:rFonts w:ascii="Calibri" w:eastAsia="Calibri" w:hAnsi="Calibri" w:cs="Calibri"/>
        </w:rPr>
      </w:pPr>
      <w:r>
        <w:rPr>
          <w:rFonts w:ascii="Calibri" w:eastAsia="Calibri" w:hAnsi="Calibri" w:cs="Calibri"/>
        </w:rPr>
        <w:t>The 30 charts per site were selected semi-randomly. Sites were asked to select 25 high risk and 5 not high risk. Out of the 25 high risk conditions, sites aimed to select at least one of each condition.</w:t>
      </w:r>
    </w:p>
    <w:p w14:paraId="7F6BDCD6" w14:textId="77777777" w:rsidR="008E1CBB" w:rsidRDefault="008E1CBB">
      <w:pPr>
        <w:ind w:left="2160" w:right="-180"/>
        <w:rPr>
          <w:rFonts w:ascii="Calibri" w:eastAsia="Calibri" w:hAnsi="Calibri" w:cs="Calibri"/>
        </w:rPr>
      </w:pPr>
    </w:p>
    <w:p w14:paraId="7F6BDCD7" w14:textId="77777777" w:rsidR="008E1CBB" w:rsidRDefault="006E7680">
      <w:pPr>
        <w:numPr>
          <w:ilvl w:val="0"/>
          <w:numId w:val="2"/>
        </w:numPr>
        <w:ind w:right="-180"/>
        <w:rPr>
          <w:rFonts w:ascii="Calibri" w:eastAsia="Calibri" w:hAnsi="Calibri" w:cs="Calibri"/>
          <w:b/>
        </w:rPr>
      </w:pPr>
      <w:bookmarkStart w:id="4" w:name="bookmark=id.dhdml046o71k" w:colFirst="0" w:colLast="0"/>
      <w:bookmarkEnd w:id="4"/>
      <w:r>
        <w:rPr>
          <w:rFonts w:ascii="Calibri" w:eastAsia="Calibri" w:hAnsi="Calibri" w:cs="Calibri"/>
          <w:b/>
        </w:rPr>
        <w:t>Input and feedback from the ESP</w:t>
      </w:r>
    </w:p>
    <w:p w14:paraId="7F6BDCD8" w14:textId="77777777" w:rsidR="008E1CBB" w:rsidRDefault="006E7680">
      <w:pPr>
        <w:numPr>
          <w:ilvl w:val="1"/>
          <w:numId w:val="2"/>
        </w:numPr>
        <w:ind w:right="-180"/>
        <w:rPr>
          <w:rFonts w:ascii="Calibri" w:eastAsia="Calibri" w:hAnsi="Calibri" w:cs="Calibri"/>
        </w:rPr>
      </w:pPr>
      <w:r>
        <w:rPr>
          <w:rFonts w:ascii="Calibri" w:eastAsia="Calibri" w:hAnsi="Calibri" w:cs="Calibri"/>
        </w:rPr>
        <w:t>Examining and understanding comprehension of results and immediate psycho-social effects comparisons could be a good manuscript in the future.</w:t>
      </w:r>
    </w:p>
    <w:p w14:paraId="7F6BDCD9" w14:textId="77777777" w:rsidR="008E1CBB" w:rsidRDefault="006E7680">
      <w:pPr>
        <w:numPr>
          <w:ilvl w:val="1"/>
          <w:numId w:val="2"/>
        </w:numPr>
        <w:ind w:right="-180"/>
        <w:rPr>
          <w:rFonts w:ascii="Calibri" w:eastAsia="Calibri" w:hAnsi="Calibri" w:cs="Calibri"/>
        </w:rPr>
      </w:pPr>
      <w:r>
        <w:rPr>
          <w:rFonts w:ascii="Calibri" w:eastAsia="Calibri" w:hAnsi="Calibri" w:cs="Calibri"/>
        </w:rPr>
        <w:t>Machine Learning/AI</w:t>
      </w:r>
    </w:p>
    <w:p w14:paraId="7F6BDCDA" w14:textId="77777777" w:rsidR="008E1CBB" w:rsidRDefault="006E7680">
      <w:pPr>
        <w:numPr>
          <w:ilvl w:val="2"/>
          <w:numId w:val="2"/>
        </w:numPr>
        <w:ind w:right="-180"/>
        <w:rPr>
          <w:rFonts w:ascii="Calibri" w:eastAsia="Calibri" w:hAnsi="Calibri" w:cs="Calibri"/>
        </w:rPr>
      </w:pPr>
      <w:r>
        <w:rPr>
          <w:rFonts w:ascii="Calibri" w:eastAsia="Calibri" w:hAnsi="Calibri" w:cs="Calibri"/>
        </w:rPr>
        <w:t xml:space="preserve">In a rapidly changing climate, it is valuable to document and reflect on how decisions were made to use that technology (specific tech and why). </w:t>
      </w:r>
    </w:p>
    <w:p w14:paraId="7F6BDCDB" w14:textId="77777777" w:rsidR="008E1CBB" w:rsidRDefault="006E7680">
      <w:pPr>
        <w:numPr>
          <w:ilvl w:val="2"/>
          <w:numId w:val="2"/>
        </w:numPr>
        <w:ind w:right="-180"/>
        <w:rPr>
          <w:rFonts w:ascii="Calibri" w:eastAsia="Calibri" w:hAnsi="Calibri" w:cs="Calibri"/>
        </w:rPr>
      </w:pPr>
      <w:r>
        <w:rPr>
          <w:rFonts w:ascii="Calibri" w:eastAsia="Calibri" w:hAnsi="Calibri" w:cs="Calibri"/>
        </w:rPr>
        <w:t xml:space="preserve">It would be helpful to document what the challenges were (i.e. firewall, integrating across different sites). </w:t>
      </w:r>
    </w:p>
    <w:p w14:paraId="7F6BDCDC" w14:textId="77777777" w:rsidR="008E1CBB" w:rsidRDefault="006E7680">
      <w:pPr>
        <w:numPr>
          <w:ilvl w:val="2"/>
          <w:numId w:val="2"/>
        </w:numPr>
        <w:ind w:right="-180"/>
        <w:rPr>
          <w:rFonts w:ascii="Calibri" w:eastAsia="Calibri" w:hAnsi="Calibri" w:cs="Calibri"/>
        </w:rPr>
      </w:pPr>
      <w:r>
        <w:rPr>
          <w:rFonts w:ascii="Calibri" w:eastAsia="Calibri" w:hAnsi="Calibri" w:cs="Calibri"/>
        </w:rPr>
        <w:t>A manuscript might help future healthcare systems decide when to implement AI and when it's not valuable.</w:t>
      </w:r>
    </w:p>
    <w:p w14:paraId="7F6BDCDD" w14:textId="77777777" w:rsidR="008E1CBB" w:rsidRDefault="006E7680">
      <w:pPr>
        <w:numPr>
          <w:ilvl w:val="1"/>
          <w:numId w:val="2"/>
        </w:numPr>
        <w:ind w:right="-180"/>
        <w:rPr>
          <w:rFonts w:ascii="Calibri" w:eastAsia="Calibri" w:hAnsi="Calibri" w:cs="Calibri"/>
        </w:rPr>
      </w:pPr>
      <w:r>
        <w:rPr>
          <w:rFonts w:ascii="Calibri" w:eastAsia="Calibri" w:hAnsi="Calibri" w:cs="Calibri"/>
        </w:rPr>
        <w:t>The number of participants that had a positive result and documenting how the positive results break out (family history, monogenic, polygenic) is important so that the results aren’t diluted by just showing positive vs not at high risk.</w:t>
      </w:r>
    </w:p>
    <w:p w14:paraId="7F6BDCDE" w14:textId="77777777" w:rsidR="008E1CBB" w:rsidRDefault="006E7680">
      <w:pPr>
        <w:numPr>
          <w:ilvl w:val="2"/>
          <w:numId w:val="2"/>
        </w:numPr>
        <w:ind w:right="-180"/>
        <w:rPr>
          <w:rFonts w:ascii="Calibri" w:eastAsia="Calibri" w:hAnsi="Calibri" w:cs="Calibri"/>
        </w:rPr>
      </w:pPr>
      <w:r>
        <w:rPr>
          <w:rFonts w:ascii="Calibri" w:eastAsia="Calibri" w:hAnsi="Calibri" w:cs="Calibri"/>
        </w:rPr>
        <w:t xml:space="preserve">Next steps for analysis could include expected rates of </w:t>
      </w:r>
      <w:proofErr w:type="gramStart"/>
      <w:r>
        <w:rPr>
          <w:rFonts w:ascii="Calibri" w:eastAsia="Calibri" w:hAnsi="Calibri" w:cs="Calibri"/>
        </w:rPr>
        <w:t>high risk</w:t>
      </w:r>
      <w:proofErr w:type="gramEnd"/>
      <w:r>
        <w:rPr>
          <w:rFonts w:ascii="Calibri" w:eastAsia="Calibri" w:hAnsi="Calibri" w:cs="Calibri"/>
        </w:rPr>
        <w:t xml:space="preserve"> participants for each condition.</w:t>
      </w:r>
    </w:p>
    <w:p w14:paraId="7F6BDCDF" w14:textId="77777777" w:rsidR="008E1CBB" w:rsidRDefault="006E7680">
      <w:pPr>
        <w:numPr>
          <w:ilvl w:val="2"/>
          <w:numId w:val="2"/>
        </w:numPr>
        <w:ind w:right="-180"/>
        <w:rPr>
          <w:rFonts w:ascii="Calibri" w:eastAsia="Calibri" w:hAnsi="Calibri" w:cs="Calibri"/>
        </w:rPr>
      </w:pPr>
      <w:r>
        <w:rPr>
          <w:rFonts w:ascii="Calibri" w:eastAsia="Calibri" w:hAnsi="Calibri" w:cs="Calibri"/>
        </w:rPr>
        <w:t>CHD had a lower prevalence of family history than what has been reported.</w:t>
      </w:r>
    </w:p>
    <w:p w14:paraId="7F6BDCE0"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ESP recommends </w:t>
      </w:r>
      <w:proofErr w:type="gramStart"/>
      <w:r>
        <w:rPr>
          <w:rFonts w:ascii="Calibri" w:eastAsia="Calibri" w:hAnsi="Calibri" w:cs="Calibri"/>
        </w:rPr>
        <w:t>to prioritize</w:t>
      </w:r>
      <w:proofErr w:type="gramEnd"/>
      <w:r>
        <w:rPr>
          <w:rFonts w:ascii="Calibri" w:eastAsia="Calibri" w:hAnsi="Calibri" w:cs="Calibri"/>
        </w:rPr>
        <w:t xml:space="preserve"> moving data into AnVIL.</w:t>
      </w:r>
    </w:p>
    <w:p w14:paraId="7F6BDCE1" w14:textId="77777777" w:rsidR="008E1CBB" w:rsidRDefault="006E7680">
      <w:pPr>
        <w:numPr>
          <w:ilvl w:val="2"/>
          <w:numId w:val="2"/>
        </w:numPr>
        <w:ind w:right="-180"/>
        <w:rPr>
          <w:rFonts w:ascii="Calibri" w:eastAsia="Calibri" w:hAnsi="Calibri" w:cs="Calibri"/>
        </w:rPr>
      </w:pPr>
      <w:r>
        <w:rPr>
          <w:rFonts w:ascii="Calibri" w:eastAsia="Calibri" w:hAnsi="Calibri" w:cs="Calibri"/>
        </w:rPr>
        <w:t xml:space="preserve">Most of the genetic data is in AnVIL now. A copy of the de-identified clinical data from the surveys </w:t>
      </w:r>
      <w:proofErr w:type="gramStart"/>
      <w:r>
        <w:rPr>
          <w:rFonts w:ascii="Calibri" w:eastAsia="Calibri" w:hAnsi="Calibri" w:cs="Calibri"/>
        </w:rPr>
        <w:t>are</w:t>
      </w:r>
      <w:proofErr w:type="gramEnd"/>
      <w:r>
        <w:rPr>
          <w:rFonts w:ascii="Calibri" w:eastAsia="Calibri" w:hAnsi="Calibri" w:cs="Calibri"/>
        </w:rPr>
        <w:t xml:space="preserve"> in AnVIL. </w:t>
      </w:r>
      <w:proofErr w:type="gramStart"/>
      <w:r>
        <w:rPr>
          <w:rFonts w:ascii="Calibri" w:eastAsia="Calibri" w:hAnsi="Calibri" w:cs="Calibri"/>
        </w:rPr>
        <w:t>All of</w:t>
      </w:r>
      <w:proofErr w:type="gramEnd"/>
      <w:r>
        <w:rPr>
          <w:rFonts w:ascii="Calibri" w:eastAsia="Calibri" w:hAnsi="Calibri" w:cs="Calibri"/>
        </w:rPr>
        <w:t xml:space="preserve"> the EHR data that will be pulled is planned to be in AnVIL by July 2025.</w:t>
      </w:r>
    </w:p>
    <w:p w14:paraId="7F6BDCE2" w14:textId="77777777" w:rsidR="008E1CBB" w:rsidRDefault="006E7680">
      <w:pPr>
        <w:numPr>
          <w:ilvl w:val="1"/>
          <w:numId w:val="2"/>
        </w:numPr>
        <w:ind w:right="-180"/>
        <w:rPr>
          <w:rFonts w:ascii="Calibri" w:eastAsia="Calibri" w:hAnsi="Calibri" w:cs="Calibri"/>
        </w:rPr>
      </w:pPr>
      <w:r>
        <w:rPr>
          <w:rFonts w:ascii="Calibri" w:eastAsia="Calibri" w:hAnsi="Calibri" w:cs="Calibri"/>
        </w:rPr>
        <w:t>Manual chart review and machine learning can prioritize the more useful elements that have been identified.</w:t>
      </w:r>
    </w:p>
    <w:p w14:paraId="7F6BDCE3" w14:textId="77777777" w:rsidR="008E1CBB" w:rsidRDefault="006E7680">
      <w:pPr>
        <w:numPr>
          <w:ilvl w:val="1"/>
          <w:numId w:val="2"/>
        </w:numPr>
        <w:ind w:right="-180"/>
        <w:rPr>
          <w:rFonts w:ascii="Calibri" w:eastAsia="Calibri" w:hAnsi="Calibri" w:cs="Calibri"/>
        </w:rPr>
      </w:pPr>
      <w:r>
        <w:rPr>
          <w:rFonts w:ascii="Calibri" w:eastAsia="Calibri" w:hAnsi="Calibri" w:cs="Calibri"/>
        </w:rPr>
        <w:t>Based on an Outcomes slide presented from the September SC/ESP meeting, the observed vs. expected results are very similar.</w:t>
      </w:r>
    </w:p>
    <w:p w14:paraId="7F6BDCE4" w14:textId="77777777" w:rsidR="008E1CBB" w:rsidRDefault="006E7680">
      <w:pPr>
        <w:numPr>
          <w:ilvl w:val="2"/>
          <w:numId w:val="2"/>
        </w:numPr>
        <w:ind w:right="-180"/>
        <w:rPr>
          <w:rFonts w:ascii="Calibri" w:eastAsia="Calibri" w:hAnsi="Calibri" w:cs="Calibri"/>
        </w:rPr>
      </w:pPr>
      <w:r>
        <w:rPr>
          <w:rFonts w:ascii="Calibri" w:eastAsia="Calibri" w:hAnsi="Calibri" w:cs="Calibri"/>
        </w:rPr>
        <w:t>The cross-condition manuscript will present analyses on polygenic integrated, polygenic integrated + monogenic, and polygenic integrated + monogenic + family history.</w:t>
      </w:r>
    </w:p>
    <w:p w14:paraId="7F6BDCE5" w14:textId="77777777" w:rsidR="008E1CBB" w:rsidRDefault="006E7680">
      <w:pPr>
        <w:numPr>
          <w:ilvl w:val="1"/>
          <w:numId w:val="2"/>
        </w:numPr>
        <w:ind w:right="-180"/>
        <w:rPr>
          <w:rFonts w:ascii="Calibri" w:eastAsia="Calibri" w:hAnsi="Calibri" w:cs="Calibri"/>
        </w:rPr>
      </w:pPr>
      <w:r>
        <w:rPr>
          <w:rFonts w:ascii="Calibri" w:eastAsia="Calibri" w:hAnsi="Calibri" w:cs="Calibri"/>
        </w:rPr>
        <w:t>The ESP will be interested in the outcomes that may be missed by automated data pulls that were found by manual chart reviews.</w:t>
      </w:r>
    </w:p>
    <w:p w14:paraId="7F6BDCE6" w14:textId="77777777" w:rsidR="008E1CBB" w:rsidRDefault="006E7680">
      <w:pPr>
        <w:numPr>
          <w:ilvl w:val="2"/>
          <w:numId w:val="2"/>
        </w:numPr>
        <w:ind w:right="-180"/>
        <w:rPr>
          <w:rFonts w:ascii="Calibri" w:eastAsia="Calibri" w:hAnsi="Calibri" w:cs="Calibri"/>
        </w:rPr>
      </w:pPr>
      <w:r>
        <w:rPr>
          <w:rFonts w:ascii="Calibri" w:eastAsia="Calibri" w:hAnsi="Calibri" w:cs="Calibri"/>
        </w:rPr>
        <w:t>A consideration for a targeted MCS that is focused on big differences between observed vs expected for a given outcome may be considered.</w:t>
      </w:r>
    </w:p>
    <w:p w14:paraId="7F6BDCE7" w14:textId="77777777" w:rsidR="008E1CBB" w:rsidRDefault="006E7680">
      <w:pPr>
        <w:numPr>
          <w:ilvl w:val="1"/>
          <w:numId w:val="2"/>
        </w:numPr>
        <w:ind w:right="-180"/>
        <w:rPr>
          <w:rFonts w:ascii="Calibri" w:eastAsia="Calibri" w:hAnsi="Calibri" w:cs="Calibri"/>
        </w:rPr>
      </w:pPr>
      <w:r>
        <w:rPr>
          <w:rFonts w:ascii="Calibri" w:eastAsia="Calibri" w:hAnsi="Calibri" w:cs="Calibri"/>
        </w:rPr>
        <w:t>Pulling biopsy and pathology reports are not a high priority but could be valuable if time permits.</w:t>
      </w:r>
    </w:p>
    <w:p w14:paraId="7F6BDCE8" w14:textId="77777777" w:rsidR="008E1CBB" w:rsidRDefault="006E7680">
      <w:pPr>
        <w:numPr>
          <w:ilvl w:val="1"/>
          <w:numId w:val="2"/>
        </w:numPr>
        <w:ind w:right="-180"/>
        <w:rPr>
          <w:rFonts w:ascii="Calibri" w:eastAsia="Calibri" w:hAnsi="Calibri" w:cs="Calibri"/>
        </w:rPr>
      </w:pPr>
      <w:r>
        <w:rPr>
          <w:rFonts w:ascii="Calibri" w:eastAsia="Calibri" w:hAnsi="Calibri" w:cs="Calibri"/>
        </w:rPr>
        <w:t xml:space="preserve">SDOH analysis is </w:t>
      </w:r>
      <w:proofErr w:type="gramStart"/>
      <w:r>
        <w:rPr>
          <w:rFonts w:ascii="Calibri" w:eastAsia="Calibri" w:hAnsi="Calibri" w:cs="Calibri"/>
        </w:rPr>
        <w:t>important</w:t>
      </w:r>
      <w:proofErr w:type="gramEnd"/>
      <w:r>
        <w:rPr>
          <w:rFonts w:ascii="Calibri" w:eastAsia="Calibri" w:hAnsi="Calibri" w:cs="Calibri"/>
        </w:rPr>
        <w:t xml:space="preserve"> but no specific analysis was identified at this time.</w:t>
      </w:r>
    </w:p>
    <w:p w14:paraId="7F6BDCE9" w14:textId="77777777" w:rsidR="008E1CBB" w:rsidRDefault="008E1CBB">
      <w:pPr>
        <w:ind w:left="2160" w:right="-180"/>
        <w:rPr>
          <w:rFonts w:ascii="Calibri" w:eastAsia="Calibri" w:hAnsi="Calibri" w:cs="Calibri"/>
        </w:rPr>
      </w:pPr>
    </w:p>
    <w:p w14:paraId="7F6BDCEA" w14:textId="77777777" w:rsidR="008E1CBB" w:rsidRDefault="008E1CBB">
      <w:pPr>
        <w:ind w:left="630" w:right="-180"/>
        <w:rPr>
          <w:rFonts w:ascii="Calibri" w:eastAsia="Calibri" w:hAnsi="Calibri" w:cs="Calibri"/>
          <w:b/>
        </w:rPr>
      </w:pPr>
    </w:p>
    <w:p w14:paraId="7F6BDCEB" w14:textId="77777777" w:rsidR="008E1CBB" w:rsidRDefault="008E1CBB">
      <w:pPr>
        <w:ind w:left="630" w:right="-180"/>
        <w:rPr>
          <w:rFonts w:ascii="Calibri" w:eastAsia="Calibri" w:hAnsi="Calibri" w:cs="Calibri"/>
          <w:b/>
        </w:rPr>
      </w:pPr>
    </w:p>
    <w:p w14:paraId="7F6BDCEC" w14:textId="77777777" w:rsidR="008E1CBB" w:rsidRDefault="008E1CBB">
      <w:pPr>
        <w:ind w:left="630" w:right="-180"/>
        <w:rPr>
          <w:rFonts w:ascii="Calibri" w:eastAsia="Calibri" w:hAnsi="Calibri" w:cs="Calibri"/>
          <w:b/>
        </w:rPr>
      </w:pPr>
    </w:p>
    <w:p w14:paraId="7F6BDCED" w14:textId="77777777" w:rsidR="008E1CBB" w:rsidRDefault="008E1CBB">
      <w:pPr>
        <w:ind w:left="630" w:right="-180"/>
        <w:rPr>
          <w:rFonts w:ascii="Calibri" w:eastAsia="Calibri" w:hAnsi="Calibri" w:cs="Calibri"/>
          <w:b/>
        </w:rPr>
      </w:pPr>
    </w:p>
    <w:p w14:paraId="7F6BDCEE" w14:textId="77777777" w:rsidR="008E1CBB" w:rsidRDefault="008E1CBB">
      <w:pPr>
        <w:ind w:left="630" w:right="-180"/>
        <w:rPr>
          <w:rFonts w:ascii="Calibri" w:eastAsia="Calibri" w:hAnsi="Calibri" w:cs="Calibri"/>
          <w:b/>
        </w:rPr>
      </w:pPr>
    </w:p>
    <w:p w14:paraId="7F6BDCEF" w14:textId="77777777" w:rsidR="008E1CBB" w:rsidRDefault="008E1CBB">
      <w:pPr>
        <w:ind w:left="630" w:right="-180"/>
        <w:rPr>
          <w:rFonts w:ascii="Calibri" w:eastAsia="Calibri" w:hAnsi="Calibri" w:cs="Calibri"/>
          <w:b/>
        </w:rPr>
      </w:pPr>
    </w:p>
    <w:p w14:paraId="7F6BDCF0" w14:textId="77777777" w:rsidR="008E1CBB" w:rsidRDefault="008E1CBB">
      <w:pPr>
        <w:ind w:left="630" w:right="-180"/>
        <w:rPr>
          <w:rFonts w:ascii="Calibri" w:eastAsia="Calibri" w:hAnsi="Calibri" w:cs="Calibri"/>
          <w:b/>
        </w:rPr>
      </w:pPr>
    </w:p>
    <w:p w14:paraId="7F6BDCF1" w14:textId="77777777" w:rsidR="008E1CBB" w:rsidRDefault="008E1CBB">
      <w:pPr>
        <w:ind w:left="630" w:right="-180"/>
        <w:rPr>
          <w:rFonts w:ascii="Calibri" w:eastAsia="Calibri" w:hAnsi="Calibri" w:cs="Calibri"/>
          <w:b/>
        </w:rPr>
      </w:pPr>
    </w:p>
    <w:p w14:paraId="7F6BDCF2" w14:textId="77777777" w:rsidR="008E1CBB" w:rsidRDefault="008E1CBB">
      <w:pPr>
        <w:ind w:left="630" w:right="-180"/>
        <w:rPr>
          <w:rFonts w:ascii="Calibri" w:eastAsia="Calibri" w:hAnsi="Calibri" w:cs="Calibri"/>
          <w:b/>
        </w:rPr>
      </w:pPr>
    </w:p>
    <w:p w14:paraId="7F6BDCF3" w14:textId="77777777" w:rsidR="008E1CBB" w:rsidRDefault="008E1CBB">
      <w:pPr>
        <w:ind w:right="-180"/>
        <w:rPr>
          <w:rFonts w:ascii="Calibri" w:eastAsia="Calibri" w:hAnsi="Calibri" w:cs="Calibri"/>
          <w:b/>
        </w:rPr>
      </w:pPr>
    </w:p>
    <w:p w14:paraId="7F6BDCF4" w14:textId="77777777" w:rsidR="008E1CBB" w:rsidRDefault="006E7680">
      <w:pPr>
        <w:numPr>
          <w:ilvl w:val="0"/>
          <w:numId w:val="2"/>
        </w:numPr>
        <w:ind w:right="-180"/>
        <w:rPr>
          <w:rFonts w:ascii="Calibri" w:eastAsia="Calibri" w:hAnsi="Calibri" w:cs="Calibri"/>
          <w:b/>
        </w:rPr>
      </w:pPr>
      <w:bookmarkStart w:id="5" w:name="bookmark=id.mxi5kg7z2ob" w:colFirst="0" w:colLast="0"/>
      <w:bookmarkEnd w:id="5"/>
      <w:r>
        <w:rPr>
          <w:rFonts w:ascii="Calibri" w:eastAsia="Calibri" w:hAnsi="Calibri" w:cs="Calibri"/>
          <w:b/>
        </w:rPr>
        <w:lastRenderedPageBreak/>
        <w:t>Official ESP Recommendations</w:t>
      </w:r>
    </w:p>
    <w:p w14:paraId="7F6BDCF5" w14:textId="77777777" w:rsidR="008E1CBB" w:rsidRDefault="006E7680">
      <w:pPr>
        <w:spacing w:after="160" w:line="259" w:lineRule="auto"/>
        <w:jc w:val="center"/>
        <w:rPr>
          <w:rFonts w:ascii="Calibri" w:eastAsia="Calibri" w:hAnsi="Calibri" w:cs="Calibri"/>
          <w:sz w:val="28"/>
          <w:szCs w:val="28"/>
        </w:rPr>
      </w:pPr>
      <w:r>
        <w:rPr>
          <w:rFonts w:ascii="Calibri" w:eastAsia="Calibri" w:hAnsi="Calibri" w:cs="Calibri"/>
          <w:sz w:val="28"/>
          <w:szCs w:val="28"/>
        </w:rPr>
        <w:t>Meeting Summary </w:t>
      </w:r>
    </w:p>
    <w:p w14:paraId="7F6BDCF6" w14:textId="77777777" w:rsidR="008E1CBB" w:rsidRDefault="006E7680">
      <w:pPr>
        <w:spacing w:after="160" w:line="259" w:lineRule="auto"/>
        <w:jc w:val="center"/>
        <w:rPr>
          <w:rFonts w:ascii="Calibri" w:eastAsia="Calibri" w:hAnsi="Calibri" w:cs="Calibri"/>
          <w:sz w:val="28"/>
          <w:szCs w:val="28"/>
        </w:rPr>
      </w:pPr>
      <w:r>
        <w:rPr>
          <w:rFonts w:ascii="Calibri" w:eastAsia="Calibri" w:hAnsi="Calibri" w:cs="Calibri"/>
          <w:sz w:val="28"/>
          <w:szCs w:val="28"/>
        </w:rPr>
        <w:t>eMERGE Network- External Scientific Panel Teleconference</w:t>
      </w:r>
    </w:p>
    <w:p w14:paraId="7F6BDCF7" w14:textId="77777777" w:rsidR="008E1CBB" w:rsidRDefault="006E7680">
      <w:pPr>
        <w:spacing w:after="160" w:line="259" w:lineRule="auto"/>
        <w:jc w:val="center"/>
        <w:rPr>
          <w:rFonts w:ascii="Calibri" w:eastAsia="Calibri" w:hAnsi="Calibri" w:cs="Calibri"/>
          <w:sz w:val="24"/>
          <w:szCs w:val="24"/>
        </w:rPr>
      </w:pPr>
      <w:r>
        <w:rPr>
          <w:rFonts w:ascii="Calibri" w:eastAsia="Calibri" w:hAnsi="Calibri" w:cs="Calibri"/>
          <w:i/>
          <w:sz w:val="24"/>
          <w:szCs w:val="24"/>
        </w:rPr>
        <w:t>Executive Session - 04/03/2025</w:t>
      </w:r>
      <w:r>
        <w:rPr>
          <w:rFonts w:ascii="Calibri" w:eastAsia="Calibri" w:hAnsi="Calibri" w:cs="Calibri"/>
          <w:sz w:val="24"/>
          <w:szCs w:val="24"/>
        </w:rPr>
        <w:t> </w:t>
      </w:r>
    </w:p>
    <w:p w14:paraId="7F6BDCF8" w14:textId="77777777" w:rsidR="008E1CBB" w:rsidRDefault="006E7680">
      <w:pPr>
        <w:spacing w:after="160" w:line="259" w:lineRule="auto"/>
        <w:jc w:val="center"/>
        <w:rPr>
          <w:rFonts w:ascii="Calibri" w:eastAsia="Calibri" w:hAnsi="Calibri" w:cs="Calibri"/>
          <w:sz w:val="24"/>
          <w:szCs w:val="24"/>
        </w:rPr>
      </w:pPr>
      <w:r>
        <w:rPr>
          <w:rFonts w:ascii="Calibri" w:eastAsia="Calibri" w:hAnsi="Calibri" w:cs="Calibri"/>
          <w:sz w:val="24"/>
          <w:szCs w:val="24"/>
        </w:rPr>
        <w:t> </w:t>
      </w:r>
    </w:p>
    <w:tbl>
      <w:tblPr>
        <w:tblStyle w:val="a0"/>
        <w:tblW w:w="935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85"/>
        <w:gridCol w:w="6021"/>
        <w:gridCol w:w="860"/>
        <w:gridCol w:w="1793"/>
      </w:tblGrid>
      <w:tr w:rsidR="008E1CBB" w14:paraId="7F6BDD09" w14:textId="77777777">
        <w:trPr>
          <w:trHeight w:val="1125"/>
        </w:trPr>
        <w:tc>
          <w:tcPr>
            <w:tcW w:w="685" w:type="dxa"/>
            <w:tcBorders>
              <w:top w:val="single" w:sz="6" w:space="0" w:color="000000"/>
              <w:left w:val="single" w:sz="6" w:space="0" w:color="000000"/>
              <w:bottom w:val="single" w:sz="6" w:space="0" w:color="000000"/>
              <w:right w:val="single" w:sz="6" w:space="0" w:color="000000"/>
            </w:tcBorders>
            <w:tcMar>
              <w:left w:w="45" w:type="dxa"/>
              <w:right w:w="45" w:type="dxa"/>
            </w:tcMar>
          </w:tcPr>
          <w:p w14:paraId="7F6BDCF9"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u w:val="single"/>
              </w:rPr>
              <w:t>ESP</w:t>
            </w:r>
            <w:r>
              <w:rPr>
                <w:rFonts w:ascii="Calibri" w:eastAsia="Calibri" w:hAnsi="Calibri" w:cs="Calibri"/>
                <w:b/>
                <w:sz w:val="24"/>
                <w:szCs w:val="24"/>
              </w:rPr>
              <w:t> </w:t>
            </w:r>
          </w:p>
        </w:tc>
        <w:tc>
          <w:tcPr>
            <w:tcW w:w="6021" w:type="dxa"/>
            <w:tcBorders>
              <w:top w:val="single" w:sz="6" w:space="0" w:color="000000"/>
              <w:left w:val="single" w:sz="6" w:space="0" w:color="000000"/>
              <w:bottom w:val="single" w:sz="6" w:space="0" w:color="000000"/>
              <w:right w:val="single" w:sz="6" w:space="0" w:color="000000"/>
            </w:tcBorders>
            <w:tcMar>
              <w:left w:w="45" w:type="dxa"/>
              <w:right w:w="45" w:type="dxa"/>
            </w:tcMar>
          </w:tcPr>
          <w:p w14:paraId="7F6BDCFA"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 xml:space="preserve">Dan Rader, </w:t>
            </w:r>
            <w:r>
              <w:rPr>
                <w:rFonts w:ascii="Calibri" w:eastAsia="Calibri" w:hAnsi="Calibri" w:cs="Calibri"/>
                <w:sz w:val="24"/>
                <w:szCs w:val="24"/>
              </w:rPr>
              <w:t>University of Pennsylvania</w:t>
            </w:r>
            <w:r>
              <w:rPr>
                <w:rFonts w:ascii="Calibri" w:eastAsia="Calibri" w:hAnsi="Calibri" w:cs="Calibri"/>
                <w:b/>
                <w:sz w:val="24"/>
                <w:szCs w:val="24"/>
              </w:rPr>
              <w:t> – Chair  </w:t>
            </w:r>
          </w:p>
          <w:p w14:paraId="7F6BDCFB"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Kimberly Doheny, </w:t>
            </w:r>
            <w:r>
              <w:rPr>
                <w:rFonts w:ascii="Calibri" w:eastAsia="Calibri" w:hAnsi="Calibri" w:cs="Calibri"/>
                <w:sz w:val="24"/>
                <w:szCs w:val="24"/>
              </w:rPr>
              <w:t>Johns Hopkins University</w:t>
            </w:r>
          </w:p>
          <w:p w14:paraId="7F6BDCFC"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Stanley Huff*</w:t>
            </w:r>
            <w:r>
              <w:rPr>
                <w:rFonts w:ascii="Calibri" w:eastAsia="Calibri" w:hAnsi="Calibri" w:cs="Calibri"/>
                <w:sz w:val="24"/>
                <w:szCs w:val="24"/>
              </w:rPr>
              <w:t>, Intermountain Healthcare</w:t>
            </w:r>
            <w:r>
              <w:rPr>
                <w:rFonts w:ascii="Calibri" w:eastAsia="Calibri" w:hAnsi="Calibri" w:cs="Calibri"/>
                <w:b/>
                <w:sz w:val="24"/>
                <w:szCs w:val="24"/>
              </w:rPr>
              <w:t> </w:t>
            </w:r>
          </w:p>
          <w:p w14:paraId="7F6BDCFD"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Janina Jeff</w:t>
            </w:r>
            <w:r>
              <w:rPr>
                <w:rFonts w:ascii="Calibri" w:eastAsia="Calibri" w:hAnsi="Calibri" w:cs="Calibri"/>
                <w:sz w:val="24"/>
                <w:szCs w:val="24"/>
              </w:rPr>
              <w:t>, Illumina</w:t>
            </w:r>
            <w:r>
              <w:rPr>
                <w:rFonts w:ascii="Calibri" w:eastAsia="Calibri" w:hAnsi="Calibri" w:cs="Calibri"/>
                <w:b/>
                <w:sz w:val="24"/>
                <w:szCs w:val="24"/>
              </w:rPr>
              <w:t> </w:t>
            </w:r>
          </w:p>
          <w:p w14:paraId="7F6BDCFE"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Brendan Lee</w:t>
            </w:r>
            <w:r>
              <w:rPr>
                <w:rFonts w:ascii="Calibri" w:eastAsia="Calibri" w:hAnsi="Calibri" w:cs="Calibri"/>
                <w:sz w:val="24"/>
                <w:szCs w:val="24"/>
              </w:rPr>
              <w:t>, Baylor College of Medicine</w:t>
            </w:r>
          </w:p>
          <w:p w14:paraId="7F6BDCFF"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Lisa Parker</w:t>
            </w:r>
            <w:r>
              <w:rPr>
                <w:rFonts w:ascii="Calibri" w:eastAsia="Calibri" w:hAnsi="Calibri" w:cs="Calibri"/>
                <w:sz w:val="24"/>
                <w:szCs w:val="24"/>
              </w:rPr>
              <w:t>, University of Pittsburgh</w:t>
            </w:r>
            <w:r>
              <w:rPr>
                <w:rFonts w:ascii="Calibri" w:eastAsia="Calibri" w:hAnsi="Calibri" w:cs="Calibri"/>
                <w:b/>
                <w:sz w:val="24"/>
                <w:szCs w:val="24"/>
              </w:rPr>
              <w:t> </w:t>
            </w:r>
          </w:p>
          <w:p w14:paraId="7F6BDD00"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John Witte</w:t>
            </w:r>
            <w:r>
              <w:rPr>
                <w:rFonts w:ascii="Calibri" w:eastAsia="Calibri" w:hAnsi="Calibri" w:cs="Calibri"/>
                <w:sz w:val="24"/>
                <w:szCs w:val="24"/>
              </w:rPr>
              <w:t>, Stanford University</w:t>
            </w:r>
          </w:p>
          <w:p w14:paraId="7F6BDD01"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 </w:t>
            </w:r>
          </w:p>
        </w:tc>
        <w:tc>
          <w:tcPr>
            <w:tcW w:w="860" w:type="dxa"/>
            <w:tcBorders>
              <w:top w:val="single" w:sz="6" w:space="0" w:color="000000"/>
              <w:left w:val="single" w:sz="6" w:space="0" w:color="000000"/>
              <w:bottom w:val="single" w:sz="6" w:space="0" w:color="000000"/>
              <w:right w:val="single" w:sz="6" w:space="0" w:color="000000"/>
            </w:tcBorders>
            <w:tcMar>
              <w:left w:w="45" w:type="dxa"/>
              <w:right w:w="45" w:type="dxa"/>
            </w:tcMar>
          </w:tcPr>
          <w:p w14:paraId="7F6BDD02"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u w:val="single"/>
              </w:rPr>
              <w:t>NHGRI</w:t>
            </w:r>
            <w:r>
              <w:rPr>
                <w:rFonts w:ascii="Calibri" w:eastAsia="Calibri" w:hAnsi="Calibri" w:cs="Calibri"/>
                <w:b/>
                <w:sz w:val="24"/>
                <w:szCs w:val="24"/>
              </w:rPr>
              <w:t> </w:t>
            </w:r>
          </w:p>
        </w:tc>
        <w:tc>
          <w:tcPr>
            <w:tcW w:w="1793" w:type="dxa"/>
            <w:tcBorders>
              <w:top w:val="single" w:sz="6" w:space="0" w:color="000000"/>
              <w:left w:val="single" w:sz="6" w:space="0" w:color="000000"/>
              <w:bottom w:val="single" w:sz="6" w:space="0" w:color="000000"/>
              <w:right w:val="single" w:sz="6" w:space="0" w:color="000000"/>
            </w:tcBorders>
            <w:tcMar>
              <w:left w:w="45" w:type="dxa"/>
              <w:right w:w="45" w:type="dxa"/>
            </w:tcMar>
          </w:tcPr>
          <w:p w14:paraId="7F6BDD03"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Teri Manolio </w:t>
            </w:r>
          </w:p>
          <w:p w14:paraId="7F6BDD04"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Robb Rowley </w:t>
            </w:r>
          </w:p>
          <w:p w14:paraId="7F6BDD05"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Jessica Reinach </w:t>
            </w:r>
          </w:p>
          <w:p w14:paraId="7F6BDD06"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*Rene Sterling  </w:t>
            </w:r>
          </w:p>
          <w:p w14:paraId="7F6BDD07" w14:textId="77777777" w:rsidR="008E1CBB" w:rsidRDefault="008E1CBB">
            <w:pPr>
              <w:spacing w:after="160" w:line="259" w:lineRule="auto"/>
              <w:rPr>
                <w:rFonts w:ascii="Calibri" w:eastAsia="Calibri" w:hAnsi="Calibri" w:cs="Calibri"/>
                <w:b/>
                <w:sz w:val="24"/>
                <w:szCs w:val="24"/>
              </w:rPr>
            </w:pPr>
          </w:p>
          <w:p w14:paraId="7F6BDD08" w14:textId="77777777" w:rsidR="008E1CBB" w:rsidRDefault="006E7680">
            <w:pPr>
              <w:spacing w:after="160" w:line="259" w:lineRule="auto"/>
              <w:rPr>
                <w:rFonts w:ascii="Calibri" w:eastAsia="Calibri" w:hAnsi="Calibri" w:cs="Calibri"/>
                <w:sz w:val="24"/>
                <w:szCs w:val="24"/>
              </w:rPr>
            </w:pPr>
            <w:r>
              <w:rPr>
                <w:rFonts w:ascii="Calibri" w:eastAsia="Calibri" w:hAnsi="Calibri" w:cs="Calibri"/>
                <w:b/>
                <w:sz w:val="24"/>
                <w:szCs w:val="24"/>
              </w:rPr>
              <w:t> </w:t>
            </w:r>
          </w:p>
        </w:tc>
      </w:tr>
    </w:tbl>
    <w:p w14:paraId="7F6BDD0A"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rPr>
        <w:t xml:space="preserve">*Absent from the meeting </w:t>
      </w:r>
    </w:p>
    <w:p w14:paraId="7F6BDD0B"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rPr>
        <w:t>The External Scientific Panel (ESP) met with NHGRI program staff members during the executive session of the eMERGE ESP teleconference held on April 3, 2025. The ESP appreciates the Network’s comprehensive responses to their recommendations from the September 2024 ESP and Steering Committee meeting. The ESP also commends the Network on their finalization of recruitment and return numbers and progress towards capturing outcomes data. Overall, the ESP is extremely impressed with the Network’s activities and p</w:t>
      </w:r>
      <w:r>
        <w:rPr>
          <w:rFonts w:ascii="Calibri" w:eastAsia="Calibri" w:hAnsi="Calibri" w:cs="Calibri"/>
          <w:sz w:val="24"/>
          <w:szCs w:val="24"/>
        </w:rPr>
        <w:t xml:space="preserve">rogress in the last six months. The ESP recommends that the Network consider the following thoughts and recommendations for future work. </w:t>
      </w:r>
    </w:p>
    <w:p w14:paraId="7F6BDD0C"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u w:val="single"/>
        </w:rPr>
        <w:t>Discrepant Results Return</w:t>
      </w:r>
      <w:r>
        <w:rPr>
          <w:rFonts w:ascii="Calibri" w:eastAsia="Calibri" w:hAnsi="Calibri" w:cs="Calibri"/>
          <w:sz w:val="24"/>
          <w:szCs w:val="24"/>
        </w:rPr>
        <w:t xml:space="preserve">  </w:t>
      </w:r>
    </w:p>
    <w:p w14:paraId="7F6BDD0D"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rPr>
        <w:t xml:space="preserve">The ESP encourages the Network to assess patient understanding and psychosocial impact of receiving a discordant GIRA result especially when a discrepancy exists between PRS and other methods to assess risk. The ESP highlights the importance of completing this assessment in the near term while the return of results is fresh on the minds of patients and providers, and publishing findings. </w:t>
      </w:r>
      <w:proofErr w:type="gramStart"/>
      <w:r>
        <w:rPr>
          <w:rFonts w:ascii="Calibri" w:eastAsia="Calibri" w:hAnsi="Calibri" w:cs="Calibri"/>
          <w:sz w:val="24"/>
          <w:szCs w:val="24"/>
        </w:rPr>
        <w:t>The ESP</w:t>
      </w:r>
      <w:proofErr w:type="gramEnd"/>
      <w:r>
        <w:rPr>
          <w:rFonts w:ascii="Calibri" w:eastAsia="Calibri" w:hAnsi="Calibri" w:cs="Calibri"/>
          <w:sz w:val="24"/>
          <w:szCs w:val="24"/>
        </w:rPr>
        <w:t xml:space="preserve"> encourages the Network to explore other areas where there might be discordant risk result for patients such as high risk based on family history and not high risk based on PRS. An ELSI lens would be valuable to these analyses.</w:t>
      </w:r>
    </w:p>
    <w:p w14:paraId="7F6BDD0E"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u w:val="single"/>
        </w:rPr>
        <w:t>Machine Learning/Artificial Intelligence (ML/AI) in Outcomes Analysis</w:t>
      </w:r>
      <w:r>
        <w:rPr>
          <w:rFonts w:ascii="Calibri" w:eastAsia="Calibri" w:hAnsi="Calibri" w:cs="Calibri"/>
          <w:sz w:val="24"/>
          <w:szCs w:val="24"/>
        </w:rPr>
        <w:t xml:space="preserve"> </w:t>
      </w:r>
    </w:p>
    <w:p w14:paraId="7F6BDD0F"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rPr>
        <w:t xml:space="preserve">While the ESP agreed that the ML/AI area is not a top priority for the Network, they saw a valuable learning opportunity in utilizing ML/AI for outcome analysis and chart review. Several areas worth exploring include but are not limited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1) processes and resources required for selection of ML/AI technology; 2) defining and addressing challenges related to firewalls; 3) outlining challenges and costs associated with use across different sites; and 4) assessing when ML/AI investments may be useful given rapid change in the field. The Network should consider seeking additional funding to support this work. </w:t>
      </w:r>
    </w:p>
    <w:p w14:paraId="7F6BDD10" w14:textId="77777777" w:rsidR="008E1CBB" w:rsidRDefault="006E7680">
      <w:pPr>
        <w:spacing w:after="160" w:line="259" w:lineRule="auto"/>
        <w:rPr>
          <w:rFonts w:ascii="Calibri" w:eastAsia="Calibri" w:hAnsi="Calibri" w:cs="Calibri"/>
        </w:rPr>
      </w:pPr>
      <w:r>
        <w:rPr>
          <w:rFonts w:ascii="Calibri" w:eastAsia="Calibri" w:hAnsi="Calibri" w:cs="Calibri"/>
          <w:sz w:val="24"/>
          <w:szCs w:val="24"/>
          <w:u w:val="single"/>
        </w:rPr>
        <w:t>Potential for Targeted Chart Review</w:t>
      </w:r>
      <w:r>
        <w:rPr>
          <w:rFonts w:ascii="Calibri" w:eastAsia="Calibri" w:hAnsi="Calibri" w:cs="Calibri"/>
          <w:sz w:val="24"/>
          <w:szCs w:val="24"/>
        </w:rPr>
        <w:t xml:space="preserve">  </w:t>
      </w:r>
    </w:p>
    <w:p w14:paraId="7F6BDD11"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rPr>
        <w:lastRenderedPageBreak/>
        <w:t xml:space="preserve">The ESP recommends the Network consider calculating the expected number of outcomes for each condition. When discrepancies are found between the expected and observed, a targeted manual chart review could be performed to ensure that all relevant outcomes are extracted from the electronic health record (EHR). However, the ESP acknowledges that this is a very </w:t>
      </w:r>
      <w:proofErr w:type="gramStart"/>
      <w:r>
        <w:rPr>
          <w:rFonts w:ascii="Calibri" w:eastAsia="Calibri" w:hAnsi="Calibri" w:cs="Calibri"/>
          <w:sz w:val="24"/>
          <w:szCs w:val="24"/>
        </w:rPr>
        <w:t>time consuming</w:t>
      </w:r>
      <w:proofErr w:type="gramEnd"/>
      <w:r>
        <w:rPr>
          <w:rFonts w:ascii="Calibri" w:eastAsia="Calibri" w:hAnsi="Calibri" w:cs="Calibri"/>
          <w:sz w:val="24"/>
          <w:szCs w:val="24"/>
        </w:rPr>
        <w:t xml:space="preserve"> ask and does not expect estimates of expected outcomes by the next ESP meeting; rather they ask the Network to consider this approach as the Networks continue with outcomes analysis - both manual and automated chart reviews. </w:t>
      </w:r>
    </w:p>
    <w:p w14:paraId="7F6BDD12"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u w:val="single"/>
        </w:rPr>
        <w:t>Social Determinants of Health (SDOH) Data</w:t>
      </w:r>
      <w:r>
        <w:rPr>
          <w:rFonts w:ascii="Calibri" w:eastAsia="Calibri" w:hAnsi="Calibri" w:cs="Calibri"/>
          <w:sz w:val="24"/>
          <w:szCs w:val="24"/>
        </w:rPr>
        <w:t xml:space="preserve"> </w:t>
      </w:r>
    </w:p>
    <w:p w14:paraId="7F6BDD13"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rPr>
        <w:t>The ESP acknowledges that social determinants of health (SDOH) were not a focus of this meeting; however, they emphasize the importance of continuing to evaluate and incorporate survey-based SDOH data into analyses and manuscripts.</w:t>
      </w:r>
    </w:p>
    <w:p w14:paraId="7F6BDD14" w14:textId="77777777" w:rsidR="008E1CBB" w:rsidRDefault="006E7680">
      <w:pPr>
        <w:spacing w:after="160" w:line="259" w:lineRule="auto"/>
        <w:rPr>
          <w:rFonts w:ascii="Calibri" w:eastAsia="Calibri" w:hAnsi="Calibri" w:cs="Calibri"/>
          <w:sz w:val="24"/>
          <w:szCs w:val="24"/>
          <w:u w:val="single"/>
        </w:rPr>
      </w:pPr>
      <w:r>
        <w:rPr>
          <w:rFonts w:ascii="Calibri" w:eastAsia="Calibri" w:hAnsi="Calibri" w:cs="Calibri"/>
          <w:sz w:val="24"/>
          <w:szCs w:val="24"/>
        </w:rPr>
        <w:t xml:space="preserve"> </w:t>
      </w:r>
      <w:r>
        <w:rPr>
          <w:rFonts w:ascii="Calibri" w:eastAsia="Calibri" w:hAnsi="Calibri" w:cs="Calibri"/>
          <w:sz w:val="24"/>
          <w:szCs w:val="24"/>
          <w:u w:val="single"/>
        </w:rPr>
        <w:t>AnVIL Data Sharing</w:t>
      </w:r>
    </w:p>
    <w:p w14:paraId="7F6BDD15" w14:textId="77777777" w:rsidR="008E1CBB" w:rsidRDefault="006E7680">
      <w:pPr>
        <w:spacing w:after="160" w:line="259" w:lineRule="auto"/>
        <w:rPr>
          <w:rFonts w:ascii="Calibri" w:eastAsia="Calibri" w:hAnsi="Calibri" w:cs="Calibri"/>
          <w:sz w:val="24"/>
          <w:szCs w:val="24"/>
        </w:rPr>
      </w:pPr>
      <w:proofErr w:type="gramStart"/>
      <w:r>
        <w:rPr>
          <w:rFonts w:ascii="Calibri" w:eastAsia="Calibri" w:hAnsi="Calibri" w:cs="Calibri"/>
          <w:sz w:val="24"/>
          <w:szCs w:val="24"/>
        </w:rPr>
        <w:t>The ESP</w:t>
      </w:r>
      <w:proofErr w:type="gramEnd"/>
      <w:r>
        <w:rPr>
          <w:rFonts w:ascii="Calibri" w:eastAsia="Calibri" w:hAnsi="Calibri" w:cs="Calibri"/>
          <w:sz w:val="24"/>
          <w:szCs w:val="24"/>
        </w:rPr>
        <w:t xml:space="preserve"> emphasized to the Network the importance of continuing to upload data onto AnVIL for consumption by the Network and </w:t>
      </w:r>
      <w:proofErr w:type="gramStart"/>
      <w:r>
        <w:rPr>
          <w:rFonts w:ascii="Calibri" w:eastAsia="Calibri" w:hAnsi="Calibri" w:cs="Calibri"/>
          <w:sz w:val="24"/>
          <w:szCs w:val="24"/>
        </w:rPr>
        <w:t>broader</w:t>
      </w:r>
      <w:proofErr w:type="gramEnd"/>
      <w:r>
        <w:rPr>
          <w:rFonts w:ascii="Calibri" w:eastAsia="Calibri" w:hAnsi="Calibri" w:cs="Calibri"/>
          <w:sz w:val="24"/>
          <w:szCs w:val="24"/>
        </w:rPr>
        <w:t xml:space="preserve"> scientific community. The ESP commends the Network for their current planned data upload in summer 2025 that will include the </w:t>
      </w:r>
      <w:proofErr w:type="spellStart"/>
      <w:r>
        <w:rPr>
          <w:rFonts w:ascii="Calibri" w:eastAsia="Calibri" w:hAnsi="Calibri" w:cs="Calibri"/>
          <w:sz w:val="24"/>
          <w:szCs w:val="24"/>
        </w:rPr>
        <w:t>multisample</w:t>
      </w:r>
      <w:proofErr w:type="spellEnd"/>
      <w:r>
        <w:rPr>
          <w:rFonts w:ascii="Calibri" w:eastAsia="Calibri" w:hAnsi="Calibri" w:cs="Calibri"/>
          <w:sz w:val="24"/>
          <w:szCs w:val="24"/>
        </w:rPr>
        <w:t xml:space="preserve"> Variant Call Format (VCF) files from the Broad, clinical de-identified survey data, the analysis ready data set, and EHR data pull. The ESP recognizes that the </w:t>
      </w:r>
      <w:proofErr w:type="gramStart"/>
      <w:r>
        <w:rPr>
          <w:rFonts w:ascii="Calibri" w:eastAsia="Calibri" w:hAnsi="Calibri" w:cs="Calibri"/>
          <w:sz w:val="24"/>
          <w:szCs w:val="24"/>
        </w:rPr>
        <w:t>eMERGE</w:t>
      </w:r>
      <w:proofErr w:type="gramEnd"/>
      <w:r>
        <w:rPr>
          <w:rFonts w:ascii="Calibri" w:eastAsia="Calibri" w:hAnsi="Calibri" w:cs="Calibri"/>
          <w:sz w:val="24"/>
          <w:szCs w:val="24"/>
        </w:rPr>
        <w:t xml:space="preserve"> efforts will help shape future use of the AnVIL by helping the AnVIL learn about w</w:t>
      </w:r>
      <w:r>
        <w:rPr>
          <w:rFonts w:ascii="Calibri" w:eastAsia="Calibri" w:hAnsi="Calibri" w:cs="Calibri"/>
          <w:sz w:val="24"/>
          <w:szCs w:val="24"/>
        </w:rPr>
        <w:t>hat is needed to make the platform easier to share data for networks and reuse by other scientists.</w:t>
      </w:r>
    </w:p>
    <w:p w14:paraId="7F6BDD16" w14:textId="77777777" w:rsidR="008E1CBB" w:rsidRDefault="008E1CBB">
      <w:pPr>
        <w:spacing w:after="160" w:line="259" w:lineRule="auto"/>
        <w:rPr>
          <w:rFonts w:ascii="Calibri" w:eastAsia="Calibri" w:hAnsi="Calibri" w:cs="Calibri"/>
          <w:sz w:val="24"/>
          <w:szCs w:val="24"/>
        </w:rPr>
      </w:pPr>
    </w:p>
    <w:p w14:paraId="7F6BDD17" w14:textId="77777777" w:rsidR="008E1CBB" w:rsidRDefault="006E7680">
      <w:pPr>
        <w:spacing w:after="160" w:line="259" w:lineRule="auto"/>
        <w:rPr>
          <w:rFonts w:ascii="Calibri" w:eastAsia="Calibri" w:hAnsi="Calibri" w:cs="Calibri"/>
          <w:sz w:val="24"/>
          <w:szCs w:val="24"/>
        </w:rPr>
      </w:pPr>
      <w:r>
        <w:rPr>
          <w:rFonts w:ascii="Calibri" w:eastAsia="Calibri" w:hAnsi="Calibri" w:cs="Calibri"/>
          <w:sz w:val="24"/>
          <w:szCs w:val="24"/>
        </w:rPr>
        <w:t xml:space="preserve">ESP Recommendations for the Network: </w:t>
      </w:r>
    </w:p>
    <w:p w14:paraId="7F6BDD18" w14:textId="77777777" w:rsidR="008E1CBB" w:rsidRDefault="006E7680">
      <w:pPr>
        <w:numPr>
          <w:ilvl w:val="0"/>
          <w:numId w:val="1"/>
        </w:numPr>
        <w:spacing w:line="259" w:lineRule="auto"/>
        <w:ind w:left="630" w:hanging="450"/>
        <w:rPr>
          <w:rFonts w:ascii="Calibri" w:eastAsia="Calibri" w:hAnsi="Calibri" w:cs="Calibri"/>
          <w:sz w:val="24"/>
          <w:szCs w:val="24"/>
        </w:rPr>
      </w:pPr>
      <w:r>
        <w:rPr>
          <w:rFonts w:ascii="Calibri" w:eastAsia="Calibri" w:hAnsi="Calibri" w:cs="Calibri"/>
          <w:sz w:val="24"/>
          <w:szCs w:val="24"/>
        </w:rPr>
        <w:t xml:space="preserve">The ESP encourages the Network to assess patient understanding and psychosocial impact of receiving a discordant GIRA. </w:t>
      </w:r>
    </w:p>
    <w:p w14:paraId="7F6BDD19" w14:textId="77777777" w:rsidR="008E1CBB" w:rsidRDefault="006E7680">
      <w:pPr>
        <w:numPr>
          <w:ilvl w:val="0"/>
          <w:numId w:val="1"/>
        </w:numPr>
        <w:spacing w:line="259" w:lineRule="auto"/>
        <w:ind w:left="630" w:hanging="450"/>
        <w:rPr>
          <w:rFonts w:ascii="Calibri" w:eastAsia="Calibri" w:hAnsi="Calibri" w:cs="Calibri"/>
          <w:sz w:val="24"/>
          <w:szCs w:val="24"/>
        </w:rPr>
      </w:pPr>
      <w:r>
        <w:rPr>
          <w:rFonts w:ascii="Calibri" w:eastAsia="Calibri" w:hAnsi="Calibri" w:cs="Calibri"/>
          <w:sz w:val="24"/>
          <w:szCs w:val="24"/>
        </w:rPr>
        <w:t>It would be of value for the Network to write a manuscript detailing their decisions, implementation, and resources allocated to using ML/AI in clinical outcomes analysis.</w:t>
      </w:r>
    </w:p>
    <w:p w14:paraId="7F6BDD1A" w14:textId="77777777" w:rsidR="008E1CBB" w:rsidRDefault="006E7680">
      <w:pPr>
        <w:numPr>
          <w:ilvl w:val="0"/>
          <w:numId w:val="1"/>
        </w:numPr>
        <w:spacing w:line="259" w:lineRule="auto"/>
        <w:ind w:left="630" w:hanging="450"/>
        <w:rPr>
          <w:rFonts w:ascii="Calibri" w:eastAsia="Calibri" w:hAnsi="Calibri" w:cs="Calibri"/>
          <w:sz w:val="24"/>
          <w:szCs w:val="24"/>
        </w:rPr>
      </w:pPr>
      <w:r>
        <w:rPr>
          <w:rFonts w:ascii="Calibri" w:eastAsia="Calibri" w:hAnsi="Calibri" w:cs="Calibri"/>
          <w:sz w:val="24"/>
          <w:szCs w:val="24"/>
        </w:rPr>
        <w:t xml:space="preserve">The Network may want to evaluate expected outcomes based on the number of high-risk GIRA returned so targeted chart review can identify any discrepancies between expected and observed numbers, ensuring the capture of as many outcomes as possible.  </w:t>
      </w:r>
    </w:p>
    <w:p w14:paraId="7F6BDD1B" w14:textId="77777777" w:rsidR="008E1CBB" w:rsidRDefault="006E7680">
      <w:pPr>
        <w:numPr>
          <w:ilvl w:val="0"/>
          <w:numId w:val="1"/>
        </w:numPr>
        <w:spacing w:line="259" w:lineRule="auto"/>
        <w:ind w:left="630" w:hanging="450"/>
        <w:rPr>
          <w:rFonts w:ascii="Calibri" w:eastAsia="Calibri" w:hAnsi="Calibri" w:cs="Calibri"/>
          <w:sz w:val="24"/>
          <w:szCs w:val="24"/>
        </w:rPr>
      </w:pPr>
      <w:r>
        <w:rPr>
          <w:rFonts w:ascii="Calibri" w:eastAsia="Calibri" w:hAnsi="Calibri" w:cs="Calibri"/>
          <w:sz w:val="24"/>
          <w:szCs w:val="24"/>
        </w:rPr>
        <w:t xml:space="preserve">The Network should continue their analysis of SDOH variables from eMERGE surveys in their outcomes analysis. </w:t>
      </w:r>
    </w:p>
    <w:p w14:paraId="7F6BDD1C" w14:textId="77777777" w:rsidR="008E1CBB" w:rsidRDefault="006E7680">
      <w:pPr>
        <w:numPr>
          <w:ilvl w:val="0"/>
          <w:numId w:val="1"/>
        </w:numPr>
        <w:spacing w:after="160" w:line="259" w:lineRule="auto"/>
        <w:ind w:left="630" w:hanging="450"/>
        <w:rPr>
          <w:rFonts w:ascii="Calibri" w:eastAsia="Calibri" w:hAnsi="Calibri" w:cs="Calibri"/>
          <w:sz w:val="28"/>
          <w:szCs w:val="28"/>
        </w:rPr>
      </w:pPr>
      <w:r>
        <w:rPr>
          <w:rFonts w:ascii="Calibri" w:eastAsia="Calibri" w:hAnsi="Calibri" w:cs="Calibri"/>
          <w:sz w:val="24"/>
          <w:szCs w:val="24"/>
        </w:rPr>
        <w:t>The Network should continue their work with AnVIL to help both the Network and any further use of the data</w:t>
      </w:r>
      <w:r>
        <w:rPr>
          <w:rFonts w:ascii="Calibri" w:eastAsia="Calibri" w:hAnsi="Calibri" w:cs="Calibri"/>
          <w:sz w:val="28"/>
          <w:szCs w:val="28"/>
        </w:rPr>
        <w:t xml:space="preserve">. </w:t>
      </w:r>
    </w:p>
    <w:p w14:paraId="7F6BDD1D" w14:textId="77777777" w:rsidR="008E1CBB" w:rsidRDefault="008E1CBB">
      <w:pPr>
        <w:ind w:left="720"/>
        <w:rPr>
          <w:rFonts w:ascii="Calibri" w:eastAsia="Calibri" w:hAnsi="Calibri" w:cs="Calibri"/>
        </w:rPr>
      </w:pPr>
    </w:p>
    <w:p w14:paraId="7F6BDD1E" w14:textId="77777777" w:rsidR="008E1CBB" w:rsidRDefault="008E1CBB">
      <w:pPr>
        <w:ind w:left="720"/>
        <w:rPr>
          <w:rFonts w:ascii="Calibri" w:eastAsia="Calibri" w:hAnsi="Calibri" w:cs="Calibri"/>
        </w:rPr>
      </w:pPr>
    </w:p>
    <w:p w14:paraId="7F6BDD1F" w14:textId="77777777" w:rsidR="008E1CBB" w:rsidRDefault="008E1CBB"/>
    <w:sectPr w:rsidR="008E1CB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2236"/>
    <w:multiLevelType w:val="multilevel"/>
    <w:tmpl w:val="635A0A0A"/>
    <w:lvl w:ilvl="0">
      <w:start w:val="1"/>
      <w:numFmt w:val="decimalZero"/>
      <w:lvlText w:val="%1."/>
      <w:lvlJc w:val="left"/>
      <w:pPr>
        <w:ind w:left="630" w:hanging="45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F56F3F"/>
    <w:multiLevelType w:val="multilevel"/>
    <w:tmpl w:val="2FF8A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810708024">
    <w:abstractNumId w:val="1"/>
  </w:num>
  <w:num w:numId="2" w16cid:durableId="195998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B"/>
    <w:rsid w:val="002709A0"/>
    <w:rsid w:val="00613355"/>
    <w:rsid w:val="006E7680"/>
    <w:rsid w:val="008E1CBB"/>
    <w:rsid w:val="0092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DC7B"/>
  <w15:docId w15:val="{C48F37BA-C99A-4438-AF2C-4F528F00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7TkcqABQBpC23KZVTpMwjge/Ow==">CgMxLjAyDmgubGIzaXN5cjEyOG9xMg9pZC4zMXZqb2V5bDlhbzQyD2lkLnNiODVzd3lxY3JwcTIPaWQucTdxaHlzMnNnOGR3Mg9pZC5kaGRtbDA0Nm83MWsyDmlkLm14aTVrZzd6Mm9iOAByITFwSmxnR0FiNjVJWURjWmZldnZ5TkZUWkViU08yanI5bw==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2394</Words>
  <Characters>13648</Characters>
  <Application>Microsoft Office Word</Application>
  <DocSecurity>0</DocSecurity>
  <Lines>113</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Forman, Sophie A</cp:lastModifiedBy>
  <cp:revision>3</cp:revision>
  <dcterms:created xsi:type="dcterms:W3CDTF">2026-05-27T19:52:00Z</dcterms:created>
  <dcterms:modified xsi:type="dcterms:W3CDTF">2026-05-27T19:52:00Z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2026-05-27T19:52:43Z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8f5757e9-087c-48f5-bc03-1ef47f78e41a</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