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A4B878" w14:textId="77777777" w:rsidR="0051738E" w:rsidRDefault="00000000">
      <w:pPr>
        <w:pStyle w:val="Title"/>
        <w:jc w:val="center"/>
        <w:rPr>
          <w:rFonts w:ascii="Calibri" w:eastAsia="Calibri" w:hAnsi="Calibri" w:cs="Calibri"/>
          <w:b/>
          <w:bCs/>
          <w:color w:val="3BA3E1"/>
          <w:sz w:val="28"/>
          <w:szCs w:val="28"/>
        </w:rPr>
      </w:pPr>
      <w:bookmarkStart w:id="0" w:name="_heading=h.lb3isyr128oq" w:colFirst="0" w:colLast="0"/>
      <w:bookmarkEnd w:id="0"/>
      <w:r>
        <w:rPr>
          <w:rFonts w:ascii="Calibri" w:eastAsia="Calibri" w:hAnsi="Calibri" w:cs="Calibri"/>
          <w:b/>
          <w:bCs/>
          <w:sz w:val="28"/>
          <w:szCs w:val="28"/>
        </w:rPr>
        <w:t xml:space="preserve">Summary of External Scientific Panel Teleconference: </w:t>
      </w:r>
      <w:r>
        <w:rPr>
          <w:rFonts w:ascii="Calibri" w:eastAsia="Calibri" w:hAnsi="Calibri" w:cs="Calibri"/>
          <w:b/>
          <w:bCs/>
          <w:color w:val="3BA3E1"/>
          <w:sz w:val="28"/>
          <w:szCs w:val="28"/>
        </w:rPr>
        <w:t>April 2026</w:t>
      </w:r>
    </w:p>
    <w:p w14:paraId="44A4B879" w14:textId="77777777" w:rsidR="0051738E" w:rsidRDefault="00000000">
      <w:pPr>
        <w:jc w:val="center"/>
        <w:rPr>
          <w:rFonts w:ascii="Calibri" w:eastAsia="Calibri" w:hAnsi="Calibri" w:cs="Calibri"/>
          <w:sz w:val="28"/>
          <w:szCs w:val="28"/>
        </w:rPr>
      </w:pPr>
      <w:r>
        <w:rPr>
          <w:rFonts w:ascii="Calibri" w:eastAsia="Calibri" w:hAnsi="Calibri" w:cs="Calibri"/>
          <w:sz w:val="28"/>
          <w:szCs w:val="28"/>
        </w:rPr>
        <w:t xml:space="preserve">April 16, Teams </w:t>
      </w:r>
    </w:p>
    <w:p w14:paraId="44A4B87A" w14:textId="73E835D7" w:rsidR="0051738E" w:rsidRDefault="00000000">
      <w:pPr>
        <w:jc w:val="center"/>
        <w:rPr>
          <w:rFonts w:ascii="Calibri" w:eastAsia="Calibri" w:hAnsi="Calibri" w:cs="Calibri"/>
          <w:b/>
          <w:bCs/>
          <w:color w:val="434343"/>
        </w:rPr>
      </w:pPr>
      <w:r>
        <w:rPr>
          <w:rFonts w:ascii="Calibri" w:eastAsia="Calibri" w:hAnsi="Calibri" w:cs="Calibri"/>
          <w:color w:val="1155CC"/>
          <w:sz w:val="28"/>
          <w:szCs w:val="28"/>
          <w:u w:val="single"/>
        </w:rPr>
        <w:t>Meeting Slides</w:t>
      </w:r>
      <w:r>
        <w:rPr>
          <w:rFonts w:ascii="Calibri" w:eastAsia="Calibri" w:hAnsi="Calibri" w:cs="Calibri"/>
          <w:color w:val="434343"/>
          <w:sz w:val="28"/>
          <w:szCs w:val="28"/>
        </w:rPr>
        <w:t xml:space="preserve"> </w:t>
      </w:r>
    </w:p>
    <w:p w14:paraId="44A4B87B" w14:textId="77777777" w:rsidR="0051738E" w:rsidRDefault="0051738E">
      <w:pPr>
        <w:rPr>
          <w:rFonts w:ascii="Calibri" w:eastAsia="Calibri" w:hAnsi="Calibri" w:cs="Calibri"/>
          <w:color w:val="434343"/>
        </w:rPr>
      </w:pPr>
    </w:p>
    <w:p w14:paraId="44A4B87C" w14:textId="77777777" w:rsidR="0051738E" w:rsidRDefault="00000000">
      <w:pPr>
        <w:rPr>
          <w:rFonts w:ascii="Calibri" w:eastAsia="Calibri" w:hAnsi="Calibri" w:cs="Calibri"/>
        </w:rPr>
      </w:pPr>
      <w:r>
        <w:rPr>
          <w:rFonts w:ascii="Calibri" w:eastAsia="Calibri" w:hAnsi="Calibri" w:cs="Calibri"/>
          <w:b/>
          <w:bCs/>
        </w:rPr>
        <w:t>ESP Meeting</w:t>
      </w:r>
      <w:r>
        <w:rPr>
          <w:rFonts w:ascii="Calibri" w:eastAsia="Calibri" w:hAnsi="Calibri" w:cs="Calibri"/>
        </w:rPr>
        <w:t xml:space="preserve"> </w:t>
      </w:r>
    </w:p>
    <w:p w14:paraId="44A4B87D" w14:textId="65870C7A" w:rsidR="0051738E" w:rsidRDefault="00000000">
      <w:pPr>
        <w:rPr>
          <w:rFonts w:ascii="Calibri" w:eastAsia="Calibri" w:hAnsi="Calibri" w:cs="Calibri"/>
          <w:color w:val="434343"/>
        </w:rPr>
      </w:pPr>
      <w:r>
        <w:rPr>
          <w:rFonts w:ascii="Calibri" w:eastAsia="Calibri" w:hAnsi="Calibri" w:cs="Calibri"/>
          <w:color w:val="1155CC"/>
          <w:u w:val="single"/>
        </w:rPr>
        <w:t>Introduction, progress, and future goals | Rex Chisholm (NU…</w:t>
      </w:r>
    </w:p>
    <w:p w14:paraId="44A4B87E" w14:textId="2C5C8F79" w:rsidR="0051738E" w:rsidRDefault="00000000">
      <w:pPr>
        <w:rPr>
          <w:rFonts w:ascii="Calibri" w:eastAsia="Calibri" w:hAnsi="Calibri" w:cs="Calibri"/>
          <w:color w:val="434343"/>
        </w:rPr>
      </w:pPr>
      <w:r>
        <w:rPr>
          <w:rFonts w:ascii="Calibri" w:eastAsia="Calibri" w:hAnsi="Calibri" w:cs="Calibri"/>
          <w:color w:val="1155CC"/>
          <w:u w:val="single"/>
        </w:rPr>
        <w:t>6- and 12-month post RoR EHR data progress | Shawn…</w:t>
      </w:r>
    </w:p>
    <w:p w14:paraId="44A4B87F" w14:textId="670E4FDA" w:rsidR="0051738E" w:rsidRDefault="00000000">
      <w:pPr>
        <w:rPr>
          <w:rFonts w:ascii="Calibri" w:eastAsia="Calibri" w:hAnsi="Calibri" w:cs="Calibri"/>
          <w:color w:val="434343"/>
        </w:rPr>
      </w:pPr>
      <w:r>
        <w:rPr>
          <w:rFonts w:ascii="Calibri" w:eastAsia="Calibri" w:hAnsi="Calibri" w:cs="Calibri"/>
          <w:color w:val="1155CC"/>
          <w:u w:val="single"/>
        </w:rPr>
        <w:t>Early updates from Type 2 Diabetes analysis | Nita Limdi (UAB…</w:t>
      </w:r>
    </w:p>
    <w:p w14:paraId="44A4B880" w14:textId="367C3493" w:rsidR="0051738E" w:rsidRDefault="00000000">
      <w:pPr>
        <w:rPr>
          <w:rFonts w:ascii="Calibri" w:eastAsia="Calibri" w:hAnsi="Calibri" w:cs="Calibri"/>
          <w:color w:val="434343"/>
        </w:rPr>
      </w:pPr>
      <w:r>
        <w:rPr>
          <w:rFonts w:ascii="Calibri" w:eastAsia="Calibri" w:hAnsi="Calibri" w:cs="Calibri"/>
          <w:color w:val="1155CC"/>
          <w:u w:val="single"/>
        </w:rPr>
        <w:t>Outcomes analysis plans | David Veenstra (UW) | Slides</w:t>
      </w:r>
    </w:p>
    <w:p w14:paraId="44A4B881" w14:textId="2713D66B" w:rsidR="0051738E" w:rsidRDefault="00000000">
      <w:pPr>
        <w:rPr>
          <w:rFonts w:ascii="Calibri" w:eastAsia="Calibri" w:hAnsi="Calibri" w:cs="Calibri"/>
          <w:color w:val="434343"/>
        </w:rPr>
      </w:pPr>
      <w:r>
        <w:rPr>
          <w:rFonts w:ascii="Calibri" w:eastAsia="Calibri" w:hAnsi="Calibri" w:cs="Calibri"/>
          <w:color w:val="1155CC"/>
          <w:u w:val="single"/>
        </w:rPr>
        <w:t>Input and feedback from the ESP</w:t>
      </w:r>
    </w:p>
    <w:p w14:paraId="44A4B882" w14:textId="01F2316D" w:rsidR="0051738E" w:rsidRDefault="00000000">
      <w:pPr>
        <w:rPr>
          <w:rFonts w:ascii="Calibri" w:eastAsia="Calibri" w:hAnsi="Calibri" w:cs="Calibri"/>
          <w:color w:val="434343"/>
        </w:rPr>
      </w:pPr>
      <w:r>
        <w:rPr>
          <w:rFonts w:ascii="Calibri" w:eastAsia="Calibri" w:hAnsi="Calibri" w:cs="Calibri"/>
          <w:color w:val="1155CC"/>
          <w:u w:val="single"/>
        </w:rPr>
        <w:t>Official ESP Recommendations</w:t>
      </w:r>
    </w:p>
    <w:p w14:paraId="44A4B883" w14:textId="77777777" w:rsidR="0051738E" w:rsidRDefault="0051738E">
      <w:pPr>
        <w:rPr>
          <w:rFonts w:ascii="Calibri" w:eastAsia="Calibri" w:hAnsi="Calibri" w:cs="Calibri"/>
          <w:color w:val="434343"/>
        </w:rPr>
      </w:pPr>
    </w:p>
    <w:p w14:paraId="44A4B884" w14:textId="4A965C57" w:rsidR="0051738E" w:rsidRDefault="00000000">
      <w:pPr>
        <w:rPr>
          <w:rFonts w:ascii="Calibri" w:eastAsia="Calibri" w:hAnsi="Calibri" w:cs="Calibri"/>
          <w:b/>
          <w:bCs/>
          <w:color w:val="1155CC"/>
          <w:u w:val="single"/>
        </w:rPr>
      </w:pPr>
      <w:r>
        <w:rPr>
          <w:rFonts w:ascii="Calibri" w:eastAsia="Calibri" w:hAnsi="Calibri" w:cs="Calibri"/>
          <w:b/>
          <w:bCs/>
        </w:rPr>
        <w:t xml:space="preserve">Recording: </w:t>
      </w:r>
      <w:r>
        <w:rPr>
          <w:rFonts w:ascii="Calibri" w:eastAsia="Calibri" w:hAnsi="Calibri" w:cs="Calibri"/>
          <w:b/>
          <w:bCs/>
          <w:color w:val="1155CC"/>
          <w:u w:val="single"/>
        </w:rPr>
        <w:t>Recap: eMERGE: ESP teleconference Thursday, April 16</w:t>
      </w:r>
    </w:p>
    <w:p w14:paraId="44A4B885" w14:textId="77777777" w:rsidR="0051738E" w:rsidRDefault="0051738E">
      <w:pPr>
        <w:rPr>
          <w:rFonts w:ascii="Calibri" w:eastAsia="Calibri" w:hAnsi="Calibri" w:cs="Calibri"/>
          <w:color w:val="434343"/>
        </w:rPr>
      </w:pPr>
    </w:p>
    <w:p w14:paraId="44A4B886" w14:textId="711D7ED8" w:rsidR="0051738E" w:rsidRDefault="00000000">
      <w:pPr>
        <w:rPr>
          <w:rFonts w:ascii="Calibri" w:eastAsia="Calibri" w:hAnsi="Calibri" w:cs="Calibri"/>
        </w:rPr>
      </w:pPr>
      <w:r>
        <w:rPr>
          <w:rFonts w:ascii="Calibri" w:eastAsia="Calibri" w:hAnsi="Calibri" w:cs="Calibri"/>
          <w:color w:val="1155CC"/>
          <w:u w:val="single"/>
        </w:rPr>
        <w:t>ESP Packet</w:t>
      </w:r>
      <w:r>
        <w:rPr>
          <w:rFonts w:ascii="Calibri" w:eastAsia="Calibri" w:hAnsi="Calibri" w:cs="Calibri"/>
        </w:rPr>
        <w:t xml:space="preserve"> </w:t>
      </w:r>
    </w:p>
    <w:p w14:paraId="44A4B887" w14:textId="77777777" w:rsidR="0051738E" w:rsidRDefault="0051738E">
      <w:pPr>
        <w:rPr>
          <w:rFonts w:ascii="Calibri" w:eastAsia="Calibri" w:hAnsi="Calibri" w:cs="Calibri"/>
          <w:b/>
          <w:bCs/>
          <w:color w:val="434343"/>
        </w:rPr>
      </w:pPr>
    </w:p>
    <w:p w14:paraId="44A4B888" w14:textId="1A730178" w:rsidR="0051738E" w:rsidRDefault="00000000">
      <w:pPr>
        <w:numPr>
          <w:ilvl w:val="0"/>
          <w:numId w:val="1"/>
        </w:numPr>
        <w:ind w:right="-180"/>
        <w:rPr>
          <w:rFonts w:ascii="Calibri" w:eastAsia="Calibri" w:hAnsi="Calibri" w:cs="Calibri"/>
          <w:b/>
          <w:bCs/>
        </w:rPr>
      </w:pPr>
      <w:bookmarkStart w:id="1" w:name="bookmark=id.n3jgtkhib12f" w:colFirst="0" w:colLast="0"/>
      <w:bookmarkEnd w:id="1"/>
      <w:r>
        <w:rPr>
          <w:rFonts w:ascii="Calibri" w:eastAsia="Calibri" w:hAnsi="Calibri" w:cs="Calibri"/>
          <w:b/>
          <w:bCs/>
        </w:rPr>
        <w:t xml:space="preserve">Introduction, progress, and future goals | Rex Chisholm (NU) | </w:t>
      </w:r>
      <w:r>
        <w:rPr>
          <w:rFonts w:ascii="Calibri" w:eastAsia="Calibri" w:hAnsi="Calibri" w:cs="Calibri"/>
          <w:b/>
          <w:bCs/>
          <w:color w:val="1155CC"/>
          <w:u w:val="single"/>
        </w:rPr>
        <w:t>Slides</w:t>
      </w:r>
      <w:r>
        <w:rPr>
          <w:rFonts w:ascii="Calibri" w:eastAsia="Calibri" w:hAnsi="Calibri" w:cs="Calibri"/>
          <w:b/>
          <w:bCs/>
          <w:color w:val="434343"/>
        </w:rPr>
        <w:t xml:space="preserve"> </w:t>
      </w:r>
    </w:p>
    <w:p w14:paraId="44A4B889" w14:textId="77777777" w:rsidR="0051738E" w:rsidRDefault="00000000">
      <w:pPr>
        <w:numPr>
          <w:ilvl w:val="1"/>
          <w:numId w:val="1"/>
        </w:numPr>
        <w:rPr>
          <w:b/>
          <w:bCs/>
        </w:rPr>
      </w:pPr>
      <w:proofErr w:type="gramStart"/>
      <w:r>
        <w:rPr>
          <w:rFonts w:ascii="Calibri" w:eastAsia="Calibri" w:hAnsi="Calibri" w:cs="Calibri"/>
        </w:rPr>
        <w:t>eMERGE</w:t>
      </w:r>
      <w:proofErr w:type="gramEnd"/>
      <w:r>
        <w:rPr>
          <w:rFonts w:ascii="Calibri" w:eastAsia="Calibri" w:hAnsi="Calibri" w:cs="Calibri"/>
        </w:rPr>
        <w:t xml:space="preserve"> IV  formally entered its extension year, bringing the program to a 6‑year project with requests submitted for a second extension year (Year 7).</w:t>
      </w:r>
    </w:p>
    <w:p w14:paraId="44A4B88A" w14:textId="77777777" w:rsidR="0051738E" w:rsidRDefault="00000000">
      <w:pPr>
        <w:numPr>
          <w:ilvl w:val="1"/>
          <w:numId w:val="1"/>
        </w:numPr>
        <w:rPr>
          <w:b/>
          <w:bCs/>
        </w:rPr>
      </w:pPr>
      <w:r>
        <w:rPr>
          <w:rFonts w:ascii="Calibri" w:eastAsia="Calibri" w:hAnsi="Calibri" w:cs="Calibri"/>
        </w:rPr>
        <w:t>All clinical sites and the Coordinating Center also submitted applications, positioning the network for the next phase, IMPACT, which will run approximately from 2027-2030.</w:t>
      </w:r>
    </w:p>
    <w:p w14:paraId="44A4B88B" w14:textId="77777777" w:rsidR="0051738E" w:rsidRDefault="00000000">
      <w:pPr>
        <w:numPr>
          <w:ilvl w:val="1"/>
          <w:numId w:val="1"/>
        </w:numPr>
        <w:rPr>
          <w:b/>
          <w:bCs/>
        </w:rPr>
      </w:pPr>
      <w:r>
        <w:rPr>
          <w:rFonts w:ascii="Calibri" w:eastAsia="Calibri" w:hAnsi="Calibri" w:cs="Calibri"/>
        </w:rPr>
        <w:t>Several sites reported that their applications have already been assigned to NIH study sections, suggesting forward momentum in the review process.</w:t>
      </w:r>
    </w:p>
    <w:p w14:paraId="44A4B88C" w14:textId="77777777" w:rsidR="0051738E" w:rsidRDefault="00000000">
      <w:pPr>
        <w:numPr>
          <w:ilvl w:val="1"/>
          <w:numId w:val="1"/>
        </w:numPr>
      </w:pPr>
      <w:r>
        <w:rPr>
          <w:rFonts w:ascii="Calibri" w:eastAsia="Calibri" w:hAnsi="Calibri" w:cs="Calibri"/>
        </w:rPr>
        <w:t>Extended funding would allow the network to move beyond short‑term “action taken” outcomes toward durable clinical outcomes and trajectories, which is a major translational value add.</w:t>
      </w:r>
    </w:p>
    <w:p w14:paraId="44A4B88D" w14:textId="1351871F" w:rsidR="0051738E" w:rsidRDefault="00000000">
      <w:pPr>
        <w:numPr>
          <w:ilvl w:val="0"/>
          <w:numId w:val="1"/>
        </w:numPr>
        <w:ind w:right="-180"/>
        <w:rPr>
          <w:rFonts w:ascii="Calibri" w:eastAsia="Calibri" w:hAnsi="Calibri" w:cs="Calibri"/>
          <w:b/>
          <w:bCs/>
        </w:rPr>
      </w:pPr>
      <w:bookmarkStart w:id="2" w:name="bookmark=id.bfmiul1fur99" w:colFirst="0" w:colLast="0"/>
      <w:bookmarkEnd w:id="2"/>
      <w:r>
        <w:rPr>
          <w:rFonts w:ascii="Calibri" w:eastAsia="Calibri" w:hAnsi="Calibri" w:cs="Calibri"/>
          <w:b/>
          <w:bCs/>
        </w:rPr>
        <w:t xml:space="preserve">6- and 12-month post RoR EHR data progress | Shawn Murphy (MGB), Wei-Qi Wei | </w:t>
      </w:r>
      <w:r>
        <w:rPr>
          <w:rFonts w:ascii="Calibri" w:eastAsia="Calibri" w:hAnsi="Calibri" w:cs="Calibri"/>
          <w:b/>
          <w:bCs/>
          <w:color w:val="1155CC"/>
          <w:u w:val="single"/>
        </w:rPr>
        <w:t>Slides</w:t>
      </w:r>
    </w:p>
    <w:p w14:paraId="44A4B88E" w14:textId="77777777" w:rsidR="0051738E" w:rsidRDefault="00000000">
      <w:pPr>
        <w:numPr>
          <w:ilvl w:val="1"/>
          <w:numId w:val="1"/>
        </w:numPr>
        <w:ind w:right="-180"/>
        <w:rPr>
          <w:b/>
          <w:bCs/>
        </w:rPr>
      </w:pPr>
      <w:r>
        <w:rPr>
          <w:rFonts w:ascii="Calibri" w:eastAsia="Calibri" w:hAnsi="Calibri" w:cs="Calibri"/>
        </w:rPr>
        <w:t>The 6‑month EHR dataset has been cleaned, curated, frozen, and deployed to AnVIL.</w:t>
      </w:r>
    </w:p>
    <w:p w14:paraId="44A4B88F" w14:textId="77777777" w:rsidR="0051738E" w:rsidRDefault="00000000">
      <w:pPr>
        <w:numPr>
          <w:ilvl w:val="1"/>
          <w:numId w:val="1"/>
        </w:numPr>
        <w:ind w:right="-180"/>
        <w:rPr>
          <w:b/>
          <w:bCs/>
        </w:rPr>
      </w:pPr>
      <w:r>
        <w:rPr>
          <w:rFonts w:ascii="Calibri" w:eastAsia="Calibri" w:hAnsi="Calibri" w:cs="Calibri"/>
        </w:rPr>
        <w:t>The dataset has been very useful for stress‑testing phenotyping definitions.</w:t>
      </w:r>
    </w:p>
    <w:p w14:paraId="44A4B890" w14:textId="77777777" w:rsidR="0051738E" w:rsidRDefault="00000000">
      <w:pPr>
        <w:numPr>
          <w:ilvl w:val="1"/>
          <w:numId w:val="1"/>
        </w:numPr>
        <w:ind w:right="-180"/>
        <w:rPr>
          <w:b/>
          <w:bCs/>
        </w:rPr>
      </w:pPr>
      <w:r>
        <w:rPr>
          <w:rFonts w:ascii="Calibri" w:eastAsia="Calibri" w:hAnsi="Calibri" w:cs="Calibri"/>
        </w:rPr>
        <w:t>The dataset was also important for evaluating sensitivity/specificity tradeoffs in order and medication mapping and for demonstrating proof‑of‑concept effects for GIRA return.</w:t>
      </w:r>
    </w:p>
    <w:p w14:paraId="44A4B891" w14:textId="77777777" w:rsidR="0051738E" w:rsidRDefault="00000000">
      <w:pPr>
        <w:numPr>
          <w:ilvl w:val="1"/>
          <w:numId w:val="1"/>
        </w:numPr>
        <w:ind w:right="-180"/>
        <w:rPr>
          <w:b/>
          <w:bCs/>
        </w:rPr>
      </w:pPr>
      <w:r>
        <w:rPr>
          <w:rFonts w:ascii="Calibri" w:eastAsia="Calibri" w:hAnsi="Calibri" w:cs="Calibri"/>
        </w:rPr>
        <w:t>Medication mapping was incomplete prior to the additional manual review and pipeline refinement.</w:t>
      </w:r>
    </w:p>
    <w:p w14:paraId="44A4B892" w14:textId="77777777" w:rsidR="0051738E" w:rsidRDefault="00000000">
      <w:pPr>
        <w:numPr>
          <w:ilvl w:val="1"/>
          <w:numId w:val="1"/>
        </w:numPr>
        <w:ind w:right="-180"/>
        <w:rPr>
          <w:b/>
          <w:bCs/>
        </w:rPr>
      </w:pPr>
      <w:r>
        <w:rPr>
          <w:rFonts w:ascii="Calibri" w:eastAsia="Calibri" w:hAnsi="Calibri" w:cs="Calibri"/>
        </w:rPr>
        <w:t>The 12‑month pull will be used for outcomes analysis, rather than pipeline development.</w:t>
      </w:r>
    </w:p>
    <w:p w14:paraId="44A4B893" w14:textId="77777777" w:rsidR="0051738E" w:rsidRDefault="00000000">
      <w:pPr>
        <w:numPr>
          <w:ilvl w:val="1"/>
          <w:numId w:val="1"/>
        </w:numPr>
        <w:ind w:right="-180"/>
        <w:rPr>
          <w:b/>
          <w:bCs/>
        </w:rPr>
      </w:pPr>
      <w:r>
        <w:rPr>
          <w:rFonts w:ascii="Calibri" w:eastAsia="Calibri" w:hAnsi="Calibri" w:cs="Calibri"/>
        </w:rPr>
        <w:t>It incorporates methodological lessons learned from the 6‑month experiences with order lists, medication mapping, and workflow integration.</w:t>
      </w:r>
    </w:p>
    <w:p w14:paraId="44A4B894" w14:textId="77777777" w:rsidR="0051738E" w:rsidRDefault="00000000">
      <w:pPr>
        <w:numPr>
          <w:ilvl w:val="2"/>
          <w:numId w:val="1"/>
        </w:numPr>
        <w:ind w:right="-180"/>
        <w:rPr>
          <w:rFonts w:ascii="Calibri" w:eastAsia="Calibri" w:hAnsi="Calibri" w:cs="Calibri"/>
        </w:rPr>
      </w:pPr>
      <w:r>
        <w:rPr>
          <w:rFonts w:ascii="Calibri" w:eastAsia="Calibri" w:hAnsi="Calibri" w:cs="Calibri"/>
        </w:rPr>
        <w:t>Order lists</w:t>
      </w:r>
    </w:p>
    <w:p w14:paraId="44A4B895" w14:textId="77777777" w:rsidR="0051738E" w:rsidRDefault="00000000">
      <w:pPr>
        <w:numPr>
          <w:ilvl w:val="3"/>
          <w:numId w:val="1"/>
        </w:numPr>
        <w:ind w:right="-180"/>
        <w:rPr>
          <w:rFonts w:ascii="Calibri" w:eastAsia="Calibri" w:hAnsi="Calibri" w:cs="Calibri"/>
        </w:rPr>
      </w:pPr>
      <w:r>
        <w:rPr>
          <w:rFonts w:ascii="Calibri" w:eastAsia="Calibri" w:hAnsi="Calibri" w:cs="Calibri"/>
        </w:rPr>
        <w:t>Expanded and refined keyword libraries at each site.</w:t>
      </w:r>
    </w:p>
    <w:p w14:paraId="44A4B896" w14:textId="77777777" w:rsidR="0051738E" w:rsidRDefault="00000000">
      <w:pPr>
        <w:numPr>
          <w:ilvl w:val="3"/>
          <w:numId w:val="1"/>
        </w:numPr>
        <w:ind w:right="-180"/>
        <w:rPr>
          <w:rFonts w:ascii="Calibri" w:eastAsia="Calibri" w:hAnsi="Calibri" w:cs="Calibri"/>
        </w:rPr>
      </w:pPr>
      <w:r>
        <w:rPr>
          <w:rFonts w:ascii="Calibri" w:eastAsia="Calibri" w:hAnsi="Calibri" w:cs="Calibri"/>
        </w:rPr>
        <w:t xml:space="preserve">Manual </w:t>
      </w:r>
      <w:proofErr w:type="gramStart"/>
      <w:r>
        <w:rPr>
          <w:rFonts w:ascii="Calibri" w:eastAsia="Calibri" w:hAnsi="Calibri" w:cs="Calibri"/>
        </w:rPr>
        <w:t>site‑</w:t>
      </w:r>
      <w:proofErr w:type="gramEnd"/>
      <w:r>
        <w:rPr>
          <w:rFonts w:ascii="Calibri" w:eastAsia="Calibri" w:hAnsi="Calibri" w:cs="Calibri"/>
        </w:rPr>
        <w:t>specific harmonization to account for local nomenclature.</w:t>
      </w:r>
    </w:p>
    <w:p w14:paraId="44A4B897" w14:textId="77777777" w:rsidR="0051738E" w:rsidRDefault="00000000">
      <w:pPr>
        <w:numPr>
          <w:ilvl w:val="3"/>
          <w:numId w:val="1"/>
        </w:numPr>
        <w:rPr>
          <w:rFonts w:ascii="Calibri" w:eastAsia="Calibri" w:hAnsi="Calibri" w:cs="Calibri"/>
        </w:rPr>
      </w:pPr>
      <w:r>
        <w:rPr>
          <w:rFonts w:ascii="Calibri" w:eastAsia="Calibri" w:hAnsi="Calibri" w:cs="Calibri"/>
        </w:rPr>
        <w:t>Iterative QA to balance false positives vs false negatives.</w:t>
      </w:r>
    </w:p>
    <w:p w14:paraId="44A4B898" w14:textId="77777777" w:rsidR="0051738E" w:rsidRDefault="00000000">
      <w:pPr>
        <w:numPr>
          <w:ilvl w:val="2"/>
          <w:numId w:val="1"/>
        </w:numPr>
        <w:ind w:right="-180"/>
        <w:rPr>
          <w:rFonts w:ascii="Calibri" w:eastAsia="Calibri" w:hAnsi="Calibri" w:cs="Calibri"/>
        </w:rPr>
      </w:pPr>
      <w:r>
        <w:rPr>
          <w:rFonts w:ascii="Calibri" w:eastAsia="Calibri" w:hAnsi="Calibri" w:cs="Calibri"/>
        </w:rPr>
        <w:t>Medication Mapping</w:t>
      </w:r>
    </w:p>
    <w:p w14:paraId="44A4B899" w14:textId="77777777" w:rsidR="0051738E" w:rsidRDefault="00000000">
      <w:pPr>
        <w:numPr>
          <w:ilvl w:val="3"/>
          <w:numId w:val="1"/>
        </w:numPr>
        <w:rPr>
          <w:rFonts w:ascii="Calibri" w:eastAsia="Calibri" w:hAnsi="Calibri" w:cs="Calibri"/>
        </w:rPr>
      </w:pPr>
      <w:r>
        <w:rPr>
          <w:rFonts w:ascii="Calibri" w:eastAsia="Calibri" w:hAnsi="Calibri" w:cs="Calibri"/>
        </w:rPr>
        <w:t>Supplementation of RxNorm/VA class codes with keyword‑based extraction.</w:t>
      </w:r>
    </w:p>
    <w:p w14:paraId="44A4B89A" w14:textId="77777777" w:rsidR="0051738E" w:rsidRDefault="00000000">
      <w:pPr>
        <w:numPr>
          <w:ilvl w:val="3"/>
          <w:numId w:val="1"/>
        </w:numPr>
        <w:rPr>
          <w:rFonts w:ascii="Calibri" w:eastAsia="Calibri" w:hAnsi="Calibri" w:cs="Calibri"/>
        </w:rPr>
      </w:pPr>
      <w:r>
        <w:rPr>
          <w:rFonts w:ascii="Calibri" w:eastAsia="Calibri" w:hAnsi="Calibri" w:cs="Calibri"/>
        </w:rPr>
        <w:t>Manual validation of tens of thousands of rows to establish gold standards.</w:t>
      </w:r>
    </w:p>
    <w:p w14:paraId="44A4B89B" w14:textId="77777777" w:rsidR="0051738E" w:rsidRDefault="00000000">
      <w:pPr>
        <w:numPr>
          <w:ilvl w:val="2"/>
          <w:numId w:val="1"/>
        </w:numPr>
        <w:ind w:right="-180"/>
        <w:rPr>
          <w:rFonts w:ascii="Calibri" w:eastAsia="Calibri" w:hAnsi="Calibri" w:cs="Calibri"/>
        </w:rPr>
      </w:pPr>
      <w:r>
        <w:rPr>
          <w:rFonts w:ascii="Calibri" w:eastAsia="Calibri" w:hAnsi="Calibri" w:cs="Calibri"/>
        </w:rPr>
        <w:t>Workflow Integration</w:t>
      </w:r>
    </w:p>
    <w:p w14:paraId="44A4B89C" w14:textId="77777777" w:rsidR="0051738E" w:rsidRDefault="00000000">
      <w:pPr>
        <w:numPr>
          <w:ilvl w:val="3"/>
          <w:numId w:val="1"/>
        </w:numPr>
        <w:rPr>
          <w:rFonts w:ascii="Calibri" w:eastAsia="Calibri" w:hAnsi="Calibri" w:cs="Calibri"/>
        </w:rPr>
      </w:pPr>
      <w:r>
        <w:rPr>
          <w:rFonts w:ascii="Calibri" w:eastAsia="Calibri" w:hAnsi="Calibri" w:cs="Calibri"/>
        </w:rPr>
        <w:t>Close coordination across QA/QC, phenotyping, and outcomes working groups to converge on a final data specification.</w:t>
      </w:r>
    </w:p>
    <w:p w14:paraId="44A4B89D" w14:textId="77777777" w:rsidR="0051738E" w:rsidRDefault="00000000">
      <w:pPr>
        <w:numPr>
          <w:ilvl w:val="1"/>
          <w:numId w:val="1"/>
        </w:numPr>
        <w:ind w:right="-180"/>
        <w:rPr>
          <w:b/>
          <w:bCs/>
        </w:rPr>
      </w:pPr>
      <w:r>
        <w:rPr>
          <w:rFonts w:ascii="Calibri" w:eastAsia="Calibri" w:hAnsi="Calibri" w:cs="Calibri"/>
        </w:rPr>
        <w:t>A second multi‑sample VCF is planned to accompany the 12‑month curated clinical dataset.</w:t>
      </w:r>
    </w:p>
    <w:p w14:paraId="44A4B89E" w14:textId="77777777" w:rsidR="0051738E" w:rsidRDefault="00000000">
      <w:pPr>
        <w:numPr>
          <w:ilvl w:val="1"/>
          <w:numId w:val="1"/>
        </w:numPr>
        <w:ind w:right="-180"/>
        <w:rPr>
          <w:b/>
          <w:bCs/>
        </w:rPr>
      </w:pPr>
      <w:r>
        <w:rPr>
          <w:rFonts w:ascii="Calibri" w:eastAsia="Calibri" w:hAnsi="Calibri" w:cs="Calibri"/>
        </w:rPr>
        <w:lastRenderedPageBreak/>
        <w:t>This will enable:</w:t>
      </w:r>
    </w:p>
    <w:p w14:paraId="44A4B89F" w14:textId="77777777" w:rsidR="0051738E" w:rsidRDefault="00000000">
      <w:pPr>
        <w:numPr>
          <w:ilvl w:val="2"/>
          <w:numId w:val="1"/>
        </w:numPr>
        <w:rPr>
          <w:rFonts w:ascii="Calibri" w:eastAsia="Calibri" w:hAnsi="Calibri" w:cs="Calibri"/>
        </w:rPr>
      </w:pPr>
      <w:r>
        <w:rPr>
          <w:rFonts w:ascii="Calibri" w:eastAsia="Calibri" w:hAnsi="Calibri" w:cs="Calibri"/>
        </w:rPr>
        <w:t>Consistent genomic input across sites</w:t>
      </w:r>
    </w:p>
    <w:p w14:paraId="44A4B8A0" w14:textId="77777777" w:rsidR="0051738E" w:rsidRDefault="00000000">
      <w:pPr>
        <w:numPr>
          <w:ilvl w:val="2"/>
          <w:numId w:val="1"/>
        </w:numPr>
        <w:rPr>
          <w:rFonts w:ascii="Calibri" w:eastAsia="Calibri" w:hAnsi="Calibri" w:cs="Calibri"/>
        </w:rPr>
      </w:pPr>
      <w:r>
        <w:rPr>
          <w:rFonts w:ascii="Calibri" w:eastAsia="Calibri" w:hAnsi="Calibri" w:cs="Calibri"/>
        </w:rPr>
        <w:t>Cleaner linkage between PRS/monogenic findings and downstream outcomes</w:t>
      </w:r>
    </w:p>
    <w:p w14:paraId="44A4B8A1" w14:textId="77777777" w:rsidR="0051738E" w:rsidRDefault="00000000">
      <w:pPr>
        <w:numPr>
          <w:ilvl w:val="1"/>
          <w:numId w:val="1"/>
        </w:numPr>
        <w:rPr>
          <w:b/>
          <w:bCs/>
        </w:rPr>
      </w:pPr>
      <w:r>
        <w:rPr>
          <w:rFonts w:ascii="Calibri" w:eastAsia="Calibri" w:hAnsi="Calibri" w:cs="Calibri"/>
        </w:rPr>
        <w:t xml:space="preserve">Preparation of these genomic data products is proceeding in parallel with </w:t>
      </w:r>
      <w:proofErr w:type="gramStart"/>
      <w:r>
        <w:rPr>
          <w:rFonts w:ascii="Calibri" w:eastAsia="Calibri" w:hAnsi="Calibri" w:cs="Calibri"/>
        </w:rPr>
        <w:t>the clinical</w:t>
      </w:r>
      <w:proofErr w:type="gramEnd"/>
      <w:r>
        <w:rPr>
          <w:rFonts w:ascii="Calibri" w:eastAsia="Calibri" w:hAnsi="Calibri" w:cs="Calibri"/>
        </w:rPr>
        <w:t xml:space="preserve"> data cleaning.</w:t>
      </w:r>
    </w:p>
    <w:p w14:paraId="44A4B8A2" w14:textId="77777777" w:rsidR="0051738E" w:rsidRDefault="00000000">
      <w:pPr>
        <w:numPr>
          <w:ilvl w:val="1"/>
          <w:numId w:val="1"/>
        </w:numPr>
        <w:rPr>
          <w:b/>
          <w:bCs/>
        </w:rPr>
      </w:pPr>
      <w:r>
        <w:rPr>
          <w:rFonts w:ascii="Calibri" w:eastAsia="Calibri" w:hAnsi="Calibri" w:cs="Calibri"/>
        </w:rPr>
        <w:t>Six‑month curated datasets are already accessible in AnVIL for authorized users.</w:t>
      </w:r>
    </w:p>
    <w:p w14:paraId="44A4B8A3" w14:textId="77777777" w:rsidR="0051738E" w:rsidRDefault="00000000">
      <w:pPr>
        <w:numPr>
          <w:ilvl w:val="1"/>
          <w:numId w:val="1"/>
        </w:numPr>
        <w:rPr>
          <w:b/>
          <w:bCs/>
        </w:rPr>
      </w:pPr>
      <w:r>
        <w:rPr>
          <w:rFonts w:ascii="Calibri" w:eastAsia="Calibri" w:hAnsi="Calibri" w:cs="Calibri"/>
        </w:rPr>
        <w:t>Twelve‑month data will follow the same pathway after internal validation.</w:t>
      </w:r>
    </w:p>
    <w:p w14:paraId="44A4B8A4" w14:textId="77777777" w:rsidR="0051738E" w:rsidRDefault="00000000">
      <w:pPr>
        <w:numPr>
          <w:ilvl w:val="1"/>
          <w:numId w:val="1"/>
        </w:numPr>
        <w:rPr>
          <w:b/>
          <w:bCs/>
        </w:rPr>
      </w:pPr>
      <w:r>
        <w:rPr>
          <w:rFonts w:ascii="Calibri" w:eastAsia="Calibri" w:hAnsi="Calibri" w:cs="Calibri"/>
        </w:rPr>
        <w:t>There has been some work that compared traditional extraction vs LLM‑assisted approaches.</w:t>
      </w:r>
    </w:p>
    <w:p w14:paraId="44A4B8A5" w14:textId="77777777" w:rsidR="0051738E" w:rsidRDefault="00000000">
      <w:pPr>
        <w:numPr>
          <w:ilvl w:val="1"/>
          <w:numId w:val="1"/>
        </w:numPr>
        <w:rPr>
          <w:b/>
          <w:bCs/>
        </w:rPr>
      </w:pPr>
      <w:r>
        <w:rPr>
          <w:rFonts w:ascii="Calibri" w:eastAsia="Calibri" w:hAnsi="Calibri" w:cs="Calibri"/>
        </w:rPr>
        <w:t>Some key areas that have been identified so far include:</w:t>
      </w:r>
    </w:p>
    <w:p w14:paraId="44A4B8A6" w14:textId="77777777" w:rsidR="0051738E" w:rsidRDefault="00000000">
      <w:pPr>
        <w:numPr>
          <w:ilvl w:val="2"/>
          <w:numId w:val="1"/>
        </w:numPr>
        <w:rPr>
          <w:rFonts w:ascii="Calibri" w:eastAsia="Calibri" w:hAnsi="Calibri" w:cs="Calibri"/>
        </w:rPr>
      </w:pPr>
      <w:r>
        <w:rPr>
          <w:rFonts w:ascii="Calibri" w:eastAsia="Calibri" w:hAnsi="Calibri" w:cs="Calibri"/>
        </w:rPr>
        <w:t>“Zero‑shot” prompting performs poorly</w:t>
      </w:r>
    </w:p>
    <w:p w14:paraId="44A4B8A7" w14:textId="77777777" w:rsidR="0051738E" w:rsidRDefault="00000000">
      <w:pPr>
        <w:numPr>
          <w:ilvl w:val="2"/>
          <w:numId w:val="1"/>
        </w:numPr>
        <w:rPr>
          <w:rFonts w:ascii="Calibri" w:eastAsia="Calibri" w:hAnsi="Calibri" w:cs="Calibri"/>
        </w:rPr>
      </w:pPr>
      <w:r>
        <w:rPr>
          <w:rFonts w:ascii="Calibri" w:eastAsia="Calibri" w:hAnsi="Calibri" w:cs="Calibri"/>
        </w:rPr>
        <w:t>Performance improves dramatically when the full JIRA context is included</w:t>
      </w:r>
    </w:p>
    <w:p w14:paraId="44A4B8A8" w14:textId="77777777" w:rsidR="0051738E" w:rsidRDefault="00000000">
      <w:pPr>
        <w:numPr>
          <w:ilvl w:val="2"/>
          <w:numId w:val="1"/>
        </w:numPr>
        <w:rPr>
          <w:rFonts w:ascii="Calibri" w:eastAsia="Calibri" w:hAnsi="Calibri" w:cs="Calibri"/>
        </w:rPr>
      </w:pPr>
      <w:r>
        <w:rPr>
          <w:rFonts w:ascii="Calibri" w:eastAsia="Calibri" w:hAnsi="Calibri" w:cs="Calibri"/>
        </w:rPr>
        <w:t xml:space="preserve">Open‑source LLaMA models (with RAG) approach </w:t>
      </w:r>
      <w:proofErr w:type="spellStart"/>
      <w:r>
        <w:rPr>
          <w:rFonts w:ascii="Calibri" w:eastAsia="Calibri" w:hAnsi="Calibri" w:cs="Calibri"/>
        </w:rPr>
        <w:t>GPT</w:t>
      </w:r>
      <w:proofErr w:type="spellEnd"/>
      <w:r>
        <w:rPr>
          <w:rFonts w:ascii="Calibri" w:eastAsia="Calibri" w:hAnsi="Calibri" w:cs="Calibri"/>
        </w:rPr>
        <w:t>‑level performance while mitigating cost and privacy concerns</w:t>
      </w:r>
    </w:p>
    <w:p w14:paraId="44A4B8A9" w14:textId="77777777" w:rsidR="0051738E" w:rsidRDefault="00000000">
      <w:pPr>
        <w:numPr>
          <w:ilvl w:val="1"/>
          <w:numId w:val="1"/>
        </w:numPr>
        <w:rPr>
          <w:b/>
          <w:bCs/>
        </w:rPr>
      </w:pPr>
      <w:r>
        <w:rPr>
          <w:rFonts w:ascii="Calibri" w:eastAsia="Calibri" w:hAnsi="Calibri" w:cs="Calibri"/>
        </w:rPr>
        <w:t xml:space="preserve">Key questions that remain include: </w:t>
      </w:r>
    </w:p>
    <w:p w14:paraId="44A4B8AA" w14:textId="77777777" w:rsidR="0051738E" w:rsidRDefault="00000000">
      <w:pPr>
        <w:numPr>
          <w:ilvl w:val="2"/>
          <w:numId w:val="1"/>
        </w:numPr>
        <w:rPr>
          <w:rFonts w:ascii="Calibri" w:eastAsia="Calibri" w:hAnsi="Calibri" w:cs="Calibri"/>
        </w:rPr>
      </w:pPr>
      <w:r>
        <w:rPr>
          <w:rFonts w:ascii="Calibri" w:eastAsia="Calibri" w:hAnsi="Calibri" w:cs="Calibri"/>
        </w:rPr>
        <w:t>Can all sites realistically deploy and maintain local LLM workflows?</w:t>
      </w:r>
    </w:p>
    <w:p w14:paraId="44A4B8AB" w14:textId="77777777" w:rsidR="0051738E" w:rsidRDefault="00000000">
      <w:pPr>
        <w:numPr>
          <w:ilvl w:val="2"/>
          <w:numId w:val="1"/>
        </w:numPr>
        <w:spacing w:after="220"/>
        <w:rPr>
          <w:rFonts w:ascii="Calibri" w:eastAsia="Calibri" w:hAnsi="Calibri" w:cs="Calibri"/>
        </w:rPr>
      </w:pPr>
      <w:r>
        <w:rPr>
          <w:rFonts w:ascii="Calibri" w:eastAsia="Calibri" w:hAnsi="Calibri" w:cs="Calibri"/>
        </w:rPr>
        <w:t>How often should models be updated as the AI landscape evolves?</w:t>
      </w:r>
    </w:p>
    <w:p w14:paraId="44A4B8AC" w14:textId="351C9A44" w:rsidR="0051738E" w:rsidRDefault="00000000">
      <w:pPr>
        <w:numPr>
          <w:ilvl w:val="0"/>
          <w:numId w:val="1"/>
        </w:numPr>
        <w:ind w:right="-180"/>
        <w:rPr>
          <w:rFonts w:ascii="Calibri" w:eastAsia="Calibri" w:hAnsi="Calibri" w:cs="Calibri"/>
          <w:b/>
          <w:bCs/>
        </w:rPr>
      </w:pPr>
      <w:bookmarkStart w:id="3" w:name="bookmark=id.hd64m4atbndh" w:colFirst="0" w:colLast="0"/>
      <w:bookmarkEnd w:id="3"/>
      <w:r>
        <w:rPr>
          <w:rFonts w:ascii="Calibri" w:eastAsia="Calibri" w:hAnsi="Calibri" w:cs="Calibri"/>
          <w:b/>
          <w:bCs/>
        </w:rPr>
        <w:t>Early updates from Type 2 Diabetes analysis | Nita Limdi (UAB) |</w:t>
      </w:r>
      <w:r>
        <w:rPr>
          <w:rFonts w:ascii="Calibri" w:eastAsia="Calibri" w:hAnsi="Calibri" w:cs="Calibri"/>
          <w:b/>
          <w:bCs/>
          <w:color w:val="434343"/>
        </w:rPr>
        <w:t xml:space="preserve"> </w:t>
      </w:r>
      <w:r>
        <w:rPr>
          <w:rFonts w:ascii="Calibri" w:eastAsia="Calibri" w:hAnsi="Calibri" w:cs="Calibri"/>
          <w:b/>
          <w:bCs/>
          <w:color w:val="1155CC"/>
          <w:u w:val="single"/>
        </w:rPr>
        <w:t>Slides</w:t>
      </w:r>
    </w:p>
    <w:p w14:paraId="44A4B8AD" w14:textId="77777777" w:rsidR="0051738E" w:rsidRDefault="00000000">
      <w:pPr>
        <w:numPr>
          <w:ilvl w:val="1"/>
          <w:numId w:val="1"/>
        </w:numPr>
      </w:pPr>
      <w:r>
        <w:rPr>
          <w:rFonts w:ascii="Calibri" w:eastAsia="Calibri" w:hAnsi="Calibri" w:cs="Calibri"/>
        </w:rPr>
        <w:t>High‑risk classification was based on PRS ≥98th percentile.</w:t>
      </w:r>
    </w:p>
    <w:p w14:paraId="44A4B8AE" w14:textId="77777777" w:rsidR="0051738E" w:rsidRDefault="00000000">
      <w:pPr>
        <w:numPr>
          <w:ilvl w:val="1"/>
          <w:numId w:val="1"/>
        </w:numPr>
      </w:pPr>
      <w:r>
        <w:rPr>
          <w:rFonts w:ascii="Calibri" w:eastAsia="Calibri" w:hAnsi="Calibri" w:cs="Calibri"/>
        </w:rPr>
        <w:t>Individuals below threshold but near the cutoff (e.g., 90th–97.99th percentile) were used as key comparators.</w:t>
      </w:r>
    </w:p>
    <w:p w14:paraId="44A4B8AF" w14:textId="77777777" w:rsidR="0051738E" w:rsidRDefault="00000000">
      <w:pPr>
        <w:numPr>
          <w:ilvl w:val="1"/>
          <w:numId w:val="1"/>
        </w:numPr>
      </w:pPr>
      <w:r>
        <w:rPr>
          <w:rFonts w:ascii="Calibri" w:eastAsia="Calibri" w:hAnsi="Calibri" w:cs="Calibri"/>
        </w:rPr>
        <w:t>Across the network, approximately 2–2.3% of participants met the ≥98th percentile high‑risk definition, aligning with expectations.</w:t>
      </w:r>
    </w:p>
    <w:p w14:paraId="44A4B8B0" w14:textId="77777777" w:rsidR="0051738E" w:rsidRDefault="00000000">
      <w:pPr>
        <w:numPr>
          <w:ilvl w:val="1"/>
          <w:numId w:val="1"/>
        </w:numPr>
      </w:pPr>
      <w:r>
        <w:rPr>
          <w:rFonts w:ascii="Calibri" w:eastAsia="Calibri" w:hAnsi="Calibri" w:cs="Calibri"/>
        </w:rPr>
        <w:t>Adult populations were substantially larger than pediatric cohorts, driving early analytic focus on adults.</w:t>
      </w:r>
    </w:p>
    <w:p w14:paraId="44A4B8B1" w14:textId="77777777" w:rsidR="0051738E" w:rsidRDefault="00000000">
      <w:pPr>
        <w:numPr>
          <w:ilvl w:val="1"/>
          <w:numId w:val="1"/>
        </w:numPr>
      </w:pPr>
      <w:r>
        <w:rPr>
          <w:rFonts w:ascii="Calibri" w:eastAsia="Calibri" w:hAnsi="Calibri" w:cs="Calibri"/>
        </w:rPr>
        <w:t>UAB data were presented to demonstrate feasibility while the full network 12‑month dataset is finalized.</w:t>
      </w:r>
    </w:p>
    <w:p w14:paraId="44A4B8B2" w14:textId="77777777" w:rsidR="0051738E" w:rsidRDefault="00000000">
      <w:pPr>
        <w:numPr>
          <w:ilvl w:val="1"/>
          <w:numId w:val="1"/>
        </w:numPr>
      </w:pPr>
      <w:r>
        <w:rPr>
          <w:rFonts w:ascii="Calibri" w:eastAsia="Calibri" w:hAnsi="Calibri" w:cs="Calibri"/>
        </w:rPr>
        <w:t>A regression discontinuity design (</w:t>
      </w:r>
      <w:proofErr w:type="spellStart"/>
      <w:r>
        <w:rPr>
          <w:rFonts w:ascii="Calibri" w:eastAsia="Calibri" w:hAnsi="Calibri" w:cs="Calibri"/>
        </w:rPr>
        <w:t>RDD</w:t>
      </w:r>
      <w:proofErr w:type="spellEnd"/>
      <w:r>
        <w:rPr>
          <w:rFonts w:ascii="Calibri" w:eastAsia="Calibri" w:hAnsi="Calibri" w:cs="Calibri"/>
        </w:rPr>
        <w:t>) was used, treating the PRS cutoff as a quasi‑randomization point.</w:t>
      </w:r>
    </w:p>
    <w:p w14:paraId="44A4B8B3" w14:textId="77777777" w:rsidR="0051738E" w:rsidRDefault="00000000">
      <w:pPr>
        <w:numPr>
          <w:ilvl w:val="1"/>
          <w:numId w:val="1"/>
        </w:numPr>
      </w:pPr>
      <w:proofErr w:type="spellStart"/>
      <w:r>
        <w:rPr>
          <w:rFonts w:ascii="Calibri" w:eastAsia="Calibri" w:hAnsi="Calibri" w:cs="Calibri"/>
        </w:rPr>
        <w:t>RDD</w:t>
      </w:r>
      <w:proofErr w:type="spellEnd"/>
      <w:r>
        <w:rPr>
          <w:rFonts w:ascii="Calibri" w:eastAsia="Calibri" w:hAnsi="Calibri" w:cs="Calibri"/>
        </w:rPr>
        <w:t xml:space="preserve"> allows comparison of individuals just above and just below the threshold who are similar on most baseline characteristics but received different risk messaging.</w:t>
      </w:r>
    </w:p>
    <w:p w14:paraId="44A4B8B4" w14:textId="77777777" w:rsidR="0051738E" w:rsidRDefault="00000000">
      <w:pPr>
        <w:numPr>
          <w:ilvl w:val="1"/>
          <w:numId w:val="1"/>
        </w:numPr>
      </w:pPr>
      <w:proofErr w:type="spellStart"/>
      <w:r>
        <w:rPr>
          <w:rFonts w:ascii="Calibri" w:eastAsia="Calibri" w:hAnsi="Calibri" w:cs="Calibri"/>
        </w:rPr>
        <w:t>RDD</w:t>
      </w:r>
      <w:proofErr w:type="spellEnd"/>
      <w:r>
        <w:rPr>
          <w:rFonts w:ascii="Calibri" w:eastAsia="Calibri" w:hAnsi="Calibri" w:cs="Calibri"/>
        </w:rPr>
        <w:t xml:space="preserve"> assumptions validation was done by examining baseline characteristics across the PRS strata:</w:t>
      </w:r>
    </w:p>
    <w:p w14:paraId="44A4B8B5" w14:textId="77777777" w:rsidR="0051738E" w:rsidRDefault="00000000">
      <w:pPr>
        <w:numPr>
          <w:ilvl w:val="2"/>
          <w:numId w:val="1"/>
        </w:numPr>
        <w:rPr>
          <w:rFonts w:ascii="Calibri" w:eastAsia="Calibri" w:hAnsi="Calibri" w:cs="Calibri"/>
        </w:rPr>
      </w:pPr>
      <w:r>
        <w:rPr>
          <w:rFonts w:ascii="Calibri" w:eastAsia="Calibri" w:hAnsi="Calibri" w:cs="Calibri"/>
        </w:rPr>
        <w:t>Demographics (age, BMI, sex, race/ethnicity):</w:t>
      </w:r>
    </w:p>
    <w:p w14:paraId="44A4B8B6" w14:textId="77777777" w:rsidR="0051738E" w:rsidRDefault="00000000">
      <w:pPr>
        <w:numPr>
          <w:ilvl w:val="3"/>
          <w:numId w:val="1"/>
        </w:numPr>
        <w:rPr>
          <w:rFonts w:ascii="Calibri" w:eastAsia="Calibri" w:hAnsi="Calibri" w:cs="Calibri"/>
        </w:rPr>
      </w:pPr>
      <w:r>
        <w:rPr>
          <w:rFonts w:ascii="Calibri" w:eastAsia="Calibri" w:hAnsi="Calibri" w:cs="Calibri"/>
        </w:rPr>
        <w:t>Individuals just above and just below the PRS threshold were largely similar, supporting local randomization assumptions.</w:t>
      </w:r>
    </w:p>
    <w:p w14:paraId="44A4B8B7" w14:textId="77777777" w:rsidR="0051738E" w:rsidRDefault="00000000">
      <w:pPr>
        <w:numPr>
          <w:ilvl w:val="2"/>
          <w:numId w:val="1"/>
        </w:numPr>
        <w:rPr>
          <w:rFonts w:ascii="Calibri" w:eastAsia="Calibri" w:hAnsi="Calibri" w:cs="Calibri"/>
        </w:rPr>
      </w:pPr>
      <w:r>
        <w:rPr>
          <w:rFonts w:ascii="Calibri" w:eastAsia="Calibri" w:hAnsi="Calibri" w:cs="Calibri"/>
        </w:rPr>
        <w:t>Family history and comorbidities:</w:t>
      </w:r>
    </w:p>
    <w:p w14:paraId="44A4B8B8" w14:textId="77777777" w:rsidR="0051738E" w:rsidRDefault="00000000">
      <w:pPr>
        <w:numPr>
          <w:ilvl w:val="3"/>
          <w:numId w:val="1"/>
        </w:numPr>
        <w:rPr>
          <w:rFonts w:ascii="Calibri" w:eastAsia="Calibri" w:hAnsi="Calibri" w:cs="Calibri"/>
        </w:rPr>
      </w:pPr>
      <w:r>
        <w:rPr>
          <w:rFonts w:ascii="Calibri" w:eastAsia="Calibri" w:hAnsi="Calibri" w:cs="Calibri"/>
        </w:rPr>
        <w:t>Family history of diabetes and some cardiometabolic comorbidities showed gradients across PRS bins.</w:t>
      </w:r>
    </w:p>
    <w:p w14:paraId="44A4B8B9" w14:textId="77777777" w:rsidR="0051738E" w:rsidRDefault="00000000">
      <w:pPr>
        <w:numPr>
          <w:ilvl w:val="3"/>
          <w:numId w:val="1"/>
        </w:numPr>
        <w:rPr>
          <w:rFonts w:ascii="Calibri" w:eastAsia="Calibri" w:hAnsi="Calibri" w:cs="Calibri"/>
        </w:rPr>
      </w:pPr>
      <w:r>
        <w:rPr>
          <w:rFonts w:ascii="Calibri" w:eastAsia="Calibri" w:hAnsi="Calibri" w:cs="Calibri"/>
        </w:rPr>
        <w:t>These variables were flagged for potential adjustment in downstream models.</w:t>
      </w:r>
    </w:p>
    <w:p w14:paraId="44A4B8BA" w14:textId="77777777" w:rsidR="0051738E" w:rsidRDefault="00000000">
      <w:pPr>
        <w:numPr>
          <w:ilvl w:val="2"/>
          <w:numId w:val="1"/>
        </w:numPr>
        <w:rPr>
          <w:rFonts w:ascii="Calibri" w:eastAsia="Calibri" w:hAnsi="Calibri" w:cs="Calibri"/>
        </w:rPr>
      </w:pPr>
      <w:r>
        <w:rPr>
          <w:rFonts w:ascii="Calibri" w:eastAsia="Calibri" w:hAnsi="Calibri" w:cs="Calibri"/>
        </w:rPr>
        <w:t>Prevalent diabetes:</w:t>
      </w:r>
    </w:p>
    <w:p w14:paraId="44A4B8BB" w14:textId="77777777" w:rsidR="0051738E" w:rsidRDefault="00000000">
      <w:pPr>
        <w:numPr>
          <w:ilvl w:val="3"/>
          <w:numId w:val="1"/>
        </w:numPr>
        <w:rPr>
          <w:rFonts w:ascii="Calibri" w:eastAsia="Calibri" w:hAnsi="Calibri" w:cs="Calibri"/>
        </w:rPr>
      </w:pPr>
      <w:r>
        <w:rPr>
          <w:rFonts w:ascii="Calibri" w:eastAsia="Calibri" w:hAnsi="Calibri" w:cs="Calibri"/>
        </w:rPr>
        <w:t>A significant proportion of individuals in the highest PRS group already had diabetes at baseline (self‑reported or lab‑based).</w:t>
      </w:r>
    </w:p>
    <w:p w14:paraId="44A4B8BC" w14:textId="77777777" w:rsidR="0051738E" w:rsidRDefault="00000000">
      <w:pPr>
        <w:numPr>
          <w:ilvl w:val="1"/>
          <w:numId w:val="1"/>
        </w:numPr>
      </w:pPr>
      <w:r>
        <w:rPr>
          <w:rFonts w:ascii="Calibri" w:eastAsia="Calibri" w:hAnsi="Calibri" w:cs="Calibri"/>
        </w:rPr>
        <w:t>These findings were interpreted as evidence that GIRA return does influence provider behavior, particularly around guideline‑concordant screening.</w:t>
      </w:r>
    </w:p>
    <w:p w14:paraId="44A4B8BD" w14:textId="77777777" w:rsidR="0051738E" w:rsidRDefault="00000000">
      <w:pPr>
        <w:numPr>
          <w:ilvl w:val="1"/>
          <w:numId w:val="1"/>
        </w:numPr>
      </w:pPr>
      <w:r>
        <w:rPr>
          <w:rFonts w:ascii="Calibri" w:eastAsia="Calibri" w:hAnsi="Calibri" w:cs="Calibri"/>
        </w:rPr>
        <w:t>Primary outcome examined whether providers ordered and/or patients completed hemoglobin A1C testing following GIRA return.</w:t>
      </w:r>
    </w:p>
    <w:p w14:paraId="44A4B8BE" w14:textId="77777777" w:rsidR="0051738E" w:rsidRDefault="00000000">
      <w:pPr>
        <w:numPr>
          <w:ilvl w:val="1"/>
          <w:numId w:val="1"/>
        </w:numPr>
      </w:pPr>
      <w:r>
        <w:rPr>
          <w:rFonts w:ascii="Calibri" w:eastAsia="Calibri" w:hAnsi="Calibri" w:cs="Calibri"/>
        </w:rPr>
        <w:t>In unadjusted analyses, high‑risk individuals were approximately 12 percentage points more likely to undergo A1C assessment than lower‑risk counterparts.</w:t>
      </w:r>
    </w:p>
    <w:p w14:paraId="44A4B8BF" w14:textId="77777777" w:rsidR="0051738E" w:rsidRDefault="00000000">
      <w:pPr>
        <w:numPr>
          <w:ilvl w:val="1"/>
          <w:numId w:val="1"/>
        </w:numPr>
      </w:pPr>
      <w:r>
        <w:rPr>
          <w:rFonts w:ascii="Calibri" w:eastAsia="Calibri" w:hAnsi="Calibri" w:cs="Calibri"/>
        </w:rPr>
        <w:lastRenderedPageBreak/>
        <w:t xml:space="preserve">Under strict </w:t>
      </w:r>
      <w:proofErr w:type="spellStart"/>
      <w:r>
        <w:rPr>
          <w:rFonts w:ascii="Calibri" w:eastAsia="Calibri" w:hAnsi="Calibri" w:cs="Calibri"/>
        </w:rPr>
        <w:t>RDD</w:t>
      </w:r>
      <w:proofErr w:type="spellEnd"/>
      <w:r>
        <w:rPr>
          <w:rFonts w:ascii="Calibri" w:eastAsia="Calibri" w:hAnsi="Calibri" w:cs="Calibri"/>
        </w:rPr>
        <w:t xml:space="preserve"> (near‑threshold comparisons), this effect attenuated but remained directionally consistent (~6–7 percentage points).</w:t>
      </w:r>
    </w:p>
    <w:p w14:paraId="44A4B8C0" w14:textId="77777777" w:rsidR="0051738E" w:rsidRDefault="00000000">
      <w:pPr>
        <w:numPr>
          <w:ilvl w:val="1"/>
          <w:numId w:val="1"/>
        </w:numPr>
      </w:pPr>
      <w:r>
        <w:rPr>
          <w:rFonts w:ascii="Calibri" w:eastAsia="Calibri" w:hAnsi="Calibri" w:cs="Calibri"/>
        </w:rPr>
        <w:t>Adjustment for family history and selected comorbidities was reduced but did not eliminate the signal.</w:t>
      </w:r>
    </w:p>
    <w:p w14:paraId="44A4B8C1" w14:textId="77777777" w:rsidR="0051738E" w:rsidRDefault="00000000">
      <w:pPr>
        <w:numPr>
          <w:ilvl w:val="1"/>
          <w:numId w:val="1"/>
        </w:numPr>
      </w:pPr>
      <w:r>
        <w:rPr>
          <w:rFonts w:ascii="Calibri" w:eastAsia="Calibri" w:hAnsi="Calibri" w:cs="Calibri"/>
        </w:rPr>
        <w:t>Key findings include:</w:t>
      </w:r>
    </w:p>
    <w:p w14:paraId="44A4B8C2" w14:textId="77777777" w:rsidR="0051738E" w:rsidRDefault="00000000">
      <w:pPr>
        <w:numPr>
          <w:ilvl w:val="2"/>
          <w:numId w:val="1"/>
        </w:numPr>
        <w:rPr>
          <w:rFonts w:ascii="Calibri" w:eastAsia="Calibri" w:hAnsi="Calibri" w:cs="Calibri"/>
        </w:rPr>
      </w:pPr>
      <w:r>
        <w:rPr>
          <w:rFonts w:ascii="Calibri" w:eastAsia="Calibri" w:hAnsi="Calibri" w:cs="Calibri"/>
        </w:rPr>
        <w:t>High‑risk individuals were more likely to receive new metformin prescriptions and/or intensified therapy (multiple agents).</w:t>
      </w:r>
    </w:p>
    <w:p w14:paraId="44A4B8C3" w14:textId="77777777" w:rsidR="0051738E" w:rsidRDefault="00000000">
      <w:pPr>
        <w:numPr>
          <w:ilvl w:val="2"/>
          <w:numId w:val="1"/>
        </w:numPr>
        <w:rPr>
          <w:rFonts w:ascii="Calibri" w:eastAsia="Calibri" w:hAnsi="Calibri" w:cs="Calibri"/>
        </w:rPr>
      </w:pPr>
      <w:r>
        <w:rPr>
          <w:rFonts w:ascii="Calibri" w:eastAsia="Calibri" w:hAnsi="Calibri" w:cs="Calibri"/>
        </w:rPr>
        <w:t>Differences were most pronounced when comparing ≥98th percentile to PRS &lt;90th percentile.</w:t>
      </w:r>
    </w:p>
    <w:p w14:paraId="44A4B8C4" w14:textId="77777777" w:rsidR="0051738E" w:rsidRDefault="00000000">
      <w:pPr>
        <w:numPr>
          <w:ilvl w:val="2"/>
          <w:numId w:val="1"/>
        </w:numPr>
        <w:rPr>
          <w:rFonts w:ascii="Calibri" w:eastAsia="Calibri" w:hAnsi="Calibri" w:cs="Calibri"/>
        </w:rPr>
      </w:pPr>
      <w:r>
        <w:rPr>
          <w:rFonts w:ascii="Calibri" w:eastAsia="Calibri" w:hAnsi="Calibri" w:cs="Calibri"/>
        </w:rPr>
        <w:t>Intermediate PRS groups (90–97.99th) often showed values between high and low risk, supporting a dose‑response pattern.</w:t>
      </w:r>
    </w:p>
    <w:p w14:paraId="44A4B8C5" w14:textId="77777777" w:rsidR="0051738E" w:rsidRDefault="00000000">
      <w:pPr>
        <w:numPr>
          <w:ilvl w:val="1"/>
          <w:numId w:val="1"/>
        </w:numPr>
      </w:pPr>
      <w:r>
        <w:rPr>
          <w:rFonts w:ascii="Calibri" w:eastAsia="Calibri" w:hAnsi="Calibri" w:cs="Calibri"/>
        </w:rPr>
        <w:t>Several challenges were explicitly flagged and discussed include:</w:t>
      </w:r>
    </w:p>
    <w:p w14:paraId="44A4B8C6" w14:textId="77777777" w:rsidR="0051738E" w:rsidRDefault="00000000">
      <w:pPr>
        <w:numPr>
          <w:ilvl w:val="2"/>
          <w:numId w:val="1"/>
        </w:numPr>
        <w:rPr>
          <w:rFonts w:ascii="Calibri" w:eastAsia="Calibri" w:hAnsi="Calibri" w:cs="Calibri"/>
        </w:rPr>
      </w:pPr>
      <w:r>
        <w:rPr>
          <w:rFonts w:ascii="Calibri" w:eastAsia="Calibri" w:hAnsi="Calibri" w:cs="Calibri"/>
        </w:rPr>
        <w:t>Order and medication mapping. Large volume of manual review required to specify orders (e.g., acute insulin use in ED vs chronic therapy).</w:t>
      </w:r>
    </w:p>
    <w:p w14:paraId="44A4B8C7" w14:textId="77777777" w:rsidR="0051738E" w:rsidRDefault="00000000">
      <w:pPr>
        <w:numPr>
          <w:ilvl w:val="2"/>
          <w:numId w:val="1"/>
        </w:numPr>
        <w:rPr>
          <w:rFonts w:ascii="Calibri" w:eastAsia="Calibri" w:hAnsi="Calibri" w:cs="Calibri"/>
        </w:rPr>
      </w:pPr>
      <w:r>
        <w:rPr>
          <w:rFonts w:ascii="Calibri" w:eastAsia="Calibri" w:hAnsi="Calibri" w:cs="Calibri"/>
        </w:rPr>
        <w:t>Timing of return. Some participants received monogenic results months before full GIRA return, complicating exposure timing.</w:t>
      </w:r>
    </w:p>
    <w:p w14:paraId="44A4B8C8" w14:textId="77777777" w:rsidR="0051738E" w:rsidRDefault="00000000">
      <w:pPr>
        <w:numPr>
          <w:ilvl w:val="2"/>
          <w:numId w:val="1"/>
        </w:numPr>
        <w:spacing w:after="220"/>
        <w:rPr>
          <w:rFonts w:ascii="Calibri" w:eastAsia="Calibri" w:hAnsi="Calibri" w:cs="Calibri"/>
        </w:rPr>
      </w:pPr>
      <w:r>
        <w:rPr>
          <w:rFonts w:ascii="Calibri" w:eastAsia="Calibri" w:hAnsi="Calibri" w:cs="Calibri"/>
        </w:rPr>
        <w:t>Follow‑up duration. Six months is likely insufficient to capture meaningful changes in glycemic control or diagnosis rates.</w:t>
      </w:r>
    </w:p>
    <w:p w14:paraId="44A4B8C9" w14:textId="62D5A608" w:rsidR="0051738E" w:rsidRDefault="00000000">
      <w:pPr>
        <w:numPr>
          <w:ilvl w:val="0"/>
          <w:numId w:val="1"/>
        </w:numPr>
        <w:ind w:right="-180"/>
        <w:rPr>
          <w:rFonts w:ascii="Calibri" w:eastAsia="Calibri" w:hAnsi="Calibri" w:cs="Calibri"/>
          <w:b/>
          <w:bCs/>
        </w:rPr>
      </w:pPr>
      <w:bookmarkStart w:id="4" w:name="bookmark=id.bxj0wklfrhgb" w:colFirst="0" w:colLast="0"/>
      <w:bookmarkEnd w:id="4"/>
      <w:r>
        <w:rPr>
          <w:rFonts w:ascii="Calibri" w:eastAsia="Calibri" w:hAnsi="Calibri" w:cs="Calibri"/>
          <w:b/>
          <w:bCs/>
        </w:rPr>
        <w:t xml:space="preserve">Outcomes analysis plans | David Veenstra (UW) | </w:t>
      </w:r>
      <w:r>
        <w:rPr>
          <w:rFonts w:ascii="Calibri" w:eastAsia="Calibri" w:hAnsi="Calibri" w:cs="Calibri"/>
          <w:b/>
          <w:bCs/>
          <w:color w:val="1155CC"/>
          <w:u w:val="single"/>
        </w:rPr>
        <w:t>Slides</w:t>
      </w:r>
    </w:p>
    <w:p w14:paraId="44A4B8CA" w14:textId="77777777" w:rsidR="0051738E" w:rsidRDefault="00000000">
      <w:pPr>
        <w:numPr>
          <w:ilvl w:val="1"/>
          <w:numId w:val="1"/>
        </w:numPr>
        <w:ind w:right="-180"/>
        <w:rPr>
          <w:rFonts w:ascii="Calibri" w:eastAsia="Calibri" w:hAnsi="Calibri" w:cs="Calibri"/>
          <w:b/>
          <w:bCs/>
        </w:rPr>
      </w:pPr>
      <w:r>
        <w:rPr>
          <w:rFonts w:ascii="Calibri" w:eastAsia="Calibri" w:hAnsi="Calibri" w:cs="Calibri"/>
        </w:rPr>
        <w:t>Outcomes are structured along a multi‑stage pathway:</w:t>
      </w:r>
    </w:p>
    <w:p w14:paraId="44A4B8CB" w14:textId="77777777" w:rsidR="0051738E" w:rsidRDefault="00000000">
      <w:pPr>
        <w:numPr>
          <w:ilvl w:val="2"/>
          <w:numId w:val="1"/>
        </w:numPr>
        <w:rPr>
          <w:rFonts w:ascii="Calibri" w:eastAsia="Calibri" w:hAnsi="Calibri" w:cs="Calibri"/>
        </w:rPr>
      </w:pPr>
      <w:r>
        <w:rPr>
          <w:rFonts w:ascii="Calibri" w:eastAsia="Calibri" w:hAnsi="Calibri" w:cs="Calibri"/>
        </w:rPr>
        <w:t>Return and engagement with genomic results</w:t>
      </w:r>
    </w:p>
    <w:p w14:paraId="44A4B8CC" w14:textId="77777777" w:rsidR="0051738E" w:rsidRDefault="00000000">
      <w:pPr>
        <w:numPr>
          <w:ilvl w:val="2"/>
          <w:numId w:val="1"/>
        </w:numPr>
        <w:rPr>
          <w:rFonts w:ascii="Calibri" w:eastAsia="Calibri" w:hAnsi="Calibri" w:cs="Calibri"/>
        </w:rPr>
      </w:pPr>
      <w:r>
        <w:rPr>
          <w:rFonts w:ascii="Calibri" w:eastAsia="Calibri" w:hAnsi="Calibri" w:cs="Calibri"/>
        </w:rPr>
        <w:t>Provider and patient actions (labs, referrals, medications)</w:t>
      </w:r>
    </w:p>
    <w:p w14:paraId="44A4B8CD" w14:textId="77777777" w:rsidR="0051738E" w:rsidRDefault="00000000">
      <w:pPr>
        <w:numPr>
          <w:ilvl w:val="2"/>
          <w:numId w:val="1"/>
        </w:numPr>
        <w:rPr>
          <w:rFonts w:ascii="Calibri" w:eastAsia="Calibri" w:hAnsi="Calibri" w:cs="Calibri"/>
        </w:rPr>
      </w:pPr>
      <w:r>
        <w:rPr>
          <w:rFonts w:ascii="Calibri" w:eastAsia="Calibri" w:hAnsi="Calibri" w:cs="Calibri"/>
        </w:rPr>
        <w:t>Intermediate clinical outcomes (labs, diagnoses, treatment changes)</w:t>
      </w:r>
    </w:p>
    <w:p w14:paraId="44A4B8CE" w14:textId="77777777" w:rsidR="0051738E" w:rsidRDefault="00000000">
      <w:pPr>
        <w:numPr>
          <w:ilvl w:val="2"/>
          <w:numId w:val="1"/>
        </w:numPr>
        <w:rPr>
          <w:rFonts w:ascii="Calibri" w:eastAsia="Calibri" w:hAnsi="Calibri" w:cs="Calibri"/>
        </w:rPr>
      </w:pPr>
      <w:r>
        <w:rPr>
          <w:rFonts w:ascii="Calibri" w:eastAsia="Calibri" w:hAnsi="Calibri" w:cs="Calibri"/>
        </w:rPr>
        <w:t>Longer‑term outcomes (disease events, complications, mortality where feasible)</w:t>
      </w:r>
    </w:p>
    <w:p w14:paraId="44A4B8CF" w14:textId="77777777" w:rsidR="0051738E" w:rsidRDefault="00000000">
      <w:pPr>
        <w:numPr>
          <w:ilvl w:val="1"/>
          <w:numId w:val="1"/>
        </w:numPr>
        <w:rPr>
          <w:rFonts w:ascii="Calibri" w:eastAsia="Calibri" w:hAnsi="Calibri" w:cs="Calibri"/>
        </w:rPr>
      </w:pPr>
      <w:r>
        <w:rPr>
          <w:rFonts w:ascii="Calibri" w:eastAsia="Calibri" w:hAnsi="Calibri" w:cs="Calibri"/>
        </w:rPr>
        <w:t>Not all phenotypes will populate every stage within current follow‑up, but a consistent framework will be applied across conditions.</w:t>
      </w:r>
    </w:p>
    <w:p w14:paraId="44A4B8D0" w14:textId="77777777" w:rsidR="0051738E" w:rsidRDefault="00000000">
      <w:pPr>
        <w:numPr>
          <w:ilvl w:val="1"/>
          <w:numId w:val="1"/>
        </w:numPr>
      </w:pPr>
      <w:proofErr w:type="spellStart"/>
      <w:r>
        <w:rPr>
          <w:rFonts w:ascii="Calibri" w:eastAsia="Calibri" w:hAnsi="Calibri" w:cs="Calibri"/>
        </w:rPr>
        <w:t>RDD</w:t>
      </w:r>
      <w:proofErr w:type="spellEnd"/>
      <w:r>
        <w:rPr>
          <w:rFonts w:ascii="Calibri" w:eastAsia="Calibri" w:hAnsi="Calibri" w:cs="Calibri"/>
        </w:rPr>
        <w:t xml:space="preserve"> is the primary analytic approach, leveraging the PRS threshold as a quasi‑randomization point.</w:t>
      </w:r>
    </w:p>
    <w:p w14:paraId="44A4B8D1" w14:textId="77777777" w:rsidR="0051738E" w:rsidRDefault="00000000">
      <w:pPr>
        <w:numPr>
          <w:ilvl w:val="1"/>
          <w:numId w:val="1"/>
        </w:numPr>
      </w:pPr>
      <w:r>
        <w:rPr>
          <w:rFonts w:ascii="Calibri" w:eastAsia="Calibri" w:hAnsi="Calibri" w:cs="Calibri"/>
        </w:rPr>
        <w:t>Analyses focus on individuals just above vs just below the high‑risk cutoff to reduce confounding.</w:t>
      </w:r>
    </w:p>
    <w:p w14:paraId="44A4B8D2" w14:textId="77777777" w:rsidR="0051738E" w:rsidRDefault="00000000">
      <w:pPr>
        <w:numPr>
          <w:ilvl w:val="1"/>
          <w:numId w:val="1"/>
        </w:numPr>
      </w:pPr>
      <w:r>
        <w:rPr>
          <w:rFonts w:ascii="Calibri" w:eastAsia="Calibri" w:hAnsi="Calibri" w:cs="Calibri"/>
        </w:rPr>
        <w:t>Planned sensitivity analyses include alternate bandwidths, adjustment for key covariates (e.g., family history), and stratification by prevalent disease.</w:t>
      </w:r>
    </w:p>
    <w:p w14:paraId="44A4B8D3" w14:textId="77777777" w:rsidR="0051738E" w:rsidRDefault="00000000">
      <w:pPr>
        <w:numPr>
          <w:ilvl w:val="1"/>
          <w:numId w:val="1"/>
        </w:numPr>
      </w:pPr>
      <w:r>
        <w:rPr>
          <w:rFonts w:ascii="Calibri" w:eastAsia="Calibri" w:hAnsi="Calibri" w:cs="Calibri"/>
        </w:rPr>
        <w:t>Condition‑specific analyses will examine outcomes most relevant to each phenotype.</w:t>
      </w:r>
    </w:p>
    <w:p w14:paraId="44A4B8D4" w14:textId="77777777" w:rsidR="0051738E" w:rsidRDefault="00000000">
      <w:pPr>
        <w:numPr>
          <w:ilvl w:val="1"/>
          <w:numId w:val="1"/>
        </w:numPr>
      </w:pPr>
      <w:r>
        <w:rPr>
          <w:rFonts w:ascii="Calibri" w:eastAsia="Calibri" w:hAnsi="Calibri" w:cs="Calibri"/>
        </w:rPr>
        <w:t>These analyses allow deeper exploration and flexibility, often beginning with site‑level work before network‑wide replication.</w:t>
      </w:r>
    </w:p>
    <w:p w14:paraId="44A4B8D5" w14:textId="77777777" w:rsidR="0051738E" w:rsidRDefault="00000000">
      <w:pPr>
        <w:numPr>
          <w:ilvl w:val="1"/>
          <w:numId w:val="1"/>
        </w:numPr>
      </w:pPr>
      <w:r>
        <w:rPr>
          <w:rFonts w:ascii="Calibri" w:eastAsia="Calibri" w:hAnsi="Calibri" w:cs="Calibri"/>
        </w:rPr>
        <w:t>Six‑month data may support early or method‑focused papers, but</w:t>
      </w:r>
      <w:r>
        <w:rPr>
          <w:rFonts w:ascii="Calibri" w:eastAsia="Calibri" w:hAnsi="Calibri" w:cs="Calibri"/>
          <w:b/>
          <w:bCs/>
        </w:rPr>
        <w:t xml:space="preserve"> </w:t>
      </w:r>
      <w:r>
        <w:rPr>
          <w:rFonts w:ascii="Calibri" w:eastAsia="Calibri" w:hAnsi="Calibri" w:cs="Calibri"/>
        </w:rPr>
        <w:t>12‑month data will be the primary source for condition‑specific outcomes.</w:t>
      </w:r>
    </w:p>
    <w:p w14:paraId="44A4B8D6" w14:textId="77777777" w:rsidR="0051738E" w:rsidRDefault="00000000">
      <w:pPr>
        <w:numPr>
          <w:ilvl w:val="1"/>
          <w:numId w:val="1"/>
        </w:numPr>
      </w:pPr>
      <w:r>
        <w:rPr>
          <w:rFonts w:ascii="Calibri" w:eastAsia="Calibri" w:hAnsi="Calibri" w:cs="Calibri"/>
        </w:rPr>
        <w:t>Network‑wide analyses will assess broader implementation questions, such as whether genomic risk return increases clinical engagement across conditions.</w:t>
      </w:r>
    </w:p>
    <w:p w14:paraId="44A4B8D7" w14:textId="77777777" w:rsidR="0051738E" w:rsidRDefault="00000000">
      <w:pPr>
        <w:numPr>
          <w:ilvl w:val="1"/>
          <w:numId w:val="1"/>
        </w:numPr>
      </w:pPr>
      <w:r>
        <w:rPr>
          <w:rFonts w:ascii="Calibri" w:eastAsia="Calibri" w:hAnsi="Calibri" w:cs="Calibri"/>
        </w:rPr>
        <w:t>Cross‑condition work will generally follow condition‑specific analyses using shared definitions and code.</w:t>
      </w:r>
    </w:p>
    <w:p w14:paraId="44A4B8D8" w14:textId="77777777" w:rsidR="0051738E" w:rsidRDefault="00000000">
      <w:pPr>
        <w:numPr>
          <w:ilvl w:val="1"/>
          <w:numId w:val="1"/>
        </w:numPr>
      </w:pPr>
      <w:r>
        <w:rPr>
          <w:rFonts w:ascii="Calibri" w:eastAsia="Calibri" w:hAnsi="Calibri" w:cs="Calibri"/>
        </w:rPr>
        <w:t>Analyses must account for non‑simultaneous result return, particularly earlier monogenic findings preceding GIRA.</w:t>
      </w:r>
    </w:p>
    <w:p w14:paraId="44A4B8D9" w14:textId="77777777" w:rsidR="0051738E" w:rsidRDefault="00000000">
      <w:pPr>
        <w:numPr>
          <w:ilvl w:val="1"/>
          <w:numId w:val="1"/>
        </w:numPr>
      </w:pPr>
      <w:r>
        <w:rPr>
          <w:rFonts w:ascii="Calibri" w:eastAsia="Calibri" w:hAnsi="Calibri" w:cs="Calibri"/>
        </w:rPr>
        <w:t>IMPACT will extend analyses to 3‑ and 5‑year outcomes, including sustained actions and longer‑term clinical effects.</w:t>
      </w:r>
    </w:p>
    <w:p w14:paraId="44A4B8DA" w14:textId="77777777" w:rsidR="0051738E" w:rsidRDefault="00000000">
      <w:pPr>
        <w:numPr>
          <w:ilvl w:val="1"/>
          <w:numId w:val="1"/>
        </w:numPr>
        <w:spacing w:after="220"/>
      </w:pPr>
      <w:r>
        <w:rPr>
          <w:rFonts w:ascii="Calibri" w:eastAsia="Calibri" w:hAnsi="Calibri" w:cs="Calibri"/>
        </w:rPr>
        <w:t>Distribution of shared analytic code and increased coordination across sites will be critical to success.</w:t>
      </w:r>
    </w:p>
    <w:p w14:paraId="44A4B8DB" w14:textId="77777777" w:rsidR="0051738E" w:rsidRDefault="00000000">
      <w:pPr>
        <w:numPr>
          <w:ilvl w:val="0"/>
          <w:numId w:val="1"/>
        </w:numPr>
        <w:ind w:right="-180"/>
        <w:rPr>
          <w:rFonts w:ascii="Calibri" w:eastAsia="Calibri" w:hAnsi="Calibri" w:cs="Calibri"/>
          <w:b/>
          <w:bCs/>
        </w:rPr>
      </w:pPr>
      <w:bookmarkStart w:id="5" w:name="bookmark=id.dhdml046o71k" w:colFirst="0" w:colLast="0"/>
      <w:bookmarkEnd w:id="5"/>
      <w:r>
        <w:rPr>
          <w:rFonts w:ascii="Calibri" w:eastAsia="Calibri" w:hAnsi="Calibri" w:cs="Calibri"/>
          <w:b/>
          <w:bCs/>
        </w:rPr>
        <w:t>Input and feedback from the ESP</w:t>
      </w:r>
    </w:p>
    <w:p w14:paraId="44A4B8DC" w14:textId="77777777" w:rsidR="0051738E" w:rsidRDefault="00000000">
      <w:pPr>
        <w:numPr>
          <w:ilvl w:val="1"/>
          <w:numId w:val="1"/>
        </w:numPr>
        <w:ind w:right="-180"/>
      </w:pPr>
      <w:r>
        <w:rPr>
          <w:rFonts w:ascii="Calibri" w:eastAsia="Calibri" w:hAnsi="Calibri" w:cs="Calibri"/>
        </w:rPr>
        <w:t>The ESP is very positive about progress and data at this point of eMERGE.</w:t>
      </w:r>
    </w:p>
    <w:p w14:paraId="44A4B8DD" w14:textId="77777777" w:rsidR="0051738E" w:rsidRDefault="00000000">
      <w:pPr>
        <w:numPr>
          <w:ilvl w:val="1"/>
          <w:numId w:val="1"/>
        </w:numPr>
        <w:ind w:right="-180"/>
      </w:pPr>
      <w:r>
        <w:rPr>
          <w:rFonts w:ascii="Calibri" w:eastAsia="Calibri" w:hAnsi="Calibri" w:cs="Calibri"/>
        </w:rPr>
        <w:t>The ESP is impressed with the outcomes data updates presented.</w:t>
      </w:r>
    </w:p>
    <w:p w14:paraId="44A4B8DE" w14:textId="77777777" w:rsidR="0051738E" w:rsidRDefault="00000000">
      <w:pPr>
        <w:numPr>
          <w:ilvl w:val="1"/>
          <w:numId w:val="1"/>
        </w:numPr>
      </w:pPr>
      <w:r>
        <w:rPr>
          <w:rFonts w:ascii="Calibri" w:eastAsia="Calibri" w:hAnsi="Calibri" w:cs="Calibri"/>
        </w:rPr>
        <w:lastRenderedPageBreak/>
        <w:t xml:space="preserve">Update analysis in silico at </w:t>
      </w:r>
      <w:proofErr w:type="gramStart"/>
      <w:r>
        <w:rPr>
          <w:rFonts w:ascii="Calibri" w:eastAsia="Calibri" w:hAnsi="Calibri" w:cs="Calibri"/>
        </w:rPr>
        <w:t>3-5 year</w:t>
      </w:r>
      <w:proofErr w:type="gramEnd"/>
      <w:r>
        <w:rPr>
          <w:rFonts w:ascii="Calibri" w:eastAsia="Calibri" w:hAnsi="Calibri" w:cs="Calibri"/>
        </w:rPr>
        <w:t xml:space="preserve"> PRS and changes to monogenic variant calling across all the conditions/network.</w:t>
      </w:r>
    </w:p>
    <w:p w14:paraId="44A4B8DF" w14:textId="77777777" w:rsidR="0051738E" w:rsidRDefault="00000000">
      <w:pPr>
        <w:numPr>
          <w:ilvl w:val="1"/>
          <w:numId w:val="1"/>
        </w:numPr>
      </w:pPr>
      <w:r>
        <w:rPr>
          <w:rFonts w:ascii="Calibri" w:eastAsia="Calibri" w:hAnsi="Calibri" w:cs="Calibri"/>
        </w:rPr>
        <w:t xml:space="preserve">The ESP suggests that LLM model changes should be taken into consideration for future </w:t>
      </w:r>
      <w:proofErr w:type="gramStart"/>
      <w:r>
        <w:rPr>
          <w:rFonts w:ascii="Calibri" w:eastAsia="Calibri" w:hAnsi="Calibri" w:cs="Calibri"/>
        </w:rPr>
        <w:t>work, and</w:t>
      </w:r>
      <w:proofErr w:type="gramEnd"/>
      <w:r>
        <w:rPr>
          <w:rFonts w:ascii="Calibri" w:eastAsia="Calibri" w:hAnsi="Calibri" w:cs="Calibri"/>
        </w:rPr>
        <w:t xml:space="preserve"> think </w:t>
      </w:r>
      <w:proofErr w:type="gramStart"/>
      <w:r>
        <w:rPr>
          <w:rFonts w:ascii="Calibri" w:eastAsia="Calibri" w:hAnsi="Calibri" w:cs="Calibri"/>
        </w:rPr>
        <w:t>through</w:t>
      </w:r>
      <w:proofErr w:type="gramEnd"/>
      <w:r>
        <w:rPr>
          <w:rFonts w:ascii="Calibri" w:eastAsia="Calibri" w:hAnsi="Calibri" w:cs="Calibri"/>
        </w:rPr>
        <w:t xml:space="preserve"> how often these models should be updated.</w:t>
      </w:r>
    </w:p>
    <w:p w14:paraId="44A4B8E0" w14:textId="77777777" w:rsidR="0051738E" w:rsidRDefault="00000000">
      <w:pPr>
        <w:numPr>
          <w:ilvl w:val="1"/>
          <w:numId w:val="1"/>
        </w:numPr>
      </w:pPr>
      <w:r>
        <w:rPr>
          <w:rFonts w:ascii="Calibri" w:eastAsia="Calibri" w:hAnsi="Calibri" w:cs="Calibri"/>
        </w:rPr>
        <w:t xml:space="preserve">Thoughts on how we can identify who is writing the orders (PCP vs specialists) for sub analysis </w:t>
      </w:r>
      <w:proofErr w:type="gramStart"/>
      <w:r>
        <w:rPr>
          <w:rFonts w:ascii="Calibri" w:eastAsia="Calibri" w:hAnsi="Calibri" w:cs="Calibri"/>
        </w:rPr>
        <w:t>is</w:t>
      </w:r>
      <w:proofErr w:type="gramEnd"/>
      <w:r>
        <w:rPr>
          <w:rFonts w:ascii="Calibri" w:eastAsia="Calibri" w:hAnsi="Calibri" w:cs="Calibri"/>
        </w:rPr>
        <w:t xml:space="preserve"> </w:t>
      </w:r>
      <w:proofErr w:type="gramStart"/>
      <w:r>
        <w:rPr>
          <w:rFonts w:ascii="Calibri" w:eastAsia="Calibri" w:hAnsi="Calibri" w:cs="Calibri"/>
        </w:rPr>
        <w:t>important, and</w:t>
      </w:r>
      <w:proofErr w:type="gramEnd"/>
      <w:r>
        <w:rPr>
          <w:rFonts w:ascii="Calibri" w:eastAsia="Calibri" w:hAnsi="Calibri" w:cs="Calibri"/>
        </w:rPr>
        <w:t xml:space="preserve"> consider to possibly add in provider category or specialty for future data pulls.</w:t>
      </w:r>
    </w:p>
    <w:p w14:paraId="44A4B8E1" w14:textId="77777777" w:rsidR="0051738E" w:rsidRDefault="00000000">
      <w:pPr>
        <w:numPr>
          <w:ilvl w:val="1"/>
          <w:numId w:val="1"/>
        </w:numPr>
      </w:pPr>
      <w:r>
        <w:rPr>
          <w:rFonts w:ascii="Calibri" w:eastAsia="Calibri" w:hAnsi="Calibri" w:cs="Calibri"/>
        </w:rPr>
        <w:t>Factoring in timing to follow up on report outs and how what we learned impacts the future implementation of these models in the EHR was suggested.</w:t>
      </w:r>
    </w:p>
    <w:p w14:paraId="44A4B8E2" w14:textId="77777777" w:rsidR="0051738E" w:rsidRDefault="00000000">
      <w:pPr>
        <w:numPr>
          <w:ilvl w:val="1"/>
          <w:numId w:val="1"/>
        </w:numPr>
      </w:pPr>
      <w:r>
        <w:rPr>
          <w:rFonts w:ascii="Calibri" w:eastAsia="Calibri" w:hAnsi="Calibri" w:cs="Calibri"/>
        </w:rPr>
        <w:t>The ESP recommended investigating how to incorporate national death index, or death data from EHR into future data pulls to help censoring.</w:t>
      </w:r>
    </w:p>
    <w:p w14:paraId="44A4B8E3" w14:textId="77777777" w:rsidR="0051738E" w:rsidRDefault="00000000">
      <w:pPr>
        <w:numPr>
          <w:ilvl w:val="1"/>
          <w:numId w:val="1"/>
        </w:numPr>
      </w:pPr>
      <w:r>
        <w:rPr>
          <w:rFonts w:ascii="Calibri" w:eastAsia="Calibri" w:hAnsi="Calibri" w:cs="Calibri"/>
        </w:rPr>
        <w:t>The ESP asked about the pub MCS list and seemingly older concept sheets being included.</w:t>
      </w:r>
    </w:p>
    <w:p w14:paraId="44A4B8E4" w14:textId="77777777" w:rsidR="0051738E" w:rsidRDefault="00000000">
      <w:pPr>
        <w:numPr>
          <w:ilvl w:val="2"/>
          <w:numId w:val="1"/>
        </w:numPr>
        <w:spacing w:after="240"/>
      </w:pPr>
      <w:r>
        <w:rPr>
          <w:rFonts w:ascii="Calibri" w:eastAsia="Calibri" w:hAnsi="Calibri" w:cs="Calibri"/>
        </w:rPr>
        <w:t xml:space="preserve">The MCS is revised every 3-6 </w:t>
      </w:r>
      <w:proofErr w:type="gramStart"/>
      <w:r>
        <w:rPr>
          <w:rFonts w:ascii="Calibri" w:eastAsia="Calibri" w:hAnsi="Calibri" w:cs="Calibri"/>
        </w:rPr>
        <w:t>months</w:t>
      </w:r>
      <w:proofErr w:type="gramEnd"/>
      <w:r>
        <w:rPr>
          <w:rFonts w:ascii="Calibri" w:eastAsia="Calibri" w:hAnsi="Calibri" w:cs="Calibri"/>
        </w:rPr>
        <w:t xml:space="preserve"> and an updated publication policy was developed to push teams to submit publications in 12-18 months. </w:t>
      </w:r>
    </w:p>
    <w:p w14:paraId="44A4B8E5" w14:textId="77777777" w:rsidR="0051738E" w:rsidRDefault="00000000">
      <w:pPr>
        <w:numPr>
          <w:ilvl w:val="0"/>
          <w:numId w:val="1"/>
        </w:numPr>
        <w:ind w:right="-180"/>
        <w:rPr>
          <w:rFonts w:ascii="Calibri" w:eastAsia="Calibri" w:hAnsi="Calibri" w:cs="Calibri"/>
          <w:b/>
          <w:bCs/>
        </w:rPr>
      </w:pPr>
      <w:bookmarkStart w:id="6" w:name="bookmark=id.mxi5kg7z2ob" w:colFirst="0" w:colLast="0"/>
      <w:bookmarkEnd w:id="6"/>
      <w:r>
        <w:rPr>
          <w:rFonts w:ascii="Calibri" w:eastAsia="Calibri" w:hAnsi="Calibri" w:cs="Calibri"/>
          <w:b/>
          <w:bCs/>
        </w:rPr>
        <w:t>Official ESP Recommendations</w:t>
      </w:r>
    </w:p>
    <w:p w14:paraId="44A4B8E6" w14:textId="77777777" w:rsidR="0051738E" w:rsidRDefault="00000000">
      <w:pPr>
        <w:spacing w:after="160" w:line="259" w:lineRule="auto"/>
        <w:jc w:val="center"/>
        <w:rPr>
          <w:rFonts w:ascii="Calibri" w:eastAsia="Calibri" w:hAnsi="Calibri" w:cs="Calibri"/>
          <w:sz w:val="28"/>
          <w:szCs w:val="28"/>
        </w:rPr>
      </w:pPr>
      <w:r>
        <w:rPr>
          <w:rFonts w:ascii="Calibri" w:eastAsia="Calibri" w:hAnsi="Calibri" w:cs="Calibri"/>
          <w:sz w:val="24"/>
          <w:szCs w:val="24"/>
        </w:rPr>
        <w:t> </w:t>
      </w:r>
      <w:r>
        <w:rPr>
          <w:rFonts w:ascii="Calibri" w:eastAsia="Calibri" w:hAnsi="Calibri" w:cs="Calibri"/>
          <w:sz w:val="28"/>
          <w:szCs w:val="28"/>
        </w:rPr>
        <w:t xml:space="preserve"> Meeting Summary </w:t>
      </w:r>
    </w:p>
    <w:p w14:paraId="44A4B8E7" w14:textId="77777777" w:rsidR="0051738E" w:rsidRDefault="00000000">
      <w:pPr>
        <w:spacing w:after="160" w:line="259" w:lineRule="auto"/>
        <w:jc w:val="center"/>
        <w:rPr>
          <w:rFonts w:ascii="Calibri" w:eastAsia="Calibri" w:hAnsi="Calibri" w:cs="Calibri"/>
          <w:sz w:val="28"/>
          <w:szCs w:val="28"/>
        </w:rPr>
      </w:pPr>
      <w:r>
        <w:rPr>
          <w:rFonts w:ascii="Calibri" w:eastAsia="Calibri" w:hAnsi="Calibri" w:cs="Calibri"/>
          <w:sz w:val="28"/>
          <w:szCs w:val="28"/>
        </w:rPr>
        <w:t>eMERGE Network- External Scientific Panel Teleconference</w:t>
      </w:r>
    </w:p>
    <w:p w14:paraId="44A4B8E8" w14:textId="77777777" w:rsidR="0051738E" w:rsidRDefault="00000000">
      <w:pPr>
        <w:spacing w:after="160" w:line="259" w:lineRule="auto"/>
        <w:jc w:val="center"/>
        <w:rPr>
          <w:rFonts w:ascii="Calibri" w:eastAsia="Calibri" w:hAnsi="Calibri" w:cs="Calibri"/>
          <w:sz w:val="24"/>
          <w:szCs w:val="24"/>
        </w:rPr>
      </w:pPr>
      <w:r>
        <w:rPr>
          <w:rFonts w:ascii="Calibri" w:eastAsia="Calibri" w:hAnsi="Calibri" w:cs="Calibri"/>
          <w:i/>
          <w:iCs/>
          <w:sz w:val="24"/>
          <w:szCs w:val="24"/>
        </w:rPr>
        <w:t>Executive Session - 04/16/2026</w:t>
      </w:r>
      <w:r>
        <w:rPr>
          <w:rFonts w:ascii="Calibri" w:eastAsia="Calibri" w:hAnsi="Calibri" w:cs="Calibri"/>
          <w:sz w:val="24"/>
          <w:szCs w:val="24"/>
        </w:rPr>
        <w:t xml:space="preserve"> </w:t>
      </w:r>
    </w:p>
    <w:p w14:paraId="44A4B8E9" w14:textId="77777777" w:rsidR="0051738E" w:rsidRDefault="00000000">
      <w:pPr>
        <w:spacing w:after="160" w:line="259" w:lineRule="auto"/>
        <w:jc w:val="center"/>
        <w:rPr>
          <w:rFonts w:ascii="Calibri" w:eastAsia="Calibri" w:hAnsi="Calibri" w:cs="Calibri"/>
          <w:sz w:val="24"/>
          <w:szCs w:val="24"/>
        </w:rPr>
      </w:pPr>
      <w:r>
        <w:rPr>
          <w:rFonts w:ascii="Calibri" w:eastAsia="Calibri" w:hAnsi="Calibri" w:cs="Calibri"/>
          <w:sz w:val="24"/>
          <w:szCs w:val="24"/>
        </w:rPr>
        <w:t xml:space="preserve"> </w:t>
      </w:r>
    </w:p>
    <w:tbl>
      <w:tblPr>
        <w:tblStyle w:val="a"/>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5445"/>
        <w:gridCol w:w="930"/>
        <w:gridCol w:w="1800"/>
      </w:tblGrid>
      <w:tr w:rsidR="0051738E" w14:paraId="44A4B8FB" w14:textId="77777777">
        <w:trPr>
          <w:trHeight w:val="3345"/>
        </w:trPr>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44A4B8EA"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u w:val="single"/>
              </w:rPr>
              <w:t>ESP</w:t>
            </w:r>
            <w:r>
              <w:rPr>
                <w:rFonts w:ascii="Calibri" w:eastAsia="Calibri" w:hAnsi="Calibri" w:cs="Calibri"/>
                <w:b/>
                <w:bCs/>
                <w:sz w:val="24"/>
                <w:szCs w:val="24"/>
              </w:rPr>
              <w:t xml:space="preserve"> </w:t>
            </w:r>
          </w:p>
        </w:tc>
        <w:tc>
          <w:tcPr>
            <w:tcW w:w="5445"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44A4B8EB"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Dan Rader, </w:t>
            </w:r>
            <w:r>
              <w:rPr>
                <w:rFonts w:ascii="Calibri" w:eastAsia="Calibri" w:hAnsi="Calibri" w:cs="Calibri"/>
                <w:sz w:val="24"/>
                <w:szCs w:val="24"/>
              </w:rPr>
              <w:t>University of Pennsylvania</w:t>
            </w:r>
            <w:r>
              <w:rPr>
                <w:rFonts w:ascii="Calibri" w:eastAsia="Calibri" w:hAnsi="Calibri" w:cs="Calibri"/>
                <w:b/>
                <w:bCs/>
                <w:sz w:val="24"/>
                <w:szCs w:val="24"/>
              </w:rPr>
              <w:t xml:space="preserve"> – Chair  </w:t>
            </w:r>
          </w:p>
          <w:p w14:paraId="44A4B8EC"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Kimberly Doheny*,</w:t>
            </w:r>
            <w:r>
              <w:rPr>
                <w:rFonts w:ascii="Calibri" w:eastAsia="Calibri" w:hAnsi="Calibri" w:cs="Calibri"/>
                <w:b/>
                <w:bCs/>
                <w:sz w:val="24"/>
                <w:szCs w:val="24"/>
              </w:rPr>
              <w:t xml:space="preserve"> </w:t>
            </w:r>
            <w:r>
              <w:rPr>
                <w:rFonts w:ascii="Calibri" w:eastAsia="Calibri" w:hAnsi="Calibri" w:cs="Calibri"/>
                <w:sz w:val="24"/>
                <w:szCs w:val="24"/>
              </w:rPr>
              <w:t>Johns Hopkins University</w:t>
            </w:r>
          </w:p>
          <w:p w14:paraId="44A4B8ED"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sz w:val="24"/>
                <w:szCs w:val="24"/>
              </w:rPr>
              <w:t>Stanley Huff*, Intermountain Healthcare</w:t>
            </w:r>
            <w:r>
              <w:rPr>
                <w:rFonts w:ascii="Calibri" w:eastAsia="Calibri" w:hAnsi="Calibri" w:cs="Calibri"/>
                <w:b/>
                <w:bCs/>
                <w:sz w:val="24"/>
                <w:szCs w:val="24"/>
              </w:rPr>
              <w:t xml:space="preserve"> </w:t>
            </w:r>
          </w:p>
          <w:p w14:paraId="44A4B8EE"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Janina Jeff</w:t>
            </w:r>
            <w:r>
              <w:rPr>
                <w:rFonts w:ascii="Calibri" w:eastAsia="Calibri" w:hAnsi="Calibri" w:cs="Calibri"/>
                <w:sz w:val="24"/>
                <w:szCs w:val="24"/>
              </w:rPr>
              <w:t>, Illumina</w:t>
            </w:r>
            <w:r>
              <w:rPr>
                <w:rFonts w:ascii="Calibri" w:eastAsia="Calibri" w:hAnsi="Calibri" w:cs="Calibri"/>
                <w:b/>
                <w:bCs/>
                <w:sz w:val="24"/>
                <w:szCs w:val="24"/>
              </w:rPr>
              <w:t xml:space="preserve"> </w:t>
            </w:r>
          </w:p>
          <w:p w14:paraId="44A4B8EF" w14:textId="77777777" w:rsidR="0051738E" w:rsidRDefault="00000000">
            <w:pPr>
              <w:spacing w:after="160" w:line="259" w:lineRule="auto"/>
              <w:rPr>
                <w:rFonts w:ascii="Calibri" w:eastAsia="Calibri" w:hAnsi="Calibri" w:cs="Calibri"/>
                <w:sz w:val="24"/>
                <w:szCs w:val="24"/>
              </w:rPr>
            </w:pPr>
            <w:r>
              <w:rPr>
                <w:rFonts w:ascii="Calibri" w:eastAsia="Calibri" w:hAnsi="Calibri" w:cs="Calibri"/>
                <w:b/>
                <w:bCs/>
                <w:sz w:val="24"/>
                <w:szCs w:val="24"/>
              </w:rPr>
              <w:t>Brendan Lee</w:t>
            </w:r>
            <w:r>
              <w:rPr>
                <w:rFonts w:ascii="Calibri" w:eastAsia="Calibri" w:hAnsi="Calibri" w:cs="Calibri"/>
                <w:sz w:val="24"/>
                <w:szCs w:val="24"/>
              </w:rPr>
              <w:t>, Baylor College of Medicine</w:t>
            </w:r>
          </w:p>
          <w:p w14:paraId="44A4B8F0"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Lisa Parker</w:t>
            </w:r>
            <w:r>
              <w:rPr>
                <w:rFonts w:ascii="Calibri" w:eastAsia="Calibri" w:hAnsi="Calibri" w:cs="Calibri"/>
                <w:sz w:val="24"/>
                <w:szCs w:val="24"/>
              </w:rPr>
              <w:t>, University of Pittsburgh</w:t>
            </w:r>
            <w:r>
              <w:rPr>
                <w:rFonts w:ascii="Calibri" w:eastAsia="Calibri" w:hAnsi="Calibri" w:cs="Calibri"/>
                <w:b/>
                <w:bCs/>
                <w:sz w:val="24"/>
                <w:szCs w:val="24"/>
              </w:rPr>
              <w:t xml:space="preserve"> </w:t>
            </w:r>
          </w:p>
          <w:p w14:paraId="44A4B8F1" w14:textId="77777777" w:rsidR="0051738E" w:rsidRDefault="00000000">
            <w:pPr>
              <w:spacing w:after="160" w:line="259" w:lineRule="auto"/>
              <w:rPr>
                <w:rFonts w:ascii="Calibri" w:eastAsia="Calibri" w:hAnsi="Calibri" w:cs="Calibri"/>
                <w:sz w:val="24"/>
                <w:szCs w:val="24"/>
              </w:rPr>
            </w:pPr>
            <w:r>
              <w:rPr>
                <w:rFonts w:ascii="Calibri" w:eastAsia="Calibri" w:hAnsi="Calibri" w:cs="Calibri"/>
                <w:b/>
                <w:bCs/>
                <w:sz w:val="24"/>
                <w:szCs w:val="24"/>
              </w:rPr>
              <w:t>John Witte</w:t>
            </w:r>
            <w:r>
              <w:rPr>
                <w:rFonts w:ascii="Calibri" w:eastAsia="Calibri" w:hAnsi="Calibri" w:cs="Calibri"/>
                <w:sz w:val="24"/>
                <w:szCs w:val="24"/>
              </w:rPr>
              <w:t>, Stanford University</w:t>
            </w:r>
          </w:p>
          <w:p w14:paraId="44A4B8F2"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 </w:t>
            </w:r>
          </w:p>
        </w:tc>
        <w:tc>
          <w:tcPr>
            <w:tcW w:w="93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44A4B8F3"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u w:val="single"/>
              </w:rPr>
              <w:t>NHGRI</w:t>
            </w:r>
            <w:r>
              <w:rPr>
                <w:rFonts w:ascii="Calibri" w:eastAsia="Calibri" w:hAnsi="Calibri" w:cs="Calibri"/>
                <w:b/>
                <w:bCs/>
                <w:sz w:val="24"/>
                <w:szCs w:val="24"/>
              </w:rPr>
              <w:t xml:space="preserve"> </w:t>
            </w:r>
          </w:p>
        </w:tc>
        <w:tc>
          <w:tcPr>
            <w:tcW w:w="180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44A4B8F4"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Teri Manolio </w:t>
            </w:r>
          </w:p>
          <w:p w14:paraId="44A4B8F5"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Renee Rider </w:t>
            </w:r>
          </w:p>
          <w:p w14:paraId="44A4B8F6"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Christine Chang</w:t>
            </w:r>
          </w:p>
          <w:p w14:paraId="44A4B8F7"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Jessica Reinach </w:t>
            </w:r>
          </w:p>
          <w:p w14:paraId="44A4B8F8"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  </w:t>
            </w:r>
          </w:p>
          <w:p w14:paraId="44A4B8F9"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 </w:t>
            </w:r>
          </w:p>
          <w:p w14:paraId="44A4B8FA" w14:textId="77777777" w:rsidR="0051738E" w:rsidRDefault="00000000">
            <w:pPr>
              <w:spacing w:after="160" w:line="259" w:lineRule="auto"/>
              <w:rPr>
                <w:rFonts w:ascii="Calibri" w:eastAsia="Calibri" w:hAnsi="Calibri" w:cs="Calibri"/>
                <w:b/>
                <w:bCs/>
                <w:sz w:val="24"/>
                <w:szCs w:val="24"/>
              </w:rPr>
            </w:pPr>
            <w:r>
              <w:rPr>
                <w:rFonts w:ascii="Calibri" w:eastAsia="Calibri" w:hAnsi="Calibri" w:cs="Calibri"/>
                <w:b/>
                <w:bCs/>
                <w:sz w:val="24"/>
                <w:szCs w:val="24"/>
              </w:rPr>
              <w:t xml:space="preserve"> </w:t>
            </w:r>
          </w:p>
        </w:tc>
      </w:tr>
    </w:tbl>
    <w:p w14:paraId="44A4B8FC" w14:textId="77777777" w:rsidR="0051738E" w:rsidRDefault="00000000">
      <w:pPr>
        <w:spacing w:after="160" w:line="259" w:lineRule="auto"/>
        <w:rPr>
          <w:rFonts w:ascii="Calibri" w:eastAsia="Calibri" w:hAnsi="Calibri" w:cs="Calibri"/>
          <w:sz w:val="24"/>
          <w:szCs w:val="24"/>
        </w:rPr>
      </w:pPr>
      <w:r>
        <w:rPr>
          <w:rFonts w:ascii="Calibri" w:eastAsia="Calibri" w:hAnsi="Calibri" w:cs="Calibri"/>
          <w:b/>
          <w:bCs/>
          <w:sz w:val="24"/>
          <w:szCs w:val="24"/>
        </w:rPr>
        <w:t>*</w:t>
      </w:r>
      <w:r>
        <w:rPr>
          <w:rFonts w:ascii="Calibri" w:eastAsia="Calibri" w:hAnsi="Calibri" w:cs="Calibri"/>
          <w:sz w:val="24"/>
          <w:szCs w:val="24"/>
        </w:rPr>
        <w:t>Absent from the meeting</w:t>
      </w:r>
    </w:p>
    <w:p w14:paraId="44A4B8FD"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The External Scientific Panel (ESP) met with NHGRI program staff members during the executive session of the eMERGE ESP teleconference held on April 16, 2026. The ESP appreciates the Network’s comprehensive responses to their recommendations from the October 2025 ESP and Steering Committee meeting. The ESP also commends the Network on the publication of two main papers, and impressive work towards capturing and quality control of 6- and 12- month data pulls as well as outcomes analysis.</w:t>
      </w:r>
      <w:r>
        <w:rPr>
          <w:rFonts w:ascii="Calibri" w:eastAsia="Calibri" w:hAnsi="Calibri" w:cs="Calibri"/>
          <w:color w:val="FF0000"/>
          <w:sz w:val="24"/>
          <w:szCs w:val="24"/>
        </w:rPr>
        <w:t xml:space="preserve"> </w:t>
      </w:r>
      <w:r>
        <w:rPr>
          <w:rFonts w:ascii="Calibri" w:eastAsia="Calibri" w:hAnsi="Calibri" w:cs="Calibri"/>
          <w:sz w:val="24"/>
          <w:szCs w:val="24"/>
        </w:rPr>
        <w:t>Overall, the ESP is extremely impressed with the Network’s activities and progress in the last six months. The ESP recommends that the Network consider the following thoughts for future work.</w:t>
      </w:r>
    </w:p>
    <w:p w14:paraId="44A4B8FE" w14:textId="77777777" w:rsidR="0051738E" w:rsidRDefault="00000000">
      <w:pPr>
        <w:spacing w:after="160" w:line="259" w:lineRule="auto"/>
        <w:rPr>
          <w:rFonts w:ascii="Calibri" w:eastAsia="Calibri" w:hAnsi="Calibri" w:cs="Calibri"/>
          <w:sz w:val="24"/>
          <w:szCs w:val="24"/>
          <w:u w:val="single"/>
        </w:rPr>
      </w:pPr>
      <w:proofErr w:type="gramStart"/>
      <w:r>
        <w:rPr>
          <w:rFonts w:ascii="Calibri" w:eastAsia="Calibri" w:hAnsi="Calibri" w:cs="Calibri"/>
          <w:sz w:val="24"/>
          <w:szCs w:val="24"/>
          <w:u w:val="single"/>
        </w:rPr>
        <w:t>Continue</w:t>
      </w:r>
      <w:proofErr w:type="gramEnd"/>
      <w:r>
        <w:rPr>
          <w:rFonts w:ascii="Calibri" w:eastAsia="Calibri" w:hAnsi="Calibri" w:cs="Calibri"/>
          <w:sz w:val="24"/>
          <w:szCs w:val="24"/>
          <w:u w:val="single"/>
        </w:rPr>
        <w:t xml:space="preserve"> the planned in silico analysis of updated PRS and monogenic data</w:t>
      </w:r>
    </w:p>
    <w:p w14:paraId="44A4B8FF"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lastRenderedPageBreak/>
        <w:t xml:space="preserve">The ESP encourages the Network to continue their planned in silico analysis looking at updated PRS models as well as monogenic variant calling across all sites at each of the planned data pulls in the next phase of eMERGE (eMERGE-IMPACT). </w:t>
      </w:r>
      <w:proofErr w:type="gramStart"/>
      <w:r>
        <w:rPr>
          <w:rFonts w:ascii="Calibri" w:eastAsia="Calibri" w:hAnsi="Calibri" w:cs="Calibri"/>
          <w:sz w:val="24"/>
          <w:szCs w:val="24"/>
        </w:rPr>
        <w:t>The ESP</w:t>
      </w:r>
      <w:proofErr w:type="gramEnd"/>
      <w:r>
        <w:rPr>
          <w:rFonts w:ascii="Calibri" w:eastAsia="Calibri" w:hAnsi="Calibri" w:cs="Calibri"/>
          <w:sz w:val="24"/>
          <w:szCs w:val="24"/>
        </w:rPr>
        <w:t xml:space="preserve"> commends the Network for including this in their plans for the next phase.</w:t>
      </w:r>
    </w:p>
    <w:p w14:paraId="44A4B900" w14:textId="77777777" w:rsidR="0051738E" w:rsidRDefault="00000000">
      <w:pPr>
        <w:spacing w:after="160" w:line="259" w:lineRule="auto"/>
        <w:rPr>
          <w:rFonts w:ascii="Calibri" w:eastAsia="Calibri" w:hAnsi="Calibri" w:cs="Calibri"/>
          <w:sz w:val="24"/>
          <w:szCs w:val="24"/>
          <w:u w:val="single"/>
        </w:rPr>
      </w:pPr>
      <w:r>
        <w:rPr>
          <w:rFonts w:ascii="Calibri" w:eastAsia="Calibri" w:hAnsi="Calibri" w:cs="Calibri"/>
          <w:sz w:val="24"/>
          <w:szCs w:val="24"/>
          <w:u w:val="single"/>
        </w:rPr>
        <w:t>Work on censoring using death data</w:t>
      </w:r>
    </w:p>
    <w:p w14:paraId="44A4B901"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The ESP recommends including a formal search in the National Death Index to get more accurate dropout data.</w:t>
      </w:r>
    </w:p>
    <w:p w14:paraId="44A4B902" w14:textId="77777777" w:rsidR="0051738E" w:rsidRDefault="00000000">
      <w:pPr>
        <w:spacing w:after="160" w:line="259" w:lineRule="auto"/>
        <w:rPr>
          <w:rFonts w:ascii="Calibri" w:eastAsia="Calibri" w:hAnsi="Calibri" w:cs="Calibri"/>
          <w:sz w:val="24"/>
          <w:szCs w:val="24"/>
          <w:u w:val="single"/>
        </w:rPr>
      </w:pPr>
      <w:r>
        <w:rPr>
          <w:rFonts w:ascii="Calibri" w:eastAsia="Calibri" w:hAnsi="Calibri" w:cs="Calibri"/>
          <w:sz w:val="24"/>
          <w:szCs w:val="24"/>
          <w:u w:val="single"/>
        </w:rPr>
        <w:t>Develop a cadence to update AI models used in analyses</w:t>
      </w:r>
    </w:p>
    <w:p w14:paraId="44A4B903"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The ESP is impressed with the large language model (LLM) work the Network has done during the complex order pulling and mapping process. In future data pulls, the ESP recommends the Network consider developing a schedule with which to update AI models used for analyses, given how rapidly these are improving. There could perhaps be a 3–5-year frequency of updating AI models matching the frequency of data pulls in the next phase. The ESP acknowledges that this work is secondary to the main outcomes data pulls and that the first recommendation takes priority.</w:t>
      </w:r>
    </w:p>
    <w:p w14:paraId="44A4B904"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u w:val="single"/>
        </w:rPr>
        <w:t>If possible, track ordering provider type in future data pulls</w:t>
      </w:r>
      <w:r>
        <w:rPr>
          <w:rFonts w:ascii="Calibri" w:eastAsia="Calibri" w:hAnsi="Calibri" w:cs="Calibri"/>
          <w:sz w:val="24"/>
          <w:szCs w:val="24"/>
        </w:rPr>
        <w:t xml:space="preserve"> </w:t>
      </w:r>
    </w:p>
    <w:p w14:paraId="44A4B905" w14:textId="77777777" w:rsidR="0051738E" w:rsidRDefault="00000000">
      <w:pPr>
        <w:spacing w:after="160" w:line="259" w:lineRule="auto"/>
        <w:rPr>
          <w:rFonts w:ascii="Calibri" w:eastAsia="Calibri" w:hAnsi="Calibri" w:cs="Calibri"/>
          <w:sz w:val="24"/>
          <w:szCs w:val="24"/>
        </w:rPr>
      </w:pPr>
      <w:proofErr w:type="gramStart"/>
      <w:r>
        <w:rPr>
          <w:rFonts w:ascii="Calibri" w:eastAsia="Calibri" w:hAnsi="Calibri" w:cs="Calibri"/>
          <w:sz w:val="24"/>
          <w:szCs w:val="24"/>
        </w:rPr>
        <w:t>The ESP</w:t>
      </w:r>
      <w:proofErr w:type="gramEnd"/>
      <w:r>
        <w:rPr>
          <w:rFonts w:ascii="Calibri" w:eastAsia="Calibri" w:hAnsi="Calibri" w:cs="Calibri"/>
          <w:sz w:val="24"/>
          <w:szCs w:val="24"/>
        </w:rPr>
        <w:t xml:space="preserve"> recommends tracking the ordering provider type (primary care provider vs specialist) in future data pulls to see what types of providers are being moved by the GIRA to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The ESP</w:t>
      </w:r>
      <w:proofErr w:type="gramEnd"/>
      <w:r>
        <w:rPr>
          <w:rFonts w:ascii="Calibri" w:eastAsia="Calibri" w:hAnsi="Calibri" w:cs="Calibri"/>
          <w:sz w:val="24"/>
          <w:szCs w:val="24"/>
        </w:rPr>
        <w:t xml:space="preserve"> acknowledges that sites may not all collect this data systematically, making implementation across the Network difficult. However, the ESP encourages exploring if this is possible at all sites.</w:t>
      </w:r>
    </w:p>
    <w:p w14:paraId="44A4B906" w14:textId="77777777" w:rsidR="0051738E" w:rsidRDefault="00000000">
      <w:pPr>
        <w:spacing w:after="160" w:line="259" w:lineRule="auto"/>
        <w:rPr>
          <w:rFonts w:ascii="Calibri" w:eastAsia="Calibri" w:hAnsi="Calibri" w:cs="Calibri"/>
          <w:sz w:val="24"/>
          <w:szCs w:val="24"/>
          <w:u w:val="single"/>
        </w:rPr>
      </w:pPr>
      <w:r>
        <w:rPr>
          <w:rFonts w:ascii="Calibri" w:eastAsia="Calibri" w:hAnsi="Calibri" w:cs="Calibri"/>
          <w:sz w:val="24"/>
          <w:szCs w:val="24"/>
          <w:u w:val="single"/>
        </w:rPr>
        <w:t>Continue pushing out publications in a timely manner</w:t>
      </w:r>
    </w:p>
    <w:p w14:paraId="44A4B907"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The research landscape is rapidly changing as AI and LLMs transform the field. </w:t>
      </w:r>
      <w:proofErr w:type="gramStart"/>
      <w:r>
        <w:rPr>
          <w:rFonts w:ascii="Calibri" w:eastAsia="Calibri" w:hAnsi="Calibri" w:cs="Calibri"/>
          <w:sz w:val="24"/>
          <w:szCs w:val="24"/>
        </w:rPr>
        <w:t>With this in mind, the</w:t>
      </w:r>
      <w:proofErr w:type="gramEnd"/>
      <w:r>
        <w:rPr>
          <w:rFonts w:ascii="Calibri" w:eastAsia="Calibri" w:hAnsi="Calibri" w:cs="Calibri"/>
          <w:sz w:val="24"/>
          <w:szCs w:val="24"/>
        </w:rPr>
        <w:t xml:space="preserve"> ESP encourages the Network to push out publications in a timely manner to ensure their results remain as relevant and impactful as possible. The ESP emphasizes a continued focus on lessons learned manuscripts examining development and implementation of interventions in addition to those published on outcomes and effect size.</w:t>
      </w:r>
    </w:p>
    <w:p w14:paraId="44A4B908" w14:textId="77777777" w:rsidR="0051738E" w:rsidRDefault="00000000">
      <w:pPr>
        <w:spacing w:after="160" w:line="259" w:lineRule="auto"/>
        <w:rPr>
          <w:rFonts w:ascii="Calibri" w:eastAsia="Calibri" w:hAnsi="Calibri" w:cs="Calibri"/>
          <w:sz w:val="24"/>
          <w:szCs w:val="24"/>
          <w:u w:val="single"/>
        </w:rPr>
      </w:pPr>
      <w:r>
        <w:rPr>
          <w:rFonts w:ascii="Calibri" w:eastAsia="Calibri" w:hAnsi="Calibri" w:cs="Calibri"/>
          <w:sz w:val="24"/>
          <w:szCs w:val="24"/>
          <w:u w:val="single"/>
        </w:rPr>
        <w:t>Continue work to minimize older, unpublished Manuscript Clearance Sheets (MCS)</w:t>
      </w:r>
    </w:p>
    <w:p w14:paraId="44A4B909"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The ESP commends the coordinating center on their work to minimize past-phase MCS that were left unpublished, as well as ensuring that the MCS submitted are published within 12-18 months of MCS submission. They recommend continuing this work into eMERGE-IMPACT, to ensure topics are not claimed but unwritten.</w:t>
      </w:r>
    </w:p>
    <w:p w14:paraId="44A4B90A" w14:textId="77777777" w:rsidR="0051738E" w:rsidRDefault="00000000">
      <w:pPr>
        <w:spacing w:after="160" w:line="259" w:lineRule="auto"/>
        <w:rPr>
          <w:rFonts w:ascii="Calibri" w:eastAsia="Calibri" w:hAnsi="Calibri" w:cs="Calibri"/>
          <w:sz w:val="24"/>
          <w:szCs w:val="24"/>
        </w:rPr>
      </w:pPr>
      <w:r>
        <w:rPr>
          <w:rFonts w:ascii="Calibri" w:eastAsia="Calibri" w:hAnsi="Calibri" w:cs="Calibri"/>
          <w:sz w:val="24"/>
          <w:szCs w:val="24"/>
        </w:rPr>
        <w:t xml:space="preserve"> ESP Recommendations for the Network:</w:t>
      </w:r>
    </w:p>
    <w:p w14:paraId="44A4B90B" w14:textId="77777777" w:rsidR="0051738E" w:rsidRDefault="00000000">
      <w:pPr>
        <w:spacing w:line="259" w:lineRule="auto"/>
        <w:ind w:left="720"/>
        <w:rPr>
          <w:rFonts w:ascii="Calibri" w:eastAsia="Calibri" w:hAnsi="Calibri" w:cs="Calibri"/>
          <w:sz w:val="24"/>
          <w:szCs w:val="24"/>
        </w:rPr>
      </w:pPr>
      <w:r>
        <w:rPr>
          <w:rFonts w:ascii="Calibri" w:eastAsia="Calibri" w:hAnsi="Calibri" w:cs="Calibri"/>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Continue the planned in silico analysis of updated PRS and monogenic variant calling</w:t>
      </w:r>
    </w:p>
    <w:p w14:paraId="44A4B90C" w14:textId="77777777" w:rsidR="0051738E" w:rsidRDefault="00000000">
      <w:pPr>
        <w:spacing w:line="259" w:lineRule="auto"/>
        <w:ind w:left="720"/>
        <w:rPr>
          <w:rFonts w:ascii="Calibri" w:eastAsia="Calibri" w:hAnsi="Calibri" w:cs="Calibri"/>
          <w:sz w:val="24"/>
          <w:szCs w:val="24"/>
        </w:rPr>
      </w:pPr>
      <w:r>
        <w:rPr>
          <w:rFonts w:ascii="Calibri" w:eastAsia="Calibri" w:hAnsi="Calibri" w:cs="Calibri"/>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Work on censoring using death data</w:t>
      </w:r>
    </w:p>
    <w:p w14:paraId="44A4B90D" w14:textId="77777777" w:rsidR="0051738E" w:rsidRDefault="00000000">
      <w:pPr>
        <w:spacing w:line="259" w:lineRule="auto"/>
        <w:ind w:left="720"/>
        <w:rPr>
          <w:rFonts w:ascii="Calibri" w:eastAsia="Calibri" w:hAnsi="Calibri" w:cs="Calibri"/>
          <w:sz w:val="24"/>
          <w:szCs w:val="24"/>
        </w:rPr>
      </w:pPr>
      <w:r>
        <w:rPr>
          <w:rFonts w:ascii="Calibri" w:eastAsia="Calibri" w:hAnsi="Calibri" w:cs="Calibri"/>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Develop a cadence to update AI models used in analyses</w:t>
      </w:r>
    </w:p>
    <w:p w14:paraId="44A4B90E" w14:textId="77777777" w:rsidR="0051738E" w:rsidRDefault="00000000">
      <w:pPr>
        <w:spacing w:line="259" w:lineRule="auto"/>
        <w:ind w:left="720"/>
        <w:rPr>
          <w:rFonts w:ascii="Calibri" w:eastAsia="Calibri" w:hAnsi="Calibri" w:cs="Calibri"/>
          <w:sz w:val="24"/>
          <w:szCs w:val="24"/>
        </w:rPr>
      </w:pPr>
      <w:r>
        <w:rPr>
          <w:rFonts w:ascii="Calibri" w:eastAsia="Calibri" w:hAnsi="Calibri" w:cs="Calibri"/>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 xml:space="preserve">If possible, track ordering provider type in future data pulls </w:t>
      </w:r>
    </w:p>
    <w:p w14:paraId="44A4B90F" w14:textId="77777777" w:rsidR="0051738E" w:rsidRDefault="00000000">
      <w:pPr>
        <w:spacing w:line="259" w:lineRule="auto"/>
        <w:ind w:left="720"/>
        <w:rPr>
          <w:rFonts w:ascii="Calibri" w:eastAsia="Calibri" w:hAnsi="Calibri" w:cs="Calibri"/>
          <w:sz w:val="24"/>
          <w:szCs w:val="24"/>
        </w:rPr>
      </w:pPr>
      <w:r>
        <w:rPr>
          <w:rFonts w:ascii="Calibri" w:eastAsia="Calibri" w:hAnsi="Calibri" w:cs="Calibri"/>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Continue pushing out publications in a timely manner</w:t>
      </w:r>
    </w:p>
    <w:p w14:paraId="44A4B910" w14:textId="77777777" w:rsidR="0051738E" w:rsidRDefault="00000000">
      <w:pPr>
        <w:spacing w:after="160" w:line="259" w:lineRule="auto"/>
        <w:ind w:left="720"/>
        <w:rPr>
          <w:rFonts w:ascii="Calibri" w:eastAsia="Calibri" w:hAnsi="Calibri" w:cs="Calibri"/>
          <w:sz w:val="24"/>
          <w:szCs w:val="24"/>
        </w:rPr>
      </w:pPr>
      <w:r>
        <w:rPr>
          <w:rFonts w:ascii="Calibri" w:eastAsia="Calibri" w:hAnsi="Calibri" w:cs="Calibri"/>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sz w:val="24"/>
          <w:szCs w:val="24"/>
        </w:rPr>
        <w:t>Continue work to minimize older, unpublished MCS</w:t>
      </w:r>
    </w:p>
    <w:p w14:paraId="44A4B911" w14:textId="77777777" w:rsidR="0051738E" w:rsidRDefault="0051738E">
      <w:pPr>
        <w:spacing w:after="160" w:line="259" w:lineRule="auto"/>
        <w:rPr>
          <w:rFonts w:ascii="Calibri" w:eastAsia="Calibri" w:hAnsi="Calibri" w:cs="Calibri"/>
          <w:sz w:val="24"/>
          <w:szCs w:val="24"/>
        </w:rPr>
      </w:pPr>
    </w:p>
    <w:p w14:paraId="44A4B912" w14:textId="77777777" w:rsidR="0051738E" w:rsidRDefault="00000000">
      <w:pPr>
        <w:spacing w:after="160" w:line="259" w:lineRule="auto"/>
        <w:jc w:val="center"/>
        <w:rPr>
          <w:rFonts w:ascii="Calibri" w:eastAsia="Calibri" w:hAnsi="Calibri" w:cs="Calibri"/>
        </w:rPr>
      </w:pPr>
      <w:r>
        <w:rPr>
          <w:rFonts w:ascii="Calibri" w:eastAsia="Calibri" w:hAnsi="Calibri" w:cs="Calibri"/>
          <w:sz w:val="24"/>
          <w:szCs w:val="24"/>
        </w:rPr>
        <w:t> </w:t>
      </w:r>
    </w:p>
    <w:p w14:paraId="44A4B913" w14:textId="77777777" w:rsidR="0051738E" w:rsidRDefault="0051738E"/>
    <w:sectPr w:rsidR="0051738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E2AEF8-CC25-4180-AFA8-71F4F392B486}"/>
    <w:embedBold r:id="rId2" w:fontKey="{1FDE27FF-0170-44D7-A551-4A57F2748408}"/>
    <w:embedItalic r:id="rId3" w:fontKey="{42745B5C-5F5D-4E62-ACDF-6FBC65535A8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B39B64B-F468-4D91-BC29-32F22279A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4522E"/>
    <w:multiLevelType w:val="multilevel"/>
    <w:tmpl w:val="00A4F53A"/>
    <w:lvl w:ilvl="0">
      <w:start w:val="1"/>
      <w:numFmt w:val="decimalZero"/>
      <w:lvlText w:val="%1."/>
      <w:lvlJc w:val="left"/>
      <w:pPr>
        <w:ind w:left="630" w:hanging="450"/>
      </w:pPr>
      <w:rPr>
        <w:color w:val="000000"/>
        <w:u w:val="none"/>
      </w:rPr>
    </w:lvl>
    <w:lvl w:ilvl="1">
      <w:start w:val="1"/>
      <w:numFmt w:val="lowerLetter"/>
      <w:lvlText w:val="%2."/>
      <w:lvlJc w:val="left"/>
      <w:pPr>
        <w:ind w:left="1440" w:hanging="360"/>
      </w:pPr>
      <w:rPr>
        <w:rFonts w:ascii="Calibri" w:eastAsia="Calibri" w:hAnsi="Calibri" w:cs="Calibri"/>
        <w:b w:val="0"/>
        <w:bCs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1156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38E"/>
    <w:rsid w:val="0051738E"/>
    <w:rsid w:val="00543B30"/>
    <w:rsid w:val="00921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4B878"/>
  <w15:docId w15:val="{C48F37BA-C99A-4438-AF2C-4F528F00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0t2uSSmJsCyClPsdhWBlCDW+cw==">CgMxLjAyDmgubGIzaXN5cjEyOG9xMg9pZC5uM2pndGtoaWIxMmYyD2lkLmJmbWl1bDFmdXI5OTIPaWQuaGQ2NG00YXRibmRoMg9pZC5ieGowd2tsZnJoZ2IyD2lkLmRoZG1sMDQ2bzcxazIOaWQubXhpNWtnN3oyb2I4AGokChRzdWdnZXN0LnRxOXIzaXJlcGE2cxIMTHlubiBTZWFib2x0ciExeHFvZE1DdmVpZzQ3MEtyQ0ZGaEpUMjZyZEFQczk4MHo=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2005</Words>
  <Characters>11433</Characters>
  <Application>Microsoft Office Word</Application>
  <DocSecurity>0</DocSecurity>
  <Lines>95</Lines>
  <Paragraphs>26</Paragraphs>
  <ScaleCrop>false</ScaleCrop>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Forman, Sophie A</cp:lastModifiedBy>
  <cp:revision>2</cp:revision>
  <dcterms:created xsi:type="dcterms:W3CDTF">2026-05-27T18:58:00Z</dcterms:created>
  <dcterms:modified xsi:type="dcterms:W3CDTF">2026-05-27T18:59:00Z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2026-05-27T18:59:14Z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4839069c-3cf9-49ee-9357-778dad9c4356</vt:lpwstr>
  </property>
  <property fmtid="{D5CDD505-2E9C-101B-9397-08002B2CF9AE}" pid="8" name="MSIP_Label_792c8cef-6f2b-4af1-b4ac-d815ff795cd6_ContentBits">
    <vt:lpwstr>0</vt:lpwstr>
  </property>
  <property fmtid="{D5CDD505-2E9C-101B-9397-08002B2CF9AE}" pid="9" name="MSIP_Label_792c8cef-6f2b-4af1-b4ac-d815ff795cd6_Tag">
    <vt:lpwstr>10, 3, 0, 1</vt:lpwstr>
  </property>
</Properties>
</file>